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2003-2010___1.vsd" ContentType="application/vnd.visio"/>
  <Override PartName="/word/embeddings/Microsoft_Visio_2003-2010___10.vsd" ContentType="application/vnd.visio"/>
  <Override PartName="/word/embeddings/Microsoft_Visio_2003-2010___11.vsd" ContentType="application/vnd.visio"/>
  <Override PartName="/word/embeddings/Microsoft_Visio_2003-2010___12.vsd" ContentType="application/vnd.visio"/>
  <Override PartName="/word/embeddings/Microsoft_Visio_2003-2010___13.vsd" ContentType="application/vnd.visio"/>
  <Override PartName="/word/embeddings/Microsoft_Visio_2003-2010___14.vsd" ContentType="application/vnd.visio"/>
  <Override PartName="/word/embeddings/Microsoft_Visio_2003-2010___15.vsd" ContentType="application/vnd.visio"/>
  <Override PartName="/word/embeddings/Microsoft_Visio_2003-2010___2.vsd" ContentType="application/vnd.visio"/>
  <Override PartName="/word/embeddings/Microsoft_Visio_2003-2010___3.vsd" ContentType="application/vnd.visio"/>
  <Override PartName="/word/embeddings/Microsoft_Visio_2003-2010___4.vsd" ContentType="application/vnd.visio"/>
  <Override PartName="/word/embeddings/Microsoft_Visio_2003-2010___5.vsd" ContentType="application/vnd.visio"/>
  <Override PartName="/word/embeddings/Microsoft_Visio_2003-2010___6.vsd" ContentType="application/vnd.visio"/>
  <Override PartName="/word/embeddings/Microsoft_Visio_2003-2010___7.vsd" ContentType="application/vnd.visio"/>
  <Override PartName="/word/embeddings/Microsoft_Visio_2003-2010___8.vsd" ContentType="application/vnd.visio"/>
  <Override PartName="/word/embeddings/Microsoft_Visio_2003-2010___9.vsd" ContentType="application/vnd.visio"/>
  <Override PartName="/word/embeddings/Microsoft_Visio___16.vsdx" ContentType="application/vnd.ms-visio.drawing"/>
  <Override PartName="/word/embeddings/Microsoft_Visio___17.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6B6B5">
      <w:pPr>
        <w:adjustRightInd w:val="0"/>
        <w:spacing w:before="3100" w:after="240"/>
        <w:ind w:right="210" w:rightChars="100"/>
        <w:jc w:val="right"/>
        <w:textAlignment w:val="baseline"/>
        <w:rPr>
          <w:rStyle w:val="52"/>
          <w:rFonts w:asciiTheme="minorHAnsi" w:hAnsiTheme="minorHAnsi" w:cstheme="minorHAnsi"/>
          <w:color w:val="0070C0"/>
          <w:sz w:val="52"/>
          <w:szCs w:val="52"/>
        </w:rPr>
      </w:pPr>
      <w:r>
        <w:rPr>
          <w:rStyle w:val="52"/>
          <w:rFonts w:asciiTheme="minorHAnsi" w:hAnsiTheme="minorHAnsi" w:cstheme="minorHAnsi"/>
          <w:color w:val="0070C0"/>
          <w:sz w:val="52"/>
          <w:szCs w:val="52"/>
        </w:rPr>
        <w:t>NCS-PT105II</w:t>
      </w:r>
    </w:p>
    <w:p w14:paraId="000C33EC">
      <w:pPr>
        <w:pStyle w:val="50"/>
        <w:wordWrap w:val="0"/>
        <w:spacing w:before="120" w:after="240" w:line="240" w:lineRule="auto"/>
        <w:ind w:right="210" w:rightChars="100"/>
        <w:rPr>
          <w:rStyle w:val="52"/>
          <w:rFonts w:asciiTheme="minorHAnsi" w:hAnsiTheme="minorHAnsi" w:cstheme="minorHAnsi"/>
          <w:b/>
          <w:bCs/>
          <w:color w:val="0070C0"/>
          <w:sz w:val="52"/>
          <w:szCs w:val="52"/>
        </w:rPr>
      </w:pPr>
      <w:r>
        <w:rPr>
          <w:rStyle w:val="52"/>
          <w:rFonts w:asciiTheme="minorHAnsi" w:hAnsiTheme="minorHAnsi" w:cstheme="minorHAnsi"/>
          <w:color w:val="0070C0"/>
          <w:sz w:val="52"/>
          <w:szCs w:val="52"/>
        </w:rPr>
        <w:t>Intelligent pressure transmitter</w:t>
      </w:r>
    </w:p>
    <w:p w14:paraId="6F308301">
      <w:pPr>
        <w:pStyle w:val="55"/>
        <w:spacing w:before="120" w:after="240"/>
        <w:ind w:right="210" w:rightChars="100"/>
        <w:rPr>
          <w:rFonts w:asciiTheme="minorHAnsi" w:hAnsiTheme="minorHAnsi" w:cstheme="minorHAnsi"/>
          <w:spacing w:val="20"/>
          <w:sz w:val="52"/>
          <w:szCs w:val="52"/>
        </w:rPr>
      </w:pPr>
      <w:r>
        <w:rPr>
          <w:rFonts w:asciiTheme="minorHAnsi" w:hAnsiTheme="minorHAnsi" w:cstheme="minorHAnsi"/>
          <w:spacing w:val="20"/>
          <w:sz w:val="52"/>
          <w:szCs w:val="52"/>
        </w:rPr>
        <w:t>User manual</w:t>
      </w:r>
    </w:p>
    <w:p w14:paraId="331EA5E4">
      <w:pPr>
        <w:pStyle w:val="15"/>
        <w:adjustRightInd w:val="0"/>
        <w:spacing w:after="240"/>
        <w:jc w:val="center"/>
        <w:textAlignment w:val="baseline"/>
        <w:rPr>
          <w:rFonts w:eastAsia="黑体" w:cstheme="minorHAnsi"/>
          <w:b/>
          <w:kern w:val="0"/>
          <w:sz w:val="30"/>
          <w:szCs w:val="30"/>
        </w:rPr>
        <w:sectPr>
          <w:headerReference r:id="rId6" w:type="first"/>
          <w:footerReference r:id="rId9" w:type="first"/>
          <w:headerReference r:id="rId4" w:type="default"/>
          <w:footerReference r:id="rId7" w:type="default"/>
          <w:headerReference r:id="rId5" w:type="even"/>
          <w:footerReference r:id="rId8" w:type="even"/>
          <w:type w:val="continuous"/>
          <w:pgSz w:w="11907" w:h="16840"/>
          <w:pgMar w:top="1554" w:right="1077" w:bottom="1134" w:left="1077" w:header="680" w:footer="680" w:gutter="0"/>
          <w:pgNumType w:fmt="numberInDash"/>
          <w:cols w:space="425" w:num="1"/>
          <w:docGrid w:linePitch="312" w:charSpace="48128"/>
        </w:sectPr>
      </w:pPr>
    </w:p>
    <w:p w14:paraId="39CEEBED">
      <w:pPr>
        <w:pStyle w:val="15"/>
        <w:adjustRightInd w:val="0"/>
        <w:spacing w:after="240"/>
        <w:jc w:val="center"/>
        <w:textAlignment w:val="baseline"/>
        <w:rPr>
          <w:rFonts w:eastAsia="黑体" w:cstheme="minorHAnsi"/>
          <w:b/>
          <w:kern w:val="0"/>
          <w:sz w:val="30"/>
          <w:szCs w:val="30"/>
        </w:rPr>
      </w:pPr>
      <w:r>
        <w:rPr>
          <w:rFonts w:eastAsia="黑体" w:cstheme="minorHAnsi"/>
          <w:b/>
          <w:kern w:val="0"/>
          <w:sz w:val="30"/>
          <w:szCs w:val="30"/>
        </w:rPr>
        <w:t>Warning</w:t>
      </w:r>
    </w:p>
    <w:p w14:paraId="523DC39B">
      <w:pPr>
        <w:widowControl/>
        <w:numPr>
          <w:ilvl w:val="0"/>
          <w:numId w:val="5"/>
        </w:numPr>
        <w:spacing w:after="240"/>
        <w:jc w:val="left"/>
        <w:rPr>
          <w:rFonts w:cstheme="minorHAnsi"/>
          <w:kern w:val="0"/>
        </w:rPr>
      </w:pPr>
      <w:r>
        <w:rPr>
          <w:rFonts w:cstheme="minorHAnsi"/>
          <w:kern w:val="0"/>
        </w:rPr>
        <w:t>Place the transmitter horizontally before calibration.</w:t>
      </w:r>
    </w:p>
    <w:p w14:paraId="2685E95A">
      <w:pPr>
        <w:widowControl/>
        <w:numPr>
          <w:ilvl w:val="0"/>
          <w:numId w:val="5"/>
        </w:numPr>
        <w:spacing w:after="240"/>
        <w:jc w:val="left"/>
        <w:rPr>
          <w:rFonts w:cstheme="minorHAnsi"/>
          <w:kern w:val="0"/>
        </w:rPr>
      </w:pPr>
      <w:r>
        <w:rPr>
          <w:rFonts w:cstheme="minorHAnsi"/>
          <w:kern w:val="0"/>
        </w:rPr>
        <w:t>After the transmitter is installed in the field, the transmitter should be zero adjusted.</w:t>
      </w:r>
    </w:p>
    <w:p w14:paraId="7A55E594">
      <w:pPr>
        <w:widowControl/>
        <w:numPr>
          <w:ilvl w:val="0"/>
          <w:numId w:val="5"/>
        </w:numPr>
        <w:spacing w:after="240"/>
        <w:jc w:val="left"/>
        <w:rPr>
          <w:rFonts w:cstheme="minorHAnsi"/>
          <w:kern w:val="0"/>
        </w:rPr>
      </w:pPr>
      <w:r>
        <w:rPr>
          <w:rFonts w:cstheme="minorHAnsi"/>
          <w:kern w:val="0"/>
        </w:rPr>
        <w:t>Install and secure the process connection before the transmitter is pressurized.</w:t>
      </w:r>
    </w:p>
    <w:p w14:paraId="4C554E55">
      <w:pPr>
        <w:widowControl/>
        <w:numPr>
          <w:ilvl w:val="0"/>
          <w:numId w:val="5"/>
        </w:numPr>
        <w:spacing w:after="240"/>
        <w:jc w:val="left"/>
        <w:rPr>
          <w:rFonts w:cstheme="minorHAnsi"/>
          <w:kern w:val="0"/>
        </w:rPr>
      </w:pPr>
      <w:r>
        <w:rPr>
          <w:rFonts w:cstheme="minorHAnsi"/>
          <w:kern w:val="0"/>
        </w:rPr>
        <w:t>The transmitter should be installed in a dry environment and should not be washed by rain. In harsh environments, a transmitter protective case should be used.</w:t>
      </w:r>
    </w:p>
    <w:p w14:paraId="7FAAFE8C">
      <w:pPr>
        <w:widowControl/>
        <w:numPr>
          <w:ilvl w:val="0"/>
          <w:numId w:val="5"/>
        </w:numPr>
        <w:spacing w:after="240"/>
        <w:jc w:val="left"/>
        <w:rPr>
          <w:rFonts w:cstheme="minorHAnsi"/>
          <w:kern w:val="0"/>
        </w:rPr>
      </w:pPr>
      <w:r>
        <w:rPr>
          <w:rFonts w:cstheme="minorHAnsi"/>
          <w:kern w:val="0"/>
        </w:rPr>
        <w:t>It is forbidden for users to disassemble and install the transmitter by themselves.</w:t>
      </w:r>
    </w:p>
    <w:p w14:paraId="5DF441BC">
      <w:pPr>
        <w:widowControl/>
        <w:numPr>
          <w:ilvl w:val="0"/>
          <w:numId w:val="5"/>
        </w:numPr>
        <w:spacing w:after="240"/>
        <w:jc w:val="left"/>
        <w:rPr>
          <w:rFonts w:cstheme="minorHAnsi"/>
          <w:kern w:val="0"/>
        </w:rPr>
      </w:pPr>
      <w:r>
        <w:rPr>
          <w:rFonts w:cstheme="minorHAnsi"/>
          <w:kern w:val="0"/>
        </w:rPr>
        <w:t>Do not remove the transmitter cover in an explosive/flammable atmosphere while power is on.</w:t>
      </w:r>
    </w:p>
    <w:p w14:paraId="7E8AB351">
      <w:pPr>
        <w:widowControl/>
        <w:numPr>
          <w:ilvl w:val="0"/>
          <w:numId w:val="5"/>
        </w:numPr>
        <w:spacing w:after="240"/>
        <w:jc w:val="left"/>
        <w:rPr>
          <w:rFonts w:cstheme="minorHAnsi"/>
          <w:kern w:val="0"/>
        </w:rPr>
      </w:pPr>
      <w:r>
        <w:rPr>
          <w:rFonts w:cstheme="minorHAnsi"/>
          <w:kern w:val="0"/>
        </w:rPr>
        <w:t>Please check whether the power supply voltage of the transmitter meets the power supply voltage requirements in the user manual.</w:t>
      </w:r>
    </w:p>
    <w:p w14:paraId="2A0E2B74">
      <w:pPr>
        <w:widowControl/>
        <w:numPr>
          <w:ilvl w:val="0"/>
          <w:numId w:val="5"/>
        </w:numPr>
        <w:spacing w:after="240"/>
        <w:jc w:val="left"/>
        <w:rPr>
          <w:rFonts w:cstheme="minorHAnsi"/>
          <w:kern w:val="0"/>
        </w:rPr>
      </w:pPr>
      <w:r>
        <w:rPr>
          <w:rFonts w:cstheme="minorHAnsi"/>
          <w:kern w:val="0"/>
        </w:rPr>
        <w:t>The external grounding screw of the transmitter should be reliably connected to the ground.</w:t>
      </w:r>
    </w:p>
    <w:p w14:paraId="7CA5D2E2">
      <w:pPr>
        <w:widowControl/>
        <w:numPr>
          <w:ilvl w:val="0"/>
          <w:numId w:val="5"/>
        </w:numPr>
        <w:spacing w:after="240"/>
        <w:jc w:val="left"/>
        <w:rPr>
          <w:rFonts w:cstheme="minorHAnsi"/>
          <w:kern w:val="0"/>
        </w:rPr>
      </w:pPr>
      <w:r>
        <w:rPr>
          <w:rFonts w:cstheme="minorHAnsi"/>
          <w:kern w:val="0"/>
        </w:rPr>
        <w:t>The installation of the transmitter in an explosive atmosphere must comply with relevant international, national and local standards, codes and guidelines. Please refer to the Explosion Proof section of the manual for restrictions related to safe installation.</w:t>
      </w:r>
    </w:p>
    <w:p w14:paraId="00982ED4">
      <w:pPr>
        <w:widowControl/>
        <w:numPr>
          <w:ilvl w:val="0"/>
          <w:numId w:val="5"/>
        </w:numPr>
        <w:spacing w:after="240"/>
        <w:jc w:val="left"/>
        <w:rPr>
          <w:rFonts w:cstheme="minorHAnsi"/>
          <w:kern w:val="0"/>
        </w:rPr>
      </w:pPr>
      <w:r>
        <w:rPr>
          <w:rFonts w:cstheme="minorHAnsi"/>
          <w:kern w:val="0"/>
        </w:rPr>
        <w:t>The installation and use of the external safety barrier of the intrinsically safe transmitter must be carried out according to its instruction manual.</w:t>
      </w:r>
    </w:p>
    <w:p w14:paraId="69491EE7">
      <w:pPr>
        <w:widowControl/>
        <w:numPr>
          <w:ilvl w:val="0"/>
          <w:numId w:val="5"/>
        </w:numPr>
        <w:spacing w:after="240"/>
        <w:jc w:val="left"/>
        <w:rPr>
          <w:rFonts w:cstheme="minorHAnsi"/>
          <w:kern w:val="0"/>
        </w:rPr>
      </w:pPr>
      <w:r>
        <w:rPr>
          <w:rFonts w:cstheme="minorHAnsi"/>
          <w:kern w:val="0"/>
        </w:rPr>
        <w:t>When using HART communication for transmitter calibration and temperature compensation, the communication device and software provided by our company must be used.</w:t>
      </w:r>
    </w:p>
    <w:p w14:paraId="35338459">
      <w:pPr>
        <w:pStyle w:val="60"/>
        <w:numPr>
          <w:ilvl w:val="0"/>
          <w:numId w:val="0"/>
        </w:numPr>
        <w:spacing w:after="240" w:line="240" w:lineRule="auto"/>
        <w:rPr>
          <w:rFonts w:cstheme="minorHAnsi"/>
          <w:szCs w:val="21"/>
        </w:rPr>
      </w:pPr>
    </w:p>
    <w:p w14:paraId="14691603">
      <w:pPr>
        <w:widowControl/>
        <w:spacing w:after="240"/>
        <w:jc w:val="left"/>
        <w:rPr>
          <w:rFonts w:cstheme="minorHAnsi"/>
        </w:rPr>
      </w:pPr>
    </w:p>
    <w:p w14:paraId="1E7E361A">
      <w:pPr>
        <w:widowControl/>
        <w:spacing w:after="240"/>
        <w:jc w:val="left"/>
        <w:rPr>
          <w:rFonts w:cstheme="minorHAnsi"/>
        </w:rPr>
      </w:pPr>
    </w:p>
    <w:p w14:paraId="6AEE4215">
      <w:pPr>
        <w:spacing w:after="240"/>
        <w:rPr>
          <w:rFonts w:cstheme="minorHAnsi"/>
          <w:b/>
        </w:rPr>
      </w:pPr>
      <w:r>
        <w:rPr>
          <w:rFonts w:cstheme="minorHAnsi"/>
          <w:b/>
        </w:rPr>
        <w:t>Version：V3.9.3.2.11</w:t>
      </w:r>
    </w:p>
    <w:p w14:paraId="516A1A23">
      <w:pPr>
        <w:widowControl/>
        <w:spacing w:after="240"/>
        <w:jc w:val="left"/>
        <w:rPr>
          <w:rFonts w:cstheme="minorHAnsi"/>
        </w:rPr>
      </w:pPr>
    </w:p>
    <w:p w14:paraId="6E7989F4">
      <w:pPr>
        <w:spacing w:after="240"/>
        <w:rPr>
          <w:rFonts w:cstheme="minorHAnsi"/>
          <w:b/>
        </w:rPr>
      </w:pPr>
      <w:r>
        <w:rPr>
          <w:rFonts w:cstheme="minorHAnsi"/>
          <w:b/>
        </w:rPr>
        <w:t>Disclaimer</w:t>
      </w:r>
    </w:p>
    <w:p w14:paraId="47AE3C4B">
      <w:pPr>
        <w:spacing w:after="240"/>
        <w:rPr>
          <w:rFonts w:cstheme="minorHAnsi"/>
        </w:rPr>
      </w:pPr>
      <w:r>
        <w:rPr>
          <w:rFonts w:cstheme="minorHAnsi"/>
        </w:rPr>
        <w:t>The contents of this manual have been checked to confirm the consistency of the described hardware and software. Since errors cannot be completely excluded, absolute consistency cannot be guaranteed. However, we will periodically review the data in this manual and make necessary corrections in subsequent editions. Any suggestions for improvement are welcome.</w:t>
      </w:r>
    </w:p>
    <w:p w14:paraId="024BDD65">
      <w:pPr>
        <w:spacing w:after="240"/>
        <w:rPr>
          <w:rFonts w:cstheme="minorHAnsi"/>
        </w:rPr>
      </w:pPr>
    </w:p>
    <w:p w14:paraId="33791E7E">
      <w:pPr>
        <w:spacing w:after="240"/>
        <w:rPr>
          <w:rFonts w:cstheme="minorHAnsi"/>
          <w:b/>
          <w:bCs/>
          <w:lang w:val="it-IT"/>
        </w:rPr>
      </w:pPr>
      <w:r>
        <w:rPr>
          <w:rFonts w:cstheme="minorHAnsi"/>
          <w:b/>
          <w:bCs/>
          <w:lang w:val="it-IT"/>
        </w:rPr>
        <w:t>Microcyber Corporation</w:t>
      </w:r>
      <w:r>
        <w:rPr>
          <w:rFonts w:cstheme="minorHAnsi"/>
        </w:rPr>
        <w:t xml:space="preserve"> </w:t>
      </w:r>
      <w:r>
        <w:rPr>
          <w:rFonts w:cstheme="minorHAnsi"/>
          <w:b/>
          <w:bCs/>
          <w:lang w:val="it-IT"/>
        </w:rPr>
        <w:t>2024</w:t>
      </w:r>
    </w:p>
    <w:p w14:paraId="4893A776">
      <w:pPr>
        <w:spacing w:after="240"/>
        <w:rPr>
          <w:rFonts w:cstheme="minorHAnsi"/>
        </w:rPr>
      </w:pPr>
    </w:p>
    <w:p w14:paraId="638C229F">
      <w:pPr>
        <w:spacing w:after="240"/>
        <w:rPr>
          <w:rFonts w:cstheme="minorHAnsi"/>
        </w:rPr>
      </w:pPr>
      <w:r>
        <w:rPr>
          <w:rFonts w:cstheme="minorHAnsi"/>
        </w:rPr>
        <w:t>Technical data are subject to change.</w:t>
      </w:r>
    </w:p>
    <w:p w14:paraId="121915EA">
      <w:pPr>
        <w:pStyle w:val="15"/>
        <w:spacing w:after="240"/>
        <w:jc w:val="center"/>
        <w:rPr>
          <w:rFonts w:cstheme="minorHAnsi"/>
          <w:b/>
          <w:sz w:val="30"/>
          <w:szCs w:val="30"/>
        </w:rPr>
      </w:pPr>
      <w:r>
        <w:rPr>
          <w:rFonts w:cstheme="minorHAnsi"/>
          <w:b/>
          <w:sz w:val="30"/>
          <w:szCs w:val="30"/>
        </w:rPr>
        <w:t>Company Introduction</w:t>
      </w:r>
    </w:p>
    <w:p w14:paraId="676A77EA">
      <w:pPr>
        <w:pStyle w:val="15"/>
        <w:spacing w:after="240"/>
        <w:rPr>
          <w:rFonts w:cstheme="minorHAnsi"/>
        </w:rPr>
      </w:pPr>
      <w:r>
        <w:rPr>
          <w:rFonts w:cstheme="minorHAnsi"/>
        </w:rPr>
        <w:t>Microcyber Corporation is a high-tech enterprise founded by Shenyang Institute of Automation, Chinese Academy of Sciences, mainly engaged in networked control system, industrial communication and instrumentation, development, production and application. Microcyber has undertaken many national science and technology major projects, national high-tech research and development plan (863 plan), intelligent manufacturing equipment development project and other national science and technology plan projects, and is the support unit for the construction of the national networked control system engineering research center.</w:t>
      </w:r>
    </w:p>
    <w:p w14:paraId="7A8737E7">
      <w:pPr>
        <w:pStyle w:val="15"/>
        <w:spacing w:after="240"/>
        <w:rPr>
          <w:rFonts w:cstheme="minorHAnsi"/>
        </w:rPr>
      </w:pPr>
      <w:r>
        <w:rPr>
          <w:rFonts w:cstheme="minorHAnsi"/>
        </w:rPr>
        <w:t>Microcyber has successfully developed the first domestically certified fieldbus protocol master stack, the first nationally certified fieldbus instrument, and the first domestically certified safety instrument certified by German TüV. The first industrial Ethernet protocol standard EPA, the first industrial wireless communication protocol standard WIA-PA, and become the IEC international standard.</w:t>
      </w:r>
    </w:p>
    <w:p w14:paraId="30788856">
      <w:pPr>
        <w:pStyle w:val="15"/>
        <w:spacing w:after="240"/>
        <w:rPr>
          <w:rFonts w:cstheme="minorHAnsi"/>
        </w:rPr>
      </w:pPr>
      <w:r>
        <w:rPr>
          <w:rFonts w:cstheme="minorHAnsi"/>
        </w:rPr>
        <w:t>Microcyber's products and technologies have won two second prizes of National Science and Technology Progress Award, one National Science and Technology Invention Award, one first prize of Chinese Academy of Sciences Science and Technology Progress Award, and one first prize of Liaoning Province Science and Technology Progress Award. The products are exported to developed countries such as Europe and the United States. Top companies in the industry such as Emerson in the United States, Rotork in the United Kingdom, and Bifold in the United Kingdom have adopted Microcyber's key technologies or key components in their products, and have successfully completed more than 200 large-scale automation engineering projects.</w:t>
      </w:r>
    </w:p>
    <w:p w14:paraId="1B1328FB">
      <w:pPr>
        <w:pStyle w:val="15"/>
        <w:spacing w:after="240"/>
        <w:rPr>
          <w:rFonts w:cstheme="minorHAnsi"/>
        </w:rPr>
      </w:pPr>
      <w:r>
        <w:rPr>
          <w:rFonts w:cstheme="minorHAnsi"/>
        </w:rPr>
        <w:t>Microcyber is a member of the FCG organization and Profibus National Organization (PNO).。</w:t>
      </w:r>
    </w:p>
    <w:p w14:paraId="4917E193">
      <w:pPr>
        <w:pStyle w:val="15"/>
        <w:spacing w:after="240"/>
        <w:rPr>
          <w:rFonts w:cstheme="minorHAnsi"/>
        </w:rPr>
      </w:pPr>
      <w:r>
        <w:rPr>
          <w:rFonts w:cstheme="minorHAnsi"/>
        </w:rPr>
        <w:t>Microcyber has successfully passed the ISO9001:2008 quality management system certification and the ISO/TS16949 quality system certification for the automotive industry. Excellent R&amp;D team, rich experience in automation engineering design and implementation, industry-leading products, huge market network, and excellent corporate culture have all laid a solid foundation for the company's entrepreneurship and sustainable development.</w:t>
      </w:r>
    </w:p>
    <w:p w14:paraId="3435ADAD">
      <w:pPr>
        <w:pStyle w:val="15"/>
        <w:spacing w:after="240"/>
        <w:rPr>
          <w:rFonts w:cstheme="minorHAnsi"/>
        </w:rPr>
      </w:pPr>
      <w:r>
        <w:rPr>
          <w:rFonts w:cstheme="minorHAnsi"/>
        </w:rPr>
        <w:t>Carry the ideals of employees, create customer value, and promote enterprise development.</w:t>
      </w:r>
    </w:p>
    <w:p w14:paraId="0A54A78F">
      <w:pPr>
        <w:pStyle w:val="15"/>
        <w:spacing w:after="240"/>
        <w:ind w:firstLine="420" w:firstLineChars="200"/>
        <w:rPr>
          <w:rFonts w:cstheme="minorHAnsi"/>
        </w:rPr>
      </w:pPr>
    </w:p>
    <w:p w14:paraId="6CACC707">
      <w:pPr>
        <w:pStyle w:val="15"/>
        <w:spacing w:after="240"/>
        <w:ind w:firstLine="420" w:firstLineChars="200"/>
        <w:rPr>
          <w:rFonts w:cstheme="minorHAnsi"/>
        </w:rPr>
        <w:sectPr>
          <w:headerReference r:id="rId10" w:type="default"/>
          <w:footerReference r:id="rId11" w:type="default"/>
          <w:pgSz w:w="11907" w:h="16840"/>
          <w:pgMar w:top="1554" w:right="1077" w:bottom="1134" w:left="1077" w:header="680" w:footer="680" w:gutter="0"/>
          <w:pgNumType w:fmt="upperRoman" w:start="1"/>
          <w:cols w:space="425" w:num="1"/>
          <w:docGrid w:linePitch="312" w:charSpace="48128"/>
        </w:sectPr>
      </w:pPr>
    </w:p>
    <w:sdt>
      <w:sdtPr>
        <w:rPr>
          <w:rFonts w:cs="Times New Roman" w:asciiTheme="minorHAnsi" w:hAnsiTheme="minorHAnsi" w:eastAsiaTheme="minorEastAsia"/>
          <w:color w:val="auto"/>
          <w:kern w:val="2"/>
          <w:sz w:val="21"/>
          <w:szCs w:val="24"/>
          <w:lang w:val="zh-CN"/>
        </w:rPr>
        <w:id w:val="-352809972"/>
        <w:docPartObj>
          <w:docPartGallery w:val="Table of Contents"/>
          <w:docPartUnique/>
        </w:docPartObj>
      </w:sdtPr>
      <w:sdtEndPr>
        <w:rPr>
          <w:rFonts w:asciiTheme="minorHAnsi" w:hAnsiTheme="minorHAnsi" w:eastAsiaTheme="minorEastAsia" w:cstheme="minorHAnsi"/>
          <w:b/>
          <w:bCs/>
          <w:color w:val="auto"/>
          <w:kern w:val="2"/>
          <w:sz w:val="21"/>
          <w:szCs w:val="21"/>
          <w:lang w:val="zh-CN"/>
        </w:rPr>
      </w:sdtEndPr>
      <w:sdtContent>
        <w:p w14:paraId="3B5C4C95">
          <w:pPr>
            <w:pStyle w:val="63"/>
          </w:pPr>
          <w:r>
            <w:rPr>
              <w:lang w:val="zh-CN"/>
            </w:rPr>
            <w:t>C</w:t>
          </w:r>
          <w:r>
            <w:t>ontent</w:t>
          </w:r>
        </w:p>
        <w:p w14:paraId="4F27CB59">
          <w:pPr>
            <w:pStyle w:val="23"/>
            <w:spacing w:after="240"/>
            <w:rPr>
              <w:rFonts w:cstheme="minorBidi"/>
              <w:bCs w:val="0"/>
              <w:caps w:val="0"/>
              <w:sz w:val="22"/>
              <w:szCs w:val="24"/>
              <w14:ligatures w14:val="standardContextual"/>
            </w:rPr>
          </w:pPr>
          <w:r>
            <w:rPr>
              <w:rFonts w:cstheme="minorHAnsi"/>
              <w:b/>
            </w:rPr>
            <w:fldChar w:fldCharType="begin"/>
          </w:r>
          <w:r>
            <w:rPr>
              <w:rFonts w:cstheme="minorHAnsi"/>
              <w:b/>
            </w:rPr>
            <w:instrText xml:space="preserve"> TOC \o "1-3" \h \z \u </w:instrText>
          </w:r>
          <w:r>
            <w:rPr>
              <w:rFonts w:cstheme="minorHAnsi"/>
              <w:b/>
            </w:rPr>
            <w:fldChar w:fldCharType="separate"/>
          </w:r>
          <w:r>
            <w:fldChar w:fldCharType="begin"/>
          </w:r>
          <w:r>
            <w:instrText xml:space="preserve"> HYPERLINK \l "_Toc199429736" </w:instrText>
          </w:r>
          <w:r>
            <w:fldChar w:fldCharType="separate"/>
          </w:r>
          <w:r>
            <w:rPr>
              <w:rStyle w:val="37"/>
            </w:rPr>
            <w:t>1</w:t>
          </w:r>
          <w:r>
            <w:rPr>
              <w:rFonts w:cstheme="minorBidi"/>
              <w:bCs w:val="0"/>
              <w:caps w:val="0"/>
              <w:sz w:val="22"/>
              <w:szCs w:val="24"/>
              <w14:ligatures w14:val="standardContextual"/>
            </w:rPr>
            <w:tab/>
          </w:r>
          <w:r>
            <w:rPr>
              <w:rStyle w:val="37"/>
            </w:rPr>
            <w:t>Overview</w:t>
          </w:r>
          <w:r>
            <w:tab/>
          </w:r>
          <w:r>
            <w:fldChar w:fldCharType="begin"/>
          </w:r>
          <w:r>
            <w:instrText xml:space="preserve"> PAGEREF _Toc199429736 \h </w:instrText>
          </w:r>
          <w:r>
            <w:fldChar w:fldCharType="separate"/>
          </w:r>
          <w:r>
            <w:t>1</w:t>
          </w:r>
          <w:r>
            <w:fldChar w:fldCharType="end"/>
          </w:r>
          <w:r>
            <w:fldChar w:fldCharType="end"/>
          </w:r>
        </w:p>
        <w:p w14:paraId="44B1038D">
          <w:pPr>
            <w:pStyle w:val="23"/>
            <w:spacing w:after="240"/>
            <w:rPr>
              <w:rFonts w:cstheme="minorBidi"/>
              <w:bCs w:val="0"/>
              <w:caps w:val="0"/>
              <w:sz w:val="22"/>
              <w:szCs w:val="24"/>
              <w14:ligatures w14:val="standardContextual"/>
            </w:rPr>
          </w:pPr>
          <w:r>
            <w:fldChar w:fldCharType="begin"/>
          </w:r>
          <w:r>
            <w:instrText xml:space="preserve"> HYPERLINK \l "_Toc199429737" </w:instrText>
          </w:r>
          <w:r>
            <w:fldChar w:fldCharType="separate"/>
          </w:r>
          <w:r>
            <w:rPr>
              <w:rStyle w:val="37"/>
            </w:rPr>
            <w:t>2</w:t>
          </w:r>
          <w:r>
            <w:rPr>
              <w:rFonts w:cstheme="minorBidi"/>
              <w:bCs w:val="0"/>
              <w:caps w:val="0"/>
              <w:sz w:val="22"/>
              <w:szCs w:val="24"/>
              <w14:ligatures w14:val="standardContextual"/>
            </w:rPr>
            <w:tab/>
          </w:r>
          <w:r>
            <w:rPr>
              <w:rStyle w:val="37"/>
            </w:rPr>
            <w:t>Installation</w:t>
          </w:r>
          <w:r>
            <w:tab/>
          </w:r>
          <w:r>
            <w:fldChar w:fldCharType="begin"/>
          </w:r>
          <w:r>
            <w:instrText xml:space="preserve"> PAGEREF _Toc199429737 \h </w:instrText>
          </w:r>
          <w:r>
            <w:fldChar w:fldCharType="separate"/>
          </w:r>
          <w:r>
            <w:t>3</w:t>
          </w:r>
          <w:r>
            <w:fldChar w:fldCharType="end"/>
          </w:r>
          <w:r>
            <w:fldChar w:fldCharType="end"/>
          </w:r>
        </w:p>
        <w:p w14:paraId="55E2197B">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"_Toc199429738" </w:instrText>
          </w:r>
          <w:r>
            <w:fldChar w:fldCharType="separate"/>
          </w:r>
          <w:r>
            <w:rPr>
              <w:rStyle w:val="37"/>
              <w:rFonts w:cstheme="minorHAnsi"/>
            </w:rPr>
            <w:t>2.1</w:t>
          </w:r>
          <w:r>
            <w:rPr>
              <w:rFonts w:cstheme="minorBidi"/>
              <w:smallCaps w:val="0"/>
              <w:sz w:val="22"/>
              <w:szCs w:val="24"/>
              <w14:ligatures w14:val="standardContextual"/>
            </w:rPr>
            <w:tab/>
          </w:r>
          <w:r>
            <w:rPr>
              <w:rStyle w:val="37"/>
              <w:rFonts w:cstheme="minorHAnsi"/>
            </w:rPr>
            <w:t>NCS-PT105IIM transmitter installation</w:t>
          </w:r>
          <w:r>
            <w:tab/>
          </w:r>
          <w:r>
            <w:fldChar w:fldCharType="begin"/>
          </w:r>
          <w:r>
            <w:instrText xml:space="preserve"> PAGEREF _Toc199429738 \h </w:instrText>
          </w:r>
          <w:r>
            <w:fldChar w:fldCharType="separate"/>
          </w:r>
          <w:r>
            <w:t>3</w:t>
          </w:r>
          <w:r>
            <w:fldChar w:fldCharType="end"/>
          </w:r>
          <w:r>
            <w:fldChar w:fldCharType="end"/>
          </w:r>
        </w:p>
        <w:p w14:paraId="5DF854AE">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"_Toc199429739" </w:instrText>
          </w:r>
          <w:r>
            <w:fldChar w:fldCharType="separate"/>
          </w:r>
          <w:r>
            <w:rPr>
              <w:rStyle w:val="37"/>
              <w:rFonts w:cstheme="minorHAnsi"/>
            </w:rPr>
            <w:t>2.2</w:t>
          </w:r>
          <w:r>
            <w:rPr>
              <w:rFonts w:cstheme="minorBidi"/>
              <w:smallCaps w:val="0"/>
              <w:sz w:val="22"/>
              <w:szCs w:val="24"/>
              <w14:ligatures w14:val="standardContextual"/>
            </w:rPr>
            <w:tab/>
          </w:r>
          <w:r>
            <w:rPr>
              <w:rStyle w:val="37"/>
              <w:rFonts w:cstheme="minorHAnsi"/>
            </w:rPr>
            <w:t>Installation of impulse pipe</w:t>
          </w:r>
          <w:r>
            <w:tab/>
          </w:r>
          <w:r>
            <w:fldChar w:fldCharType="begin"/>
          </w:r>
          <w:r>
            <w:instrText xml:space="preserve"> PAGEREF _Toc199429739 \h </w:instrText>
          </w:r>
          <w:r>
            <w:fldChar w:fldCharType="separate"/>
          </w:r>
          <w:r>
            <w:t>3</w:t>
          </w:r>
          <w:r>
            <w:fldChar w:fldCharType="end"/>
          </w:r>
          <w:r>
            <w:fldChar w:fldCharType="end"/>
          </w:r>
        </w:p>
        <w:p w14:paraId="1AD57E9D">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"_Toc199429740" </w:instrText>
          </w:r>
          <w:r>
            <w:fldChar w:fldCharType="separate"/>
          </w:r>
          <w:r>
            <w:rPr>
              <w:rStyle w:val="37"/>
              <w:rFonts w:cstheme="minorHAnsi"/>
            </w:rPr>
            <w:t>2.3</w:t>
          </w:r>
          <w:r>
            <w:rPr>
              <w:rFonts w:cstheme="minorBidi"/>
              <w:smallCaps w:val="0"/>
              <w:sz w:val="22"/>
              <w:szCs w:val="24"/>
              <w14:ligatures w14:val="standardContextual"/>
            </w:rPr>
            <w:tab/>
          </w:r>
          <w:r>
            <w:rPr>
              <w:rStyle w:val="37"/>
              <w:rFonts w:cstheme="minorHAnsi"/>
            </w:rPr>
            <w:t>NCS-PT105IISM transmitter installation</w:t>
          </w:r>
          <w:r>
            <w:tab/>
          </w:r>
          <w:r>
            <w:fldChar w:fldCharType="begin"/>
          </w:r>
          <w:r>
            <w:instrText xml:space="preserve"> PAGEREF _Toc199429740 \h </w:instrText>
          </w:r>
          <w:r>
            <w:fldChar w:fldCharType="separate"/>
          </w:r>
          <w:r>
            <w:t>5</w:t>
          </w:r>
          <w:r>
            <w:fldChar w:fldCharType="end"/>
          </w:r>
          <w:r>
            <w:fldChar w:fldCharType="end"/>
          </w:r>
        </w:p>
        <w:p w14:paraId="0B6719FD">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"_Toc199429741" </w:instrText>
          </w:r>
          <w:r>
            <w:fldChar w:fldCharType="separate"/>
          </w:r>
          <w:r>
            <w:rPr>
              <w:rStyle w:val="37"/>
              <w:rFonts w:cstheme="minorHAnsi"/>
            </w:rPr>
            <w:t>2.4</w:t>
          </w:r>
          <w:r>
            <w:rPr>
              <w:rFonts w:cstheme="minorBidi"/>
              <w:smallCaps w:val="0"/>
              <w:sz w:val="22"/>
              <w:szCs w:val="24"/>
              <w14:ligatures w14:val="standardContextual"/>
            </w:rPr>
            <w:tab/>
          </w:r>
          <w:r>
            <w:rPr>
              <w:rStyle w:val="37"/>
              <w:rFonts w:cstheme="minorHAnsi"/>
            </w:rPr>
            <w:t>Installation of impulse pipe</w:t>
          </w:r>
          <w:r>
            <w:tab/>
          </w:r>
          <w:r>
            <w:fldChar w:fldCharType="begin"/>
          </w:r>
          <w:r>
            <w:instrText xml:space="preserve"> PAGEREF _Toc199429741 \h </w:instrText>
          </w:r>
          <w:r>
            <w:fldChar w:fldCharType="separate"/>
          </w:r>
          <w:r>
            <w:t>5</w:t>
          </w:r>
          <w:r>
            <w:fldChar w:fldCharType="end"/>
          </w:r>
          <w:r>
            <w:fldChar w:fldCharType="end"/>
          </w:r>
        </w:p>
        <w:p w14:paraId="0D5CC74B">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"_Toc199429742" </w:instrText>
          </w:r>
          <w:r>
            <w:fldChar w:fldCharType="separate"/>
          </w:r>
          <w:r>
            <w:rPr>
              <w:rStyle w:val="37"/>
              <w:rFonts w:cstheme="minorHAnsi"/>
            </w:rPr>
            <w:t>2.5</w:t>
          </w:r>
          <w:r>
            <w:rPr>
              <w:rFonts w:cstheme="minorBidi"/>
              <w:smallCaps w:val="0"/>
              <w:sz w:val="22"/>
              <w:szCs w:val="24"/>
              <w14:ligatures w14:val="standardContextual"/>
            </w:rPr>
            <w:tab/>
          </w:r>
          <w:r>
            <w:rPr>
              <w:rStyle w:val="37"/>
              <w:rFonts w:cstheme="minorHAnsi"/>
            </w:rPr>
            <w:t>Wiring</w:t>
          </w:r>
          <w:r>
            <w:tab/>
          </w:r>
          <w:r>
            <w:fldChar w:fldCharType="begin"/>
          </w:r>
          <w:r>
            <w:instrText xml:space="preserve"> PAGEREF _Toc199429742 \h </w:instrText>
          </w:r>
          <w:r>
            <w:fldChar w:fldCharType="separate"/>
          </w:r>
          <w:r>
            <w:t>5</w:t>
          </w:r>
          <w:r>
            <w:fldChar w:fldCharType="end"/>
          </w:r>
          <w:r>
            <w:fldChar w:fldCharType="end"/>
          </w:r>
        </w:p>
        <w:p w14:paraId="3B564D8E">
          <w:pPr>
            <w:pStyle w:val="18"/>
            <w:spacing w:after="240"/>
            <w:rPr>
              <w:rFonts w:cstheme="minorBidi"/>
              <w:iCs w:val="0"/>
              <w:sz w:val="22"/>
              <w:szCs w:val="24"/>
              <w14:ligatures w14:val="standardContextual"/>
            </w:rPr>
          </w:pPr>
          <w:r>
            <w:fldChar w:fldCharType="begin"/>
          </w:r>
          <w:r>
            <w:instrText xml:space="preserve"> HYPERLINK \l "_Toc199429743" </w:instrText>
          </w:r>
          <w:r>
            <w:fldChar w:fldCharType="separate"/>
          </w:r>
          <w:r>
            <w:rPr>
              <w:rStyle w:val="37"/>
              <w:rFonts w:cstheme="minorHAnsi"/>
            </w:rPr>
            <w:t>2.5.1</w:t>
          </w:r>
          <w:r>
            <w:rPr>
              <w:rFonts w:cstheme="minorBidi"/>
              <w:iCs w:val="0"/>
              <w:sz w:val="22"/>
              <w:szCs w:val="24"/>
              <w14:ligatures w14:val="standardContextual"/>
            </w:rPr>
            <w:tab/>
          </w:r>
          <w:r>
            <w:rPr>
              <w:rStyle w:val="37"/>
              <w:rFonts w:cstheme="minorHAnsi"/>
            </w:rPr>
            <w:t>Wiring of FF、PA、HART intelligent transmitter</w:t>
          </w:r>
          <w:r>
            <w:tab/>
          </w:r>
          <w:r>
            <w:fldChar w:fldCharType="begin"/>
          </w:r>
          <w:r>
            <w:instrText xml:space="preserve"> PAGEREF _Toc199429743 \h </w:instrText>
          </w:r>
          <w:r>
            <w:fldChar w:fldCharType="separate"/>
          </w:r>
          <w:r>
            <w:t>5</w:t>
          </w:r>
          <w:r>
            <w:fldChar w:fldCharType="end"/>
          </w:r>
          <w:r>
            <w:fldChar w:fldCharType="end"/>
          </w:r>
        </w:p>
        <w:p w14:paraId="78EA1B19">
          <w:pPr>
            <w:pStyle w:val="18"/>
            <w:spacing w:after="240"/>
            <w:rPr>
              <w:rFonts w:cstheme="minorBidi"/>
              <w:iCs w:val="0"/>
              <w:sz w:val="22"/>
              <w:szCs w:val="24"/>
              <w14:ligatures w14:val="standardContextual"/>
            </w:rPr>
          </w:pPr>
          <w:r>
            <w:fldChar w:fldCharType="begin"/>
          </w:r>
          <w:r>
            <w:instrText xml:space="preserve"> HYPERLINK \l "_Toc199429744" </w:instrText>
          </w:r>
          <w:r>
            <w:fldChar w:fldCharType="separate"/>
          </w:r>
          <w:r>
            <w:rPr>
              <w:rStyle w:val="37"/>
              <w:rFonts w:cstheme="minorHAnsi"/>
            </w:rPr>
            <w:t>2.5.2</w:t>
          </w:r>
          <w:r>
            <w:rPr>
              <w:rFonts w:cstheme="minorBidi"/>
              <w:iCs w:val="0"/>
              <w:sz w:val="22"/>
              <w:szCs w:val="24"/>
              <w14:ligatures w14:val="standardContextual"/>
            </w:rPr>
            <w:tab/>
          </w:r>
          <w:r>
            <w:rPr>
              <w:rStyle w:val="37"/>
              <w:rFonts w:cstheme="minorHAnsi"/>
            </w:rPr>
            <w:t>Wiring of DP intelligent transmitter</w:t>
          </w:r>
          <w:r>
            <w:tab/>
          </w:r>
          <w:r>
            <w:fldChar w:fldCharType="begin"/>
          </w:r>
          <w:r>
            <w:instrText xml:space="preserve"> PAGEREF _Toc199429744 \h </w:instrText>
          </w:r>
          <w:r>
            <w:fldChar w:fldCharType="separate"/>
          </w:r>
          <w:r>
            <w:t>6</w:t>
          </w:r>
          <w:r>
            <w:fldChar w:fldCharType="end"/>
          </w:r>
          <w:r>
            <w:fldChar w:fldCharType="end"/>
          </w:r>
        </w:p>
        <w:p w14:paraId="481E781B">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"_Toc199429745" </w:instrText>
          </w:r>
          <w:r>
            <w:fldChar w:fldCharType="separate"/>
          </w:r>
          <w:r>
            <w:rPr>
              <w:rStyle w:val="37"/>
              <w:rFonts w:cstheme="minorHAnsi"/>
            </w:rPr>
            <w:t>2.6</w:t>
          </w:r>
          <w:r>
            <w:rPr>
              <w:rFonts w:cstheme="minorBidi"/>
              <w:smallCaps w:val="0"/>
              <w:sz w:val="22"/>
              <w:szCs w:val="24"/>
              <w14:ligatures w14:val="standardContextual"/>
            </w:rPr>
            <w:tab/>
          </w:r>
          <w:r>
            <w:rPr>
              <w:rStyle w:val="37"/>
              <w:rFonts w:cstheme="minorHAnsi"/>
            </w:rPr>
            <w:t>Re-calibration inspection</w:t>
          </w:r>
          <w:r>
            <w:tab/>
          </w:r>
          <w:r>
            <w:fldChar w:fldCharType="begin"/>
          </w:r>
          <w:r>
            <w:instrText xml:space="preserve"> PAGEREF _Toc199429745 \h </w:instrText>
          </w:r>
          <w:r>
            <w:fldChar w:fldCharType="separate"/>
          </w:r>
          <w:r>
            <w:t>8</w:t>
          </w:r>
          <w:r>
            <w:fldChar w:fldCharType="end"/>
          </w:r>
          <w:r>
            <w:fldChar w:fldCharType="end"/>
          </w:r>
        </w:p>
        <w:p w14:paraId="53F27E8C">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"_Toc199429746" </w:instrText>
          </w:r>
          <w:r>
            <w:fldChar w:fldCharType="separate"/>
          </w:r>
          <w:r>
            <w:rPr>
              <w:rStyle w:val="37"/>
              <w:rFonts w:cstheme="minorHAnsi"/>
            </w:rPr>
            <w:t>2.7</w:t>
          </w:r>
          <w:r>
            <w:rPr>
              <w:rFonts w:cstheme="minorBidi"/>
              <w:smallCaps w:val="0"/>
              <w:sz w:val="22"/>
              <w:szCs w:val="24"/>
              <w14:ligatures w14:val="standardContextual"/>
            </w:rPr>
            <w:tab/>
          </w:r>
          <w:r>
            <w:rPr>
              <w:rStyle w:val="37"/>
              <w:rFonts w:cstheme="minorHAnsi"/>
            </w:rPr>
            <w:t>Installation of explosion-proof transmitter</w:t>
          </w:r>
          <w:r>
            <w:tab/>
          </w:r>
          <w:r>
            <w:fldChar w:fldCharType="begin"/>
          </w:r>
          <w:r>
            <w:instrText xml:space="preserve"> PAGEREF _Toc199429746 \h </w:instrText>
          </w:r>
          <w:r>
            <w:fldChar w:fldCharType="separate"/>
          </w:r>
          <w:r>
            <w:t>8</w:t>
          </w:r>
          <w:r>
            <w:fldChar w:fldCharType="end"/>
          </w:r>
          <w:r>
            <w:fldChar w:fldCharType="end"/>
          </w:r>
        </w:p>
        <w:p w14:paraId="18ED996D">
          <w:pPr>
            <w:pStyle w:val="23"/>
            <w:spacing w:after="240"/>
            <w:rPr>
              <w:rFonts w:cstheme="minorBidi"/>
              <w:bCs w:val="0"/>
              <w:caps w:val="0"/>
              <w:sz w:val="22"/>
              <w:szCs w:val="24"/>
              <w14:ligatures w14:val="standardContextual"/>
            </w:rPr>
          </w:pPr>
          <w:r>
            <w:fldChar w:fldCharType="begin"/>
          </w:r>
          <w:r>
            <w:instrText xml:space="preserve"> HYPERLINK \l "_Toc199429747" </w:instrText>
          </w:r>
          <w:r>
            <w:fldChar w:fldCharType="separate"/>
          </w:r>
          <w:r>
            <w:rPr>
              <w:rStyle w:val="37"/>
            </w:rPr>
            <w:t>3</w:t>
          </w:r>
          <w:r>
            <w:rPr>
              <w:rFonts w:cstheme="minorBidi"/>
              <w:bCs w:val="0"/>
              <w:caps w:val="0"/>
              <w:sz w:val="22"/>
              <w:szCs w:val="24"/>
              <w14:ligatures w14:val="standardContextual"/>
            </w:rPr>
            <w:tab/>
          </w:r>
          <w:r>
            <w:rPr>
              <w:rStyle w:val="37"/>
            </w:rPr>
            <w:t>Working Principle and Structure</w:t>
          </w:r>
          <w:r>
            <w:tab/>
          </w:r>
          <w:r>
            <w:fldChar w:fldCharType="begin"/>
          </w:r>
          <w:r>
            <w:instrText xml:space="preserve"> PAGEREF _Toc199429747 \h </w:instrText>
          </w:r>
          <w:r>
            <w:fldChar w:fldCharType="separate"/>
          </w:r>
          <w:r>
            <w:t>9</w:t>
          </w:r>
          <w:r>
            <w:fldChar w:fldCharType="end"/>
          </w:r>
          <w:r>
            <w:fldChar w:fldCharType="end"/>
          </w:r>
        </w:p>
        <w:p w14:paraId="6E23B8E5">
          <w:pPr>
            <w:pStyle w:val="23"/>
            <w:spacing w:after="240"/>
            <w:rPr>
              <w:rFonts w:cstheme="minorBidi"/>
              <w:bCs w:val="0"/>
              <w:caps w:val="0"/>
              <w:sz w:val="22"/>
              <w:szCs w:val="24"/>
              <w14:ligatures w14:val="standardContextual"/>
            </w:rPr>
          </w:pPr>
          <w:r>
            <w:fldChar w:fldCharType="begin"/>
          </w:r>
          <w:r>
            <w:instrText xml:space="preserve"> HYPERLINK \l "_Toc199429748" </w:instrText>
          </w:r>
          <w:r>
            <w:fldChar w:fldCharType="separate"/>
          </w:r>
          <w:r>
            <w:rPr>
              <w:rStyle w:val="37"/>
            </w:rPr>
            <w:t>4</w:t>
          </w:r>
          <w:r>
            <w:rPr>
              <w:rFonts w:cstheme="minorBidi"/>
              <w:bCs w:val="0"/>
              <w:caps w:val="0"/>
              <w:sz w:val="22"/>
              <w:szCs w:val="24"/>
              <w14:ligatures w14:val="standardContextual"/>
            </w:rPr>
            <w:tab/>
          </w:r>
          <w:r>
            <w:rPr>
              <w:rStyle w:val="37"/>
            </w:rPr>
            <w:t>On-site adjustment</w:t>
          </w:r>
          <w:r>
            <w:tab/>
          </w:r>
          <w:r>
            <w:fldChar w:fldCharType="begin"/>
          </w:r>
          <w:r>
            <w:instrText xml:space="preserve"> PAGEREF _Toc199429748 \h </w:instrText>
          </w:r>
          <w:r>
            <w:fldChar w:fldCharType="separate"/>
          </w:r>
          <w:r>
            <w:t>10</w:t>
          </w:r>
          <w:r>
            <w:fldChar w:fldCharType="end"/>
          </w:r>
          <w:r>
            <w:fldChar w:fldCharType="end"/>
          </w:r>
        </w:p>
        <w:p w14:paraId="6B792246">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"_Toc199429749" </w:instrText>
          </w:r>
          <w:r>
            <w:fldChar w:fldCharType="separate"/>
          </w:r>
          <w:r>
            <w:rPr>
              <w:rStyle w:val="37"/>
              <w:rFonts w:cstheme="minorHAnsi"/>
            </w:rPr>
            <w:t>4.1</w:t>
          </w:r>
          <w:r>
            <w:rPr>
              <w:rFonts w:cstheme="minorBidi"/>
              <w:smallCaps w:val="0"/>
              <w:sz w:val="22"/>
              <w:szCs w:val="24"/>
              <w14:ligatures w14:val="standardContextual"/>
            </w:rPr>
            <w:tab/>
          </w:r>
          <w:r>
            <w:rPr>
              <w:rStyle w:val="37"/>
              <w:rFonts w:cstheme="minorHAnsi"/>
            </w:rPr>
            <w:t>Operating Instructions of Magnetic Bar</w:t>
          </w:r>
          <w:r>
            <w:tab/>
          </w:r>
          <w:r>
            <w:fldChar w:fldCharType="begin"/>
          </w:r>
          <w:r>
            <w:instrText xml:space="preserve"> PAGEREF _Toc199429749 \h </w:instrText>
          </w:r>
          <w:r>
            <w:fldChar w:fldCharType="separate"/>
          </w:r>
          <w:r>
            <w:t>10</w:t>
          </w:r>
          <w:r>
            <w:fldChar w:fldCharType="end"/>
          </w:r>
          <w:r>
            <w:fldChar w:fldCharType="end"/>
          </w:r>
        </w:p>
        <w:p w14:paraId="2124C5A7">
          <w:pPr>
            <w:pStyle w:val="18"/>
            <w:spacing w:after="240"/>
            <w:rPr>
              <w:rFonts w:cstheme="minorBidi"/>
              <w:iCs w:val="0"/>
              <w:sz w:val="22"/>
              <w:szCs w:val="24"/>
              <w14:ligatures w14:val="standardContextual"/>
            </w:rPr>
          </w:pPr>
          <w:r>
            <w:fldChar w:fldCharType="begin"/>
          </w:r>
          <w:r>
            <w:instrText xml:space="preserve"> HYPERLINK \l "_Toc199429750" </w:instrText>
          </w:r>
          <w:r>
            <w:fldChar w:fldCharType="separate"/>
          </w:r>
          <w:r>
            <w:rPr>
              <w:rStyle w:val="37"/>
              <w:rFonts w:cstheme="minorHAnsi"/>
            </w:rPr>
            <w:t>4.1.1</w:t>
          </w:r>
          <w:r>
            <w:rPr>
              <w:rFonts w:cstheme="minorBidi"/>
              <w:iCs w:val="0"/>
              <w:sz w:val="22"/>
              <w:szCs w:val="24"/>
              <w14:ligatures w14:val="standardContextual"/>
            </w:rPr>
            <w:tab/>
          </w:r>
          <w:r>
            <w:rPr>
              <w:rStyle w:val="37"/>
              <w:rFonts w:cstheme="minorHAnsi"/>
            </w:rPr>
            <w:t>General adjustment method</w:t>
          </w:r>
          <w:r>
            <w:tab/>
          </w:r>
          <w:r>
            <w:fldChar w:fldCharType="begin"/>
          </w:r>
          <w:r>
            <w:instrText xml:space="preserve"> PAGEREF _Toc199429750 \h </w:instrText>
          </w:r>
          <w:r>
            <w:fldChar w:fldCharType="separate"/>
          </w:r>
          <w:r>
            <w:t>11</w:t>
          </w:r>
          <w:r>
            <w:fldChar w:fldCharType="end"/>
          </w:r>
          <w:r>
            <w:fldChar w:fldCharType="end"/>
          </w:r>
        </w:p>
        <w:p w14:paraId="1ABF52A4">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"_Toc199429751" </w:instrText>
          </w:r>
          <w:r>
            <w:fldChar w:fldCharType="separate"/>
          </w:r>
          <w:r>
            <w:rPr>
              <w:rStyle w:val="37"/>
              <w:rFonts w:cstheme="minorHAnsi"/>
            </w:rPr>
            <w:t>4.2</w:t>
          </w:r>
          <w:r>
            <w:rPr>
              <w:rFonts w:cstheme="minorBidi"/>
              <w:smallCaps w:val="0"/>
              <w:sz w:val="22"/>
              <w:szCs w:val="24"/>
              <w14:ligatures w14:val="standardContextual"/>
            </w:rPr>
            <w:tab/>
          </w:r>
          <w:r>
            <w:rPr>
              <w:rStyle w:val="37"/>
              <w:rFonts w:cstheme="minorHAnsi"/>
            </w:rPr>
            <w:t>On-site calibration of HART intelligent transmitter</w:t>
          </w:r>
          <w:r>
            <w:tab/>
          </w:r>
          <w:r>
            <w:fldChar w:fldCharType="begin"/>
          </w:r>
          <w:r>
            <w:instrText xml:space="preserve"> PAGEREF _Toc199429751 \h </w:instrText>
          </w:r>
          <w:r>
            <w:fldChar w:fldCharType="separate"/>
          </w:r>
          <w:r>
            <w:t>11</w:t>
          </w:r>
          <w:r>
            <w:fldChar w:fldCharType="end"/>
          </w:r>
          <w:r>
            <w:fldChar w:fldCharType="end"/>
          </w:r>
        </w:p>
        <w:p w14:paraId="38D20F2E">
          <w:pPr>
            <w:pStyle w:val="18"/>
            <w:spacing w:after="240"/>
            <w:rPr>
              <w:rFonts w:cstheme="minorBidi"/>
              <w:iCs w:val="0"/>
              <w:sz w:val="22"/>
              <w:szCs w:val="24"/>
              <w14:ligatures w14:val="standardContextual"/>
            </w:rPr>
          </w:pPr>
          <w:r>
            <w:fldChar w:fldCharType="begin"/>
          </w:r>
          <w:r>
            <w:instrText xml:space="preserve"> HYPERLINK \l "_Toc199429752" </w:instrText>
          </w:r>
          <w:r>
            <w:fldChar w:fldCharType="separate"/>
          </w:r>
          <w:r>
            <w:rPr>
              <w:rStyle w:val="37"/>
              <w:rFonts w:cstheme="minorHAnsi"/>
            </w:rPr>
            <w:t>4.2.1</w:t>
          </w:r>
          <w:r>
            <w:rPr>
              <w:rFonts w:cstheme="minorBidi"/>
              <w:iCs w:val="0"/>
              <w:sz w:val="22"/>
              <w:szCs w:val="24"/>
              <w14:ligatures w14:val="standardContextual"/>
            </w:rPr>
            <w:tab/>
          </w:r>
          <w:r>
            <w:rPr>
              <w:rStyle w:val="37"/>
              <w:rFonts w:cstheme="minorHAnsi"/>
            </w:rPr>
            <w:t>Measured value display</w:t>
          </w:r>
          <w:r>
            <w:tab/>
          </w:r>
          <w:r>
            <w:fldChar w:fldCharType="begin"/>
          </w:r>
          <w:r>
            <w:instrText xml:space="preserve"> PAGEREF _Toc199429752 \h </w:instrText>
          </w:r>
          <w:r>
            <w:fldChar w:fldCharType="separate"/>
          </w:r>
          <w:r>
            <w:t>12</w:t>
          </w:r>
          <w:r>
            <w:fldChar w:fldCharType="end"/>
          </w:r>
          <w:r>
            <w:fldChar w:fldCharType="end"/>
          </w:r>
        </w:p>
        <w:p w14:paraId="6D9D3AFD">
          <w:pPr>
            <w:pStyle w:val="18"/>
            <w:spacing w:after="240"/>
            <w:rPr>
              <w:rFonts w:cstheme="minorBidi"/>
              <w:iCs w:val="0"/>
              <w:sz w:val="22"/>
              <w:szCs w:val="24"/>
              <w14:ligatures w14:val="standardContextual"/>
            </w:rPr>
          </w:pPr>
          <w:r>
            <w:fldChar w:fldCharType="begin"/>
          </w:r>
          <w:r>
            <w:instrText xml:space="preserve"> HYPERLINK \l "_Toc199429753" </w:instrText>
          </w:r>
          <w:r>
            <w:fldChar w:fldCharType="separate"/>
          </w:r>
          <w:r>
            <w:rPr>
              <w:rStyle w:val="37"/>
              <w:rFonts w:cstheme="minorHAnsi"/>
            </w:rPr>
            <w:t>4.2.2</w:t>
          </w:r>
          <w:r>
            <w:rPr>
              <w:rFonts w:cstheme="minorBidi"/>
              <w:iCs w:val="0"/>
              <w:sz w:val="22"/>
              <w:szCs w:val="24"/>
              <w14:ligatures w14:val="standardContextual"/>
            </w:rPr>
            <w:tab/>
          </w:r>
          <w:r>
            <w:rPr>
              <w:rStyle w:val="37"/>
              <w:rFonts w:cstheme="minorHAnsi"/>
            </w:rPr>
            <w:t>Error display</w:t>
          </w:r>
          <w:r>
            <w:tab/>
          </w:r>
          <w:r>
            <w:fldChar w:fldCharType="begin"/>
          </w:r>
          <w:r>
            <w:instrText xml:space="preserve"> PAGEREF _Toc199429753 \h </w:instrText>
          </w:r>
          <w:r>
            <w:fldChar w:fldCharType="separate"/>
          </w:r>
          <w:r>
            <w:t>13</w:t>
          </w:r>
          <w:r>
            <w:fldChar w:fldCharType="end"/>
          </w:r>
          <w:r>
            <w:fldChar w:fldCharType="end"/>
          </w:r>
        </w:p>
        <w:p w14:paraId="43ECEF99">
          <w:pPr>
            <w:pStyle w:val="18"/>
            <w:spacing w:after="240"/>
            <w:rPr>
              <w:rFonts w:cstheme="minorBidi"/>
              <w:iCs w:val="0"/>
              <w:sz w:val="22"/>
              <w:szCs w:val="24"/>
              <w14:ligatures w14:val="standardContextual"/>
            </w:rPr>
          </w:pPr>
          <w:r>
            <w:fldChar w:fldCharType="begin"/>
          </w:r>
          <w:r>
            <w:instrText xml:space="preserve"> HYPERLINK \l "_Toc199429754" </w:instrText>
          </w:r>
          <w:r>
            <w:fldChar w:fldCharType="separate"/>
          </w:r>
          <w:r>
            <w:rPr>
              <w:rStyle w:val="37"/>
              <w:rFonts w:cstheme="minorHAnsi"/>
            </w:rPr>
            <w:t>4.2.3</w:t>
          </w:r>
          <w:r>
            <w:rPr>
              <w:rFonts w:cstheme="minorBidi"/>
              <w:iCs w:val="0"/>
              <w:sz w:val="22"/>
              <w:szCs w:val="24"/>
              <w14:ligatures w14:val="standardContextual"/>
            </w:rPr>
            <w:tab/>
          </w:r>
          <w:r>
            <w:rPr>
              <w:rStyle w:val="37"/>
              <w:rFonts w:cstheme="minorHAnsi"/>
            </w:rPr>
            <w:t>Operation steps for setting the lower limit of the range - Mode 03</w:t>
          </w:r>
          <w:r>
            <w:tab/>
          </w:r>
          <w:r>
            <w:fldChar w:fldCharType="begin"/>
          </w:r>
          <w:r>
            <w:instrText xml:space="preserve"> PAGEREF _Toc199429754 \h </w:instrText>
          </w:r>
          <w:r>
            <w:fldChar w:fldCharType="separate"/>
          </w:r>
          <w:r>
            <w:t>13</w:t>
          </w:r>
          <w:r>
            <w:fldChar w:fldCharType="end"/>
          </w:r>
          <w:r>
            <w:fldChar w:fldCharType="end"/>
          </w:r>
        </w:p>
        <w:p w14:paraId="73B0ABCD">
          <w:pPr>
            <w:pStyle w:val="18"/>
            <w:spacing w:after="240"/>
            <w:rPr>
              <w:rFonts w:cstheme="minorBidi"/>
              <w:iCs w:val="0"/>
              <w:sz w:val="22"/>
              <w:szCs w:val="24"/>
              <w14:ligatures w14:val="standardContextual"/>
            </w:rPr>
          </w:pPr>
          <w:r>
            <w:fldChar w:fldCharType="begin"/>
          </w:r>
          <w:r>
            <w:instrText xml:space="preserve"> HYPERLINK \l "_Toc199429755" </w:instrText>
          </w:r>
          <w:r>
            <w:fldChar w:fldCharType="separate"/>
          </w:r>
          <w:r>
            <w:rPr>
              <w:rStyle w:val="37"/>
              <w:rFonts w:cstheme="minorHAnsi"/>
            </w:rPr>
            <w:t>4.2.4</w:t>
          </w:r>
          <w:r>
            <w:rPr>
              <w:rFonts w:cstheme="minorBidi"/>
              <w:iCs w:val="0"/>
              <w:sz w:val="22"/>
              <w:szCs w:val="24"/>
              <w14:ligatures w14:val="standardContextual"/>
            </w:rPr>
            <w:tab/>
          </w:r>
          <w:r>
            <w:rPr>
              <w:rStyle w:val="37"/>
              <w:rFonts w:cstheme="minorHAnsi"/>
            </w:rPr>
            <w:t>Operation steps for setting the upper limit of the range - Mode 04</w:t>
          </w:r>
          <w:r>
            <w:tab/>
          </w:r>
          <w:r>
            <w:fldChar w:fldCharType="begin"/>
          </w:r>
          <w:r>
            <w:instrText xml:space="preserve"> PAGEREF _Toc199429755 \h </w:instrText>
          </w:r>
          <w:r>
            <w:fldChar w:fldCharType="separate"/>
          </w:r>
          <w:r>
            <w:t>13</w:t>
          </w:r>
          <w:r>
            <w:fldChar w:fldCharType="end"/>
          </w:r>
          <w:r>
            <w:fldChar w:fldCharType="end"/>
          </w:r>
        </w:p>
        <w:p w14:paraId="5BBBD4E7">
          <w:pPr>
            <w:pStyle w:val="18"/>
            <w:spacing w:after="240"/>
            <w:rPr>
              <w:rFonts w:cstheme="minorBidi"/>
              <w:iCs w:val="0"/>
              <w:sz w:val="22"/>
              <w:szCs w:val="24"/>
              <w14:ligatures w14:val="standardContextual"/>
            </w:rPr>
          </w:pPr>
          <w:r>
            <w:fldChar w:fldCharType="begin"/>
          </w:r>
          <w:r>
            <w:instrText xml:space="preserve"> HYPERLINK \l "_Toc199429756" </w:instrText>
          </w:r>
          <w:r>
            <w:fldChar w:fldCharType="separate"/>
          </w:r>
          <w:r>
            <w:rPr>
              <w:rStyle w:val="37"/>
              <w:rFonts w:cstheme="minorHAnsi"/>
            </w:rPr>
            <w:t>4.2.5</w:t>
          </w:r>
          <w:r>
            <w:rPr>
              <w:rFonts w:cstheme="minorBidi"/>
              <w:iCs w:val="0"/>
              <w:sz w:val="22"/>
              <w:szCs w:val="24"/>
              <w14:ligatures w14:val="standardContextual"/>
            </w:rPr>
            <w:tab/>
          </w:r>
          <w:r>
            <w:rPr>
              <w:rStyle w:val="37"/>
              <w:rFonts w:cstheme="minorHAnsi"/>
            </w:rPr>
            <w:t>Steps to Set Electronic Damping - Mode 05</w:t>
          </w:r>
          <w:r>
            <w:tab/>
          </w:r>
          <w:r>
            <w:fldChar w:fldCharType="begin"/>
          </w:r>
          <w:r>
            <w:instrText xml:space="preserve"> PAGEREF _Toc199429756 \h </w:instrText>
          </w:r>
          <w:r>
            <w:fldChar w:fldCharType="separate"/>
          </w:r>
          <w:r>
            <w:t>13</w:t>
          </w:r>
          <w:r>
            <w:fldChar w:fldCharType="end"/>
          </w:r>
          <w:r>
            <w:fldChar w:fldCharType="end"/>
          </w:r>
        </w:p>
        <w:p w14:paraId="4FE37E74">
          <w:pPr>
            <w:pStyle w:val="18"/>
            <w:spacing w:after="240"/>
            <w:rPr>
              <w:rFonts w:cstheme="minorBidi"/>
              <w:iCs w:val="0"/>
              <w:sz w:val="22"/>
              <w:szCs w:val="24"/>
              <w14:ligatures w14:val="standardContextual"/>
            </w:rPr>
          </w:pPr>
          <w:r>
            <w:fldChar w:fldCharType="begin"/>
          </w:r>
          <w:r>
            <w:instrText xml:space="preserve"> HYPERLINK \l "_Toc199429757" </w:instrText>
          </w:r>
          <w:r>
            <w:fldChar w:fldCharType="separate"/>
          </w:r>
          <w:r>
            <w:rPr>
              <w:rStyle w:val="37"/>
              <w:rFonts w:cstheme="minorHAnsi"/>
            </w:rPr>
            <w:t>4.2.6</w:t>
          </w:r>
          <w:r>
            <w:rPr>
              <w:rFonts w:cstheme="minorBidi"/>
              <w:iCs w:val="0"/>
              <w:sz w:val="22"/>
              <w:szCs w:val="24"/>
              <w14:ligatures w14:val="standardContextual"/>
            </w:rPr>
            <w:tab/>
          </w:r>
          <w:r>
            <w:rPr>
              <w:rStyle w:val="37"/>
              <w:rFonts w:cstheme="minorHAnsi"/>
            </w:rPr>
            <w:t>Operation steps for passively setting the lower limit of the range - Mode 06</w:t>
          </w:r>
          <w:r>
            <w:tab/>
          </w:r>
          <w:r>
            <w:fldChar w:fldCharType="begin"/>
          </w:r>
          <w:r>
            <w:instrText xml:space="preserve"> PAGEREF _Toc199429757 \h </w:instrText>
          </w:r>
          <w:r>
            <w:fldChar w:fldCharType="separate"/>
          </w:r>
          <w:r>
            <w:t>13</w:t>
          </w:r>
          <w:r>
            <w:fldChar w:fldCharType="end"/>
          </w:r>
          <w:r>
            <w:fldChar w:fldCharType="end"/>
          </w:r>
        </w:p>
        <w:p w14:paraId="65770E7E">
          <w:pPr>
            <w:pStyle w:val="18"/>
            <w:spacing w:after="240"/>
            <w:rPr>
              <w:rFonts w:cstheme="minorBidi"/>
              <w:iCs w:val="0"/>
              <w:sz w:val="22"/>
              <w:szCs w:val="24"/>
              <w14:ligatures w14:val="standardContextual"/>
            </w:rPr>
          </w:pPr>
          <w:r>
            <w:fldChar w:fldCharType="begin"/>
          </w:r>
          <w:r>
            <w:instrText xml:space="preserve"> HYPERLINK \l "_Toc199429758" </w:instrText>
          </w:r>
          <w:r>
            <w:fldChar w:fldCharType="separate"/>
          </w:r>
          <w:r>
            <w:rPr>
              <w:rStyle w:val="37"/>
              <w:rFonts w:cstheme="minorHAnsi"/>
            </w:rPr>
            <w:t>4.2.7</w:t>
          </w:r>
          <w:r>
            <w:rPr>
              <w:rFonts w:cstheme="minorBidi"/>
              <w:iCs w:val="0"/>
              <w:sz w:val="22"/>
              <w:szCs w:val="24"/>
              <w14:ligatures w14:val="standardContextual"/>
            </w:rPr>
            <w:tab/>
          </w:r>
          <w:r>
            <w:rPr>
              <w:rStyle w:val="37"/>
              <w:rFonts w:cstheme="minorHAnsi"/>
            </w:rPr>
            <w:t>Operation steps for passive setting of upper range limit - Mode 07</w:t>
          </w:r>
          <w:r>
            <w:tab/>
          </w:r>
          <w:r>
            <w:fldChar w:fldCharType="begin"/>
          </w:r>
          <w:r>
            <w:instrText xml:space="preserve"> PAGEREF _Toc199429758 \h </w:instrText>
          </w:r>
          <w:r>
            <w:fldChar w:fldCharType="separate"/>
          </w:r>
          <w:r>
            <w:t>14</w:t>
          </w:r>
          <w:r>
            <w:fldChar w:fldCharType="end"/>
          </w:r>
          <w:r>
            <w:fldChar w:fldCharType="end"/>
          </w:r>
        </w:p>
        <w:p w14:paraId="2373D643">
          <w:pPr>
            <w:pStyle w:val="18"/>
            <w:spacing w:after="240"/>
            <w:rPr>
              <w:rFonts w:cstheme="minorBidi"/>
              <w:iCs w:val="0"/>
              <w:sz w:val="22"/>
              <w:szCs w:val="24"/>
              <w14:ligatures w14:val="standardContextual"/>
            </w:rPr>
          </w:pPr>
          <w:r>
            <w:fldChar w:fldCharType="begin"/>
          </w:r>
          <w:r>
            <w:instrText xml:space="preserve"> HYPERLINK \l "_Toc199429759" </w:instrText>
          </w:r>
          <w:r>
            <w:fldChar w:fldCharType="separate"/>
          </w:r>
          <w:r>
            <w:rPr>
              <w:rStyle w:val="37"/>
              <w:rFonts w:cstheme="minorHAnsi"/>
            </w:rPr>
            <w:t>4.2.8</w:t>
          </w:r>
          <w:r>
            <w:rPr>
              <w:rFonts w:cstheme="minorBidi"/>
              <w:iCs w:val="0"/>
              <w:sz w:val="22"/>
              <w:szCs w:val="24"/>
              <w14:ligatures w14:val="standardContextual"/>
            </w:rPr>
            <w:tab/>
          </w:r>
          <w:r>
            <w:rPr>
              <w:rStyle w:val="37"/>
              <w:rFonts w:cstheme="minorHAnsi"/>
            </w:rPr>
            <w:t>Set the main variable zero operation steps - Mode 08</w:t>
          </w:r>
          <w:r>
            <w:tab/>
          </w:r>
          <w:r>
            <w:fldChar w:fldCharType="begin"/>
          </w:r>
          <w:r>
            <w:instrText xml:space="preserve"> PAGEREF _Toc199429759 \h </w:instrText>
          </w:r>
          <w:r>
            <w:fldChar w:fldCharType="separate"/>
          </w:r>
          <w:r>
            <w:t>14</w:t>
          </w:r>
          <w:r>
            <w:fldChar w:fldCharType="end"/>
          </w:r>
          <w:r>
            <w:fldChar w:fldCharType="end"/>
          </w:r>
        </w:p>
        <w:p w14:paraId="2DEF7DB1">
          <w:pPr>
            <w:pStyle w:val="18"/>
            <w:spacing w:after="240"/>
            <w:rPr>
              <w:rFonts w:cstheme="minorBidi"/>
              <w:iCs w:val="0"/>
              <w:sz w:val="22"/>
              <w:szCs w:val="24"/>
              <w14:ligatures w14:val="standardContextual"/>
            </w:rPr>
          </w:pPr>
          <w:r>
            <w:fldChar w:fldCharType="begin"/>
          </w:r>
          <w:r>
            <w:instrText xml:space="preserve"> HYPERLINK \l "_Toc199429760" </w:instrText>
          </w:r>
          <w:r>
            <w:fldChar w:fldCharType="separate"/>
          </w:r>
          <w:r>
            <w:rPr>
              <w:rStyle w:val="37"/>
              <w:rFonts w:cstheme="minorHAnsi"/>
            </w:rPr>
            <w:t>4.2.9</w:t>
          </w:r>
          <w:r>
            <w:rPr>
              <w:rFonts w:cstheme="minorBidi"/>
              <w:iCs w:val="0"/>
              <w:sz w:val="22"/>
              <w:szCs w:val="24"/>
              <w14:ligatures w14:val="standardContextual"/>
            </w:rPr>
            <w:tab/>
          </w:r>
          <w:r>
            <w:rPr>
              <w:rStyle w:val="37"/>
              <w:rFonts w:cstheme="minorHAnsi"/>
            </w:rPr>
            <w:t>Steps to Set Transfer Function - Mode 10</w:t>
          </w:r>
          <w:r>
            <w:tab/>
          </w:r>
          <w:r>
            <w:fldChar w:fldCharType="begin"/>
          </w:r>
          <w:r>
            <w:instrText xml:space="preserve"> PAGEREF _Toc199429760 \h </w:instrText>
          </w:r>
          <w:r>
            <w:fldChar w:fldCharType="separate"/>
          </w:r>
          <w:r>
            <w:t>14</w:t>
          </w:r>
          <w:r>
            <w:fldChar w:fldCharType="end"/>
          </w:r>
          <w:r>
            <w:fldChar w:fldCharType="end"/>
          </w:r>
        </w:p>
        <w:p w14:paraId="57B5AF5D">
          <w:pPr>
            <w:pStyle w:val="18"/>
            <w:spacing w:after="240"/>
            <w:rPr>
              <w:rFonts w:cstheme="minorBidi"/>
              <w:iCs w:val="0"/>
              <w:sz w:val="22"/>
              <w:szCs w:val="24"/>
              <w14:ligatures w14:val="standardContextual"/>
            </w:rPr>
          </w:pPr>
          <w:r>
            <w:fldChar w:fldCharType="begin"/>
          </w:r>
          <w:r>
            <w:instrText xml:space="preserve"> HYPERLINK \l "_Toc199429761" </w:instrText>
          </w:r>
          <w:r>
            <w:fldChar w:fldCharType="separate"/>
          </w:r>
          <w:r>
            <w:rPr>
              <w:rStyle w:val="37"/>
              <w:rFonts w:cstheme="minorHAnsi"/>
            </w:rPr>
            <w:t>4.2.10</w:t>
          </w:r>
          <w:r>
            <w:rPr>
              <w:rFonts w:cstheme="minorBidi"/>
              <w:iCs w:val="0"/>
              <w:sz w:val="22"/>
              <w:szCs w:val="24"/>
              <w14:ligatures w14:val="standardContextual"/>
            </w:rPr>
            <w:tab/>
          </w:r>
          <w:r>
            <w:rPr>
              <w:rStyle w:val="37"/>
              <w:rFonts w:cstheme="minorHAnsi"/>
            </w:rPr>
            <w:t>Steps for setting the measurement value display type - Mode 11</w:t>
          </w:r>
          <w:r>
            <w:tab/>
          </w:r>
          <w:r>
            <w:fldChar w:fldCharType="begin"/>
          </w:r>
          <w:r>
            <w:instrText xml:space="preserve"> PAGEREF _Toc199429761 \h </w:instrText>
          </w:r>
          <w:r>
            <w:fldChar w:fldCharType="separate"/>
          </w:r>
          <w:r>
            <w:t>14</w:t>
          </w:r>
          <w:r>
            <w:fldChar w:fldCharType="end"/>
          </w:r>
          <w:r>
            <w:fldChar w:fldCharType="end"/>
          </w:r>
        </w:p>
        <w:p w14:paraId="7015683C">
          <w:pPr>
            <w:pStyle w:val="18"/>
            <w:spacing w:after="240"/>
            <w:rPr>
              <w:rFonts w:cstheme="minorBidi"/>
              <w:iCs w:val="0"/>
              <w:sz w:val="22"/>
              <w:szCs w:val="24"/>
              <w14:ligatures w14:val="standardContextual"/>
            </w:rPr>
          </w:pPr>
          <w:r>
            <w:fldChar w:fldCharType="begin"/>
          </w:r>
          <w:r>
            <w:instrText xml:space="preserve"> HYPERLINK \l "_Toc199429762" </w:instrText>
          </w:r>
          <w:r>
            <w:fldChar w:fldCharType="separate"/>
          </w:r>
          <w:r>
            <w:rPr>
              <w:rStyle w:val="37"/>
              <w:rFonts w:cstheme="minorHAnsi"/>
            </w:rPr>
            <w:t>4.2.11</w:t>
          </w:r>
          <w:r>
            <w:rPr>
              <w:rFonts w:cstheme="minorBidi"/>
              <w:iCs w:val="0"/>
              <w:sz w:val="22"/>
              <w:szCs w:val="24"/>
              <w14:ligatures w14:val="standardContextual"/>
            </w:rPr>
            <w:tab/>
          </w:r>
          <w:r>
            <w:rPr>
              <w:rStyle w:val="37"/>
              <w:rFonts w:cstheme="minorHAnsi"/>
            </w:rPr>
            <w:t>Steps to Set Primary Variable Units - Mode 12</w:t>
          </w:r>
          <w:r>
            <w:tab/>
          </w:r>
          <w:r>
            <w:fldChar w:fldCharType="begin"/>
          </w:r>
          <w:r>
            <w:instrText xml:space="preserve"> PAGEREF _Toc199429762 \h </w:instrText>
          </w:r>
          <w:r>
            <w:fldChar w:fldCharType="separate"/>
          </w:r>
          <w:r>
            <w:t>15</w:t>
          </w:r>
          <w:r>
            <w:fldChar w:fldCharType="end"/>
          </w:r>
          <w:r>
            <w:fldChar w:fldCharType="end"/>
          </w:r>
        </w:p>
        <w:p w14:paraId="004CC3C1">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"_Toc199429763" </w:instrText>
          </w:r>
          <w:r>
            <w:fldChar w:fldCharType="separate"/>
          </w:r>
          <w:r>
            <w:rPr>
              <w:rStyle w:val="37"/>
              <w:rFonts w:cstheme="minorHAnsi"/>
            </w:rPr>
            <w:t>4.3</w:t>
          </w:r>
          <w:r>
            <w:rPr>
              <w:rFonts w:cstheme="minorBidi"/>
              <w:smallCaps w:val="0"/>
              <w:sz w:val="22"/>
              <w:szCs w:val="24"/>
              <w14:ligatures w14:val="standardContextual"/>
            </w:rPr>
            <w:tab/>
          </w:r>
          <w:r>
            <w:rPr>
              <w:rStyle w:val="37"/>
              <w:rFonts w:cstheme="minorHAnsi"/>
            </w:rPr>
            <w:t>Field calibration of FF type intelligent transmitter</w:t>
          </w:r>
          <w:r>
            <w:tab/>
          </w:r>
          <w:r>
            <w:fldChar w:fldCharType="begin"/>
          </w:r>
          <w:r>
            <w:instrText xml:space="preserve"> PAGEREF _Toc199429763 \h </w:instrText>
          </w:r>
          <w:r>
            <w:fldChar w:fldCharType="separate"/>
          </w:r>
          <w:r>
            <w:t>15</w:t>
          </w:r>
          <w:r>
            <w:fldChar w:fldCharType="end"/>
          </w:r>
          <w:r>
            <w:fldChar w:fldCharType="end"/>
          </w:r>
        </w:p>
        <w:p w14:paraId="1BFE83A1">
          <w:pPr>
            <w:pStyle w:val="18"/>
            <w:spacing w:after="240"/>
            <w:rPr>
              <w:rFonts w:cstheme="minorBidi"/>
              <w:iCs w:val="0"/>
              <w:sz w:val="22"/>
              <w:szCs w:val="24"/>
              <w14:ligatures w14:val="standardContextual"/>
            </w:rPr>
          </w:pPr>
          <w:r>
            <w:fldChar w:fldCharType="begin"/>
          </w:r>
          <w:r>
            <w:instrText xml:space="preserve"> HYPERLINK \l "_Toc199429764" </w:instrText>
          </w:r>
          <w:r>
            <w:fldChar w:fldCharType="separate"/>
          </w:r>
          <w:r>
            <w:rPr>
              <w:rStyle w:val="37"/>
              <w:rFonts w:cstheme="minorHAnsi"/>
            </w:rPr>
            <w:t>4.3.1</w:t>
          </w:r>
          <w:r>
            <w:rPr>
              <w:rFonts w:cstheme="minorBidi"/>
              <w:iCs w:val="0"/>
              <w:sz w:val="22"/>
              <w:szCs w:val="24"/>
              <w14:ligatures w14:val="standardContextual"/>
            </w:rPr>
            <w:tab/>
          </w:r>
          <w:r>
            <w:rPr>
              <w:rStyle w:val="37"/>
              <w:rFonts w:cstheme="minorHAnsi"/>
            </w:rPr>
            <w:t>Measurement value display</w:t>
          </w:r>
          <w:r>
            <w:tab/>
          </w:r>
          <w:r>
            <w:fldChar w:fldCharType="begin"/>
          </w:r>
          <w:r>
            <w:instrText xml:space="preserve"> PAGEREF _Toc199429764 \h </w:instrText>
          </w:r>
          <w:r>
            <w:fldChar w:fldCharType="separate"/>
          </w:r>
          <w:r>
            <w:t>16</w:t>
          </w:r>
          <w:r>
            <w:fldChar w:fldCharType="end"/>
          </w:r>
          <w:r>
            <w:fldChar w:fldCharType="end"/>
          </w:r>
        </w:p>
        <w:p w14:paraId="0E0C7A08">
          <w:pPr>
            <w:pStyle w:val="18"/>
            <w:spacing w:after="240"/>
            <w:rPr>
              <w:rFonts w:cstheme="minorBidi"/>
              <w:iCs w:val="0"/>
              <w:sz w:val="22"/>
              <w:szCs w:val="24"/>
              <w14:ligatures w14:val="standardContextual"/>
            </w:rPr>
          </w:pPr>
          <w:r>
            <w:fldChar w:fldCharType="begin"/>
          </w:r>
          <w:r>
            <w:instrText xml:space="preserve"> HYPERLINK \l "_Toc199429765" </w:instrText>
          </w:r>
          <w:r>
            <w:fldChar w:fldCharType="separate"/>
          </w:r>
          <w:r>
            <w:rPr>
              <w:rStyle w:val="37"/>
              <w:rFonts w:cstheme="minorHAnsi"/>
            </w:rPr>
            <w:t>4.3.2</w:t>
          </w:r>
          <w:r>
            <w:rPr>
              <w:rFonts w:cstheme="minorBidi"/>
              <w:iCs w:val="0"/>
              <w:sz w:val="22"/>
              <w:szCs w:val="24"/>
              <w14:ligatures w14:val="standardContextual"/>
            </w:rPr>
            <w:tab/>
          </w:r>
          <w:r>
            <w:rPr>
              <w:rStyle w:val="37"/>
              <w:rFonts w:cstheme="minorHAnsi"/>
            </w:rPr>
            <w:t>Error display</w:t>
          </w:r>
          <w:r>
            <w:tab/>
          </w:r>
          <w:r>
            <w:fldChar w:fldCharType="begin"/>
          </w:r>
          <w:r>
            <w:instrText xml:space="preserve"> PAGEREF _Toc199429765 \h </w:instrText>
          </w:r>
          <w:r>
            <w:fldChar w:fldCharType="separate"/>
          </w:r>
          <w:r>
            <w:t>16</w:t>
          </w:r>
          <w:r>
            <w:fldChar w:fldCharType="end"/>
          </w:r>
          <w:r>
            <w:fldChar w:fldCharType="end"/>
          </w:r>
        </w:p>
        <w:p w14:paraId="0FB22BCC">
          <w:pPr>
            <w:pStyle w:val="18"/>
            <w:spacing w:after="240"/>
            <w:rPr>
              <w:rFonts w:cstheme="minorBidi"/>
              <w:iCs w:val="0"/>
              <w:sz w:val="22"/>
              <w:szCs w:val="24"/>
              <w14:ligatures w14:val="standardContextual"/>
            </w:rPr>
          </w:pPr>
          <w:r>
            <w:fldChar w:fldCharType="begin"/>
          </w:r>
          <w:r>
            <w:instrText xml:space="preserve"> HYPERLINK \l "_Toc199429766" </w:instrText>
          </w:r>
          <w:r>
            <w:fldChar w:fldCharType="separate"/>
          </w:r>
          <w:r>
            <w:rPr>
              <w:rStyle w:val="37"/>
              <w:rFonts w:cstheme="minorHAnsi"/>
            </w:rPr>
            <w:t>4.3.3</w:t>
          </w:r>
          <w:r>
            <w:rPr>
              <w:rFonts w:cstheme="minorBidi"/>
              <w:iCs w:val="0"/>
              <w:sz w:val="22"/>
              <w:szCs w:val="24"/>
              <w14:ligatures w14:val="standardContextual"/>
            </w:rPr>
            <w:tab/>
          </w:r>
          <w:r>
            <w:rPr>
              <w:rStyle w:val="37"/>
              <w:rFonts w:cstheme="minorHAnsi"/>
            </w:rPr>
            <w:t>Operation steps for setting the main variable zero point - Mode 15</w:t>
          </w:r>
          <w:r>
            <w:tab/>
          </w:r>
          <w:r>
            <w:fldChar w:fldCharType="begin"/>
          </w:r>
          <w:r>
            <w:instrText xml:space="preserve"> PAGEREF _Toc199429766 \h </w:instrText>
          </w:r>
          <w:r>
            <w:fldChar w:fldCharType="separate"/>
          </w:r>
          <w:r>
            <w:t>16</w:t>
          </w:r>
          <w:r>
            <w:fldChar w:fldCharType="end"/>
          </w:r>
          <w:r>
            <w:fldChar w:fldCharType="end"/>
          </w:r>
        </w:p>
        <w:p w14:paraId="4146EF00">
          <w:pPr>
            <w:pStyle w:val="18"/>
            <w:spacing w:after="240"/>
            <w:rPr>
              <w:rFonts w:cstheme="minorBidi"/>
              <w:iCs w:val="0"/>
              <w:sz w:val="22"/>
              <w:szCs w:val="24"/>
              <w14:ligatures w14:val="standardContextual"/>
            </w:rPr>
          </w:pPr>
          <w:r>
            <w:fldChar w:fldCharType="begin"/>
          </w:r>
          <w:r>
            <w:instrText xml:space="preserve"> HYPERLINK \l "_Toc199429767" </w:instrText>
          </w:r>
          <w:r>
            <w:fldChar w:fldCharType="separate"/>
          </w:r>
          <w:r>
            <w:rPr>
              <w:rStyle w:val="37"/>
              <w:rFonts w:cstheme="minorHAnsi"/>
            </w:rPr>
            <w:t>4.3.4</w:t>
          </w:r>
          <w:r>
            <w:rPr>
              <w:rFonts w:cstheme="minorBidi"/>
              <w:iCs w:val="0"/>
              <w:sz w:val="22"/>
              <w:szCs w:val="24"/>
              <w14:ligatures w14:val="standardContextual"/>
            </w:rPr>
            <w:tab/>
          </w:r>
          <w:r>
            <w:rPr>
              <w:rStyle w:val="37"/>
              <w:rFonts w:cstheme="minorHAnsi"/>
            </w:rPr>
            <w:t>Operation steps for setting the lower limit of the range - Mode 16</w:t>
          </w:r>
          <w:r>
            <w:tab/>
          </w:r>
          <w:r>
            <w:fldChar w:fldCharType="begin"/>
          </w:r>
          <w:r>
            <w:instrText xml:space="preserve"> PAGEREF _Toc199429767 \h </w:instrText>
          </w:r>
          <w:r>
            <w:fldChar w:fldCharType="separate"/>
          </w:r>
          <w:r>
            <w:t>17</w:t>
          </w:r>
          <w:r>
            <w:fldChar w:fldCharType="end"/>
          </w:r>
          <w:r>
            <w:fldChar w:fldCharType="end"/>
          </w:r>
        </w:p>
        <w:p w14:paraId="594BAE30">
          <w:pPr>
            <w:pStyle w:val="18"/>
            <w:spacing w:after="240"/>
            <w:rPr>
              <w:rFonts w:cstheme="minorBidi"/>
              <w:iCs w:val="0"/>
              <w:sz w:val="22"/>
              <w:szCs w:val="24"/>
              <w14:ligatures w14:val="standardContextual"/>
            </w:rPr>
          </w:pPr>
          <w:r>
            <w:fldChar w:fldCharType="begin"/>
          </w:r>
          <w:r>
            <w:instrText xml:space="preserve"> HYPERLINK \l "_Toc199429768" </w:instrText>
          </w:r>
          <w:r>
            <w:fldChar w:fldCharType="separate"/>
          </w:r>
          <w:r>
            <w:rPr>
              <w:rStyle w:val="37"/>
              <w:rFonts w:cstheme="minorHAnsi"/>
            </w:rPr>
            <w:t>4.3.5</w:t>
          </w:r>
          <w:r>
            <w:rPr>
              <w:rFonts w:cstheme="minorBidi"/>
              <w:iCs w:val="0"/>
              <w:sz w:val="22"/>
              <w:szCs w:val="24"/>
              <w14:ligatures w14:val="standardContextual"/>
            </w:rPr>
            <w:tab/>
          </w:r>
          <w:r>
            <w:rPr>
              <w:rStyle w:val="37"/>
              <w:rFonts w:cstheme="minorHAnsi"/>
            </w:rPr>
            <w:t>Operation steps for setting the upper range limit - Mode 17</w:t>
          </w:r>
          <w:r>
            <w:tab/>
          </w:r>
          <w:r>
            <w:fldChar w:fldCharType="begin"/>
          </w:r>
          <w:r>
            <w:instrText xml:space="preserve"> PAGEREF _Toc199429768 \h </w:instrText>
          </w:r>
          <w:r>
            <w:fldChar w:fldCharType="separate"/>
          </w:r>
          <w:r>
            <w:t>17</w:t>
          </w:r>
          <w:r>
            <w:fldChar w:fldCharType="end"/>
          </w:r>
          <w:r>
            <w:fldChar w:fldCharType="end"/>
          </w:r>
        </w:p>
        <w:p w14:paraId="47664373">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"_Toc199429769" </w:instrText>
          </w:r>
          <w:r>
            <w:fldChar w:fldCharType="separate"/>
          </w:r>
          <w:r>
            <w:rPr>
              <w:rStyle w:val="37"/>
              <w:rFonts w:cstheme="minorHAnsi"/>
            </w:rPr>
            <w:t>4.4</w:t>
          </w:r>
          <w:r>
            <w:rPr>
              <w:rFonts w:cstheme="minorBidi"/>
              <w:smallCaps w:val="0"/>
              <w:sz w:val="22"/>
              <w:szCs w:val="24"/>
              <w14:ligatures w14:val="standardContextual"/>
            </w:rPr>
            <w:tab/>
          </w:r>
          <w:r>
            <w:rPr>
              <w:rStyle w:val="37"/>
              <w:rFonts w:cstheme="minorHAnsi"/>
            </w:rPr>
            <w:t>On-site calibration of PA type intelligent transmitter</w:t>
          </w:r>
          <w:r>
            <w:tab/>
          </w:r>
          <w:r>
            <w:fldChar w:fldCharType="begin"/>
          </w:r>
          <w:r>
            <w:instrText xml:space="preserve"> PAGEREF _Toc199429769 \h </w:instrText>
          </w:r>
          <w:r>
            <w:fldChar w:fldCharType="separate"/>
          </w:r>
          <w:r>
            <w:t>17</w:t>
          </w:r>
          <w:r>
            <w:fldChar w:fldCharType="end"/>
          </w:r>
          <w:r>
            <w:fldChar w:fldCharType="end"/>
          </w:r>
        </w:p>
        <w:p w14:paraId="39366EB7">
          <w:pPr>
            <w:pStyle w:val="18"/>
            <w:spacing w:after="240"/>
            <w:rPr>
              <w:rFonts w:cstheme="minorBidi"/>
              <w:iCs w:val="0"/>
              <w:sz w:val="22"/>
              <w:szCs w:val="24"/>
              <w14:ligatures w14:val="standardContextual"/>
            </w:rPr>
          </w:pPr>
          <w:r>
            <w:fldChar w:fldCharType="begin"/>
          </w:r>
          <w:r>
            <w:instrText xml:space="preserve"> HYPERLINK \l "_Toc199429770" </w:instrText>
          </w:r>
          <w:r>
            <w:fldChar w:fldCharType="separate"/>
          </w:r>
          <w:r>
            <w:rPr>
              <w:rStyle w:val="37"/>
              <w:rFonts w:cstheme="minorHAnsi"/>
            </w:rPr>
            <w:t>4.4.1</w:t>
          </w:r>
          <w:r>
            <w:rPr>
              <w:rFonts w:cstheme="minorBidi"/>
              <w:iCs w:val="0"/>
              <w:sz w:val="22"/>
              <w:szCs w:val="24"/>
              <w14:ligatures w14:val="standardContextual"/>
            </w:rPr>
            <w:tab/>
          </w:r>
          <w:r>
            <w:rPr>
              <w:rStyle w:val="37"/>
              <w:rFonts w:cstheme="minorHAnsi"/>
            </w:rPr>
            <w:t>Measurement value display</w:t>
          </w:r>
          <w:r>
            <w:tab/>
          </w:r>
          <w:r>
            <w:fldChar w:fldCharType="begin"/>
          </w:r>
          <w:r>
            <w:instrText xml:space="preserve"> PAGEREF _Toc199429770 \h </w:instrText>
          </w:r>
          <w:r>
            <w:fldChar w:fldCharType="separate"/>
          </w:r>
          <w:r>
            <w:t>19</w:t>
          </w:r>
          <w:r>
            <w:fldChar w:fldCharType="end"/>
          </w:r>
          <w:r>
            <w:fldChar w:fldCharType="end"/>
          </w:r>
        </w:p>
        <w:p w14:paraId="78423772">
          <w:pPr>
            <w:pStyle w:val="18"/>
            <w:spacing w:after="240"/>
            <w:rPr>
              <w:rFonts w:cstheme="minorBidi"/>
              <w:iCs w:val="0"/>
              <w:sz w:val="22"/>
              <w:szCs w:val="24"/>
              <w14:ligatures w14:val="standardContextual"/>
            </w:rPr>
          </w:pPr>
          <w:r>
            <w:fldChar w:fldCharType="begin"/>
          </w:r>
          <w:r>
            <w:instrText xml:space="preserve"> HYPERLINK \l "_Toc199429771" </w:instrText>
          </w:r>
          <w:r>
            <w:fldChar w:fldCharType="separate"/>
          </w:r>
          <w:r>
            <w:rPr>
              <w:rStyle w:val="37"/>
              <w:rFonts w:cstheme="minorHAnsi"/>
            </w:rPr>
            <w:t>4.4.2</w:t>
          </w:r>
          <w:r>
            <w:rPr>
              <w:rFonts w:cstheme="minorBidi"/>
              <w:iCs w:val="0"/>
              <w:sz w:val="22"/>
              <w:szCs w:val="24"/>
              <w14:ligatures w14:val="standardContextual"/>
            </w:rPr>
            <w:tab/>
          </w:r>
          <w:r>
            <w:rPr>
              <w:rStyle w:val="37"/>
              <w:rFonts w:cstheme="minorHAnsi"/>
            </w:rPr>
            <w:t>Error display</w:t>
          </w:r>
          <w:r>
            <w:tab/>
          </w:r>
          <w:r>
            <w:fldChar w:fldCharType="begin"/>
          </w:r>
          <w:r>
            <w:instrText xml:space="preserve"> PAGEREF _Toc199429771 \h </w:instrText>
          </w:r>
          <w:r>
            <w:fldChar w:fldCharType="separate"/>
          </w:r>
          <w:r>
            <w:t>19</w:t>
          </w:r>
          <w:r>
            <w:fldChar w:fldCharType="end"/>
          </w:r>
          <w:r>
            <w:fldChar w:fldCharType="end"/>
          </w:r>
        </w:p>
        <w:p w14:paraId="1F560FDF">
          <w:pPr>
            <w:pStyle w:val="18"/>
            <w:spacing w:after="240"/>
            <w:rPr>
              <w:rFonts w:cstheme="minorBidi"/>
              <w:iCs w:val="0"/>
              <w:sz w:val="22"/>
              <w:szCs w:val="24"/>
              <w14:ligatures w14:val="standardContextual"/>
            </w:rPr>
          </w:pPr>
          <w:r>
            <w:fldChar w:fldCharType="begin"/>
          </w:r>
          <w:r>
            <w:instrText xml:space="preserve"> HYPERLINK \l "_Toc199429772" </w:instrText>
          </w:r>
          <w:r>
            <w:fldChar w:fldCharType="separate"/>
          </w:r>
          <w:r>
            <w:rPr>
              <w:rStyle w:val="37"/>
              <w:rFonts w:cstheme="minorHAnsi"/>
            </w:rPr>
            <w:t>4.4.3</w:t>
          </w:r>
          <w:r>
            <w:rPr>
              <w:rFonts w:cstheme="minorBidi"/>
              <w:iCs w:val="0"/>
              <w:sz w:val="22"/>
              <w:szCs w:val="24"/>
              <w14:ligatures w14:val="standardContextual"/>
            </w:rPr>
            <w:tab/>
          </w:r>
          <w:r>
            <w:rPr>
              <w:rStyle w:val="37"/>
              <w:rFonts w:cstheme="minorHAnsi"/>
            </w:rPr>
            <w:t>Steps to Set Electronic Damping - Mode 05</w:t>
          </w:r>
          <w:r>
            <w:tab/>
          </w:r>
          <w:r>
            <w:fldChar w:fldCharType="begin"/>
          </w:r>
          <w:r>
            <w:instrText xml:space="preserve"> PAGEREF _Toc199429772 \h </w:instrText>
          </w:r>
          <w:r>
            <w:fldChar w:fldCharType="separate"/>
          </w:r>
          <w:r>
            <w:t>19</w:t>
          </w:r>
          <w:r>
            <w:fldChar w:fldCharType="end"/>
          </w:r>
          <w:r>
            <w:fldChar w:fldCharType="end"/>
          </w:r>
        </w:p>
        <w:p w14:paraId="43AB9070">
          <w:pPr>
            <w:pStyle w:val="18"/>
            <w:spacing w:after="240"/>
            <w:rPr>
              <w:rFonts w:cstheme="minorBidi"/>
              <w:iCs w:val="0"/>
              <w:sz w:val="22"/>
              <w:szCs w:val="24"/>
              <w14:ligatures w14:val="standardContextual"/>
            </w:rPr>
          </w:pPr>
          <w:r>
            <w:fldChar w:fldCharType="begin"/>
          </w:r>
          <w:r>
            <w:instrText xml:space="preserve"> HYPERLINK \l "_Toc199429773" </w:instrText>
          </w:r>
          <w:r>
            <w:fldChar w:fldCharType="separate"/>
          </w:r>
          <w:r>
            <w:rPr>
              <w:rStyle w:val="37"/>
              <w:rFonts w:cstheme="minorHAnsi"/>
            </w:rPr>
            <w:t>4.4.4</w:t>
          </w:r>
          <w:r>
            <w:rPr>
              <w:rFonts w:cstheme="minorBidi"/>
              <w:iCs w:val="0"/>
              <w:sz w:val="22"/>
              <w:szCs w:val="24"/>
              <w14:ligatures w14:val="standardContextual"/>
            </w:rPr>
            <w:tab/>
          </w:r>
          <w:r>
            <w:rPr>
              <w:rStyle w:val="37"/>
              <w:rFonts w:cstheme="minorHAnsi"/>
            </w:rPr>
            <w:t>Steps to set the measurement value display source - Mode 11</w:t>
          </w:r>
          <w:r>
            <w:tab/>
          </w:r>
          <w:r>
            <w:fldChar w:fldCharType="begin"/>
          </w:r>
          <w:r>
            <w:instrText xml:space="preserve"> PAGEREF _Toc199429773 \h </w:instrText>
          </w:r>
          <w:r>
            <w:fldChar w:fldCharType="separate"/>
          </w:r>
          <w:r>
            <w:t>19</w:t>
          </w:r>
          <w:r>
            <w:fldChar w:fldCharType="end"/>
          </w:r>
          <w:r>
            <w:fldChar w:fldCharType="end"/>
          </w:r>
        </w:p>
        <w:p w14:paraId="27D0FBE5">
          <w:pPr>
            <w:pStyle w:val="18"/>
            <w:spacing w:after="240"/>
            <w:rPr>
              <w:rFonts w:cstheme="minorBidi"/>
              <w:iCs w:val="0"/>
              <w:sz w:val="22"/>
              <w:szCs w:val="24"/>
              <w14:ligatures w14:val="standardContextual"/>
            </w:rPr>
          </w:pPr>
          <w:r>
            <w:fldChar w:fldCharType="begin"/>
          </w:r>
          <w:r>
            <w:instrText xml:space="preserve"> HYPERLINK \l "_Toc199429774" </w:instrText>
          </w:r>
          <w:r>
            <w:fldChar w:fldCharType="separate"/>
          </w:r>
          <w:r>
            <w:rPr>
              <w:rStyle w:val="37"/>
              <w:rFonts w:cstheme="minorHAnsi"/>
            </w:rPr>
            <w:t>4.4.5</w:t>
          </w:r>
          <w:r>
            <w:rPr>
              <w:rFonts w:cstheme="minorBidi"/>
              <w:iCs w:val="0"/>
              <w:sz w:val="22"/>
              <w:szCs w:val="24"/>
              <w14:ligatures w14:val="standardContextual"/>
            </w:rPr>
            <w:tab/>
          </w:r>
          <w:r>
            <w:rPr>
              <w:rStyle w:val="37"/>
              <w:rFonts w:cstheme="minorHAnsi"/>
            </w:rPr>
            <w:t>Operation steps for setting physical quantity units - Mode 12</w:t>
          </w:r>
          <w:r>
            <w:tab/>
          </w:r>
          <w:r>
            <w:fldChar w:fldCharType="begin"/>
          </w:r>
          <w:r>
            <w:instrText xml:space="preserve"> PAGEREF _Toc199429774 \h </w:instrText>
          </w:r>
          <w:r>
            <w:fldChar w:fldCharType="separate"/>
          </w:r>
          <w:r>
            <w:t>20</w:t>
          </w:r>
          <w:r>
            <w:fldChar w:fldCharType="end"/>
          </w:r>
          <w:r>
            <w:fldChar w:fldCharType="end"/>
          </w:r>
        </w:p>
        <w:p w14:paraId="175C468D">
          <w:pPr>
            <w:pStyle w:val="18"/>
            <w:spacing w:after="240"/>
            <w:rPr>
              <w:rFonts w:cstheme="minorBidi"/>
              <w:iCs w:val="0"/>
              <w:sz w:val="22"/>
              <w:szCs w:val="24"/>
              <w14:ligatures w14:val="standardContextual"/>
            </w:rPr>
          </w:pPr>
          <w:r>
            <w:fldChar w:fldCharType="begin"/>
          </w:r>
          <w:r>
            <w:instrText xml:space="preserve"> HYPERLINK \l "_Toc199429775" </w:instrText>
          </w:r>
          <w:r>
            <w:fldChar w:fldCharType="separate"/>
          </w:r>
          <w:r>
            <w:rPr>
              <w:rStyle w:val="37"/>
              <w:rFonts w:cstheme="minorHAnsi"/>
            </w:rPr>
            <w:t>4.4.6</w:t>
          </w:r>
          <w:r>
            <w:rPr>
              <w:rFonts w:cstheme="minorBidi"/>
              <w:iCs w:val="0"/>
              <w:sz w:val="22"/>
              <w:szCs w:val="24"/>
              <w14:ligatures w14:val="standardContextual"/>
            </w:rPr>
            <w:tab/>
          </w:r>
          <w:r>
            <w:rPr>
              <w:rStyle w:val="37"/>
              <w:rFonts w:cstheme="minorHAnsi"/>
            </w:rPr>
            <w:t>Steps to Set Bus Address - Mode 13</w:t>
          </w:r>
          <w:r>
            <w:tab/>
          </w:r>
          <w:r>
            <w:fldChar w:fldCharType="begin"/>
          </w:r>
          <w:r>
            <w:instrText xml:space="preserve"> PAGEREF _Toc199429775 \h </w:instrText>
          </w:r>
          <w:r>
            <w:fldChar w:fldCharType="separate"/>
          </w:r>
          <w:r>
            <w:t>20</w:t>
          </w:r>
          <w:r>
            <w:fldChar w:fldCharType="end"/>
          </w:r>
          <w:r>
            <w:fldChar w:fldCharType="end"/>
          </w:r>
        </w:p>
        <w:p w14:paraId="4A0B5834">
          <w:pPr>
            <w:pStyle w:val="18"/>
            <w:spacing w:after="240"/>
            <w:rPr>
              <w:rFonts w:cstheme="minorBidi"/>
              <w:iCs w:val="0"/>
              <w:sz w:val="22"/>
              <w:szCs w:val="24"/>
              <w14:ligatures w14:val="standardContextual"/>
            </w:rPr>
          </w:pPr>
          <w:r>
            <w:fldChar w:fldCharType="begin"/>
          </w:r>
          <w:r>
            <w:instrText xml:space="preserve"> HYPERLINK \l "_Toc199429776" </w:instrText>
          </w:r>
          <w:r>
            <w:fldChar w:fldCharType="separate"/>
          </w:r>
          <w:r>
            <w:rPr>
              <w:rStyle w:val="37"/>
              <w:rFonts w:cstheme="minorHAnsi"/>
            </w:rPr>
            <w:t>4.4.7</w:t>
          </w:r>
          <w:r>
            <w:rPr>
              <w:rFonts w:cstheme="minorBidi"/>
              <w:iCs w:val="0"/>
              <w:sz w:val="22"/>
              <w:szCs w:val="24"/>
              <w14:ligatures w14:val="standardContextual"/>
            </w:rPr>
            <w:tab/>
          </w:r>
          <w:r>
            <w:rPr>
              <w:rStyle w:val="37"/>
              <w:rFonts w:cstheme="minorHAnsi"/>
            </w:rPr>
            <w:t>Steps for setting the decimal point - Mode 14</w:t>
          </w:r>
          <w:r>
            <w:tab/>
          </w:r>
          <w:r>
            <w:fldChar w:fldCharType="begin"/>
          </w:r>
          <w:r>
            <w:instrText xml:space="preserve"> PAGEREF _Toc199429776 \h </w:instrText>
          </w:r>
          <w:r>
            <w:fldChar w:fldCharType="separate"/>
          </w:r>
          <w:r>
            <w:t>21</w:t>
          </w:r>
          <w:r>
            <w:fldChar w:fldCharType="end"/>
          </w:r>
          <w:r>
            <w:fldChar w:fldCharType="end"/>
          </w:r>
        </w:p>
        <w:p w14:paraId="30439995">
          <w:pPr>
            <w:pStyle w:val="18"/>
            <w:spacing w:after="240"/>
            <w:rPr>
              <w:rFonts w:cstheme="minorBidi"/>
              <w:iCs w:val="0"/>
              <w:sz w:val="22"/>
              <w:szCs w:val="24"/>
              <w14:ligatures w14:val="standardContextual"/>
            </w:rPr>
          </w:pPr>
          <w:r>
            <w:fldChar w:fldCharType="begin"/>
          </w:r>
          <w:r>
            <w:instrText xml:space="preserve"> HYPERLINK \l "_Toc199429777" </w:instrText>
          </w:r>
          <w:r>
            <w:fldChar w:fldCharType="separate"/>
          </w:r>
          <w:r>
            <w:rPr>
              <w:rStyle w:val="37"/>
              <w:rFonts w:cstheme="minorHAnsi"/>
            </w:rPr>
            <w:t>4.4.8</w:t>
          </w:r>
          <w:r>
            <w:rPr>
              <w:rFonts w:cstheme="minorBidi"/>
              <w:iCs w:val="0"/>
              <w:sz w:val="22"/>
              <w:szCs w:val="24"/>
              <w14:ligatures w14:val="standardContextual"/>
            </w:rPr>
            <w:tab/>
          </w:r>
          <w:r>
            <w:rPr>
              <w:rStyle w:val="37"/>
              <w:rFonts w:cstheme="minorHAnsi"/>
            </w:rPr>
            <w:t>Operation steps for setting the main variable zero point - Mode 15</w:t>
          </w:r>
          <w:r>
            <w:tab/>
          </w:r>
          <w:r>
            <w:fldChar w:fldCharType="begin"/>
          </w:r>
          <w:r>
            <w:instrText xml:space="preserve"> PAGEREF _Toc199429777 \h </w:instrText>
          </w:r>
          <w:r>
            <w:fldChar w:fldCharType="separate"/>
          </w:r>
          <w:r>
            <w:t>21</w:t>
          </w:r>
          <w:r>
            <w:fldChar w:fldCharType="end"/>
          </w:r>
          <w:r>
            <w:fldChar w:fldCharType="end"/>
          </w:r>
        </w:p>
        <w:p w14:paraId="2C67C90A">
          <w:pPr>
            <w:pStyle w:val="18"/>
            <w:spacing w:after="240"/>
            <w:rPr>
              <w:rFonts w:cstheme="minorBidi"/>
              <w:iCs w:val="0"/>
              <w:sz w:val="22"/>
              <w:szCs w:val="24"/>
              <w14:ligatures w14:val="standardContextual"/>
            </w:rPr>
          </w:pPr>
          <w:r>
            <w:fldChar w:fldCharType="begin"/>
          </w:r>
          <w:r>
            <w:instrText xml:space="preserve"> HYPERLINK \l "_Toc199429778" </w:instrText>
          </w:r>
          <w:r>
            <w:fldChar w:fldCharType="separate"/>
          </w:r>
          <w:r>
            <w:rPr>
              <w:rStyle w:val="37"/>
              <w:rFonts w:cstheme="minorHAnsi"/>
            </w:rPr>
            <w:t>4.4.9</w:t>
          </w:r>
          <w:r>
            <w:rPr>
              <w:rFonts w:cstheme="minorBidi"/>
              <w:iCs w:val="0"/>
              <w:sz w:val="22"/>
              <w:szCs w:val="24"/>
              <w14:ligatures w14:val="standardContextual"/>
            </w:rPr>
            <w:tab/>
          </w:r>
          <w:r>
            <w:rPr>
              <w:rStyle w:val="37"/>
              <w:rFonts w:cstheme="minorHAnsi"/>
            </w:rPr>
            <w:t>Operation steps for setting the lower limit of the range - Mode 16</w:t>
          </w:r>
          <w:r>
            <w:tab/>
          </w:r>
          <w:r>
            <w:fldChar w:fldCharType="begin"/>
          </w:r>
          <w:r>
            <w:instrText xml:space="preserve"> PAGEREF _Toc199429778 \h </w:instrText>
          </w:r>
          <w:r>
            <w:fldChar w:fldCharType="separate"/>
          </w:r>
          <w:r>
            <w:t>21</w:t>
          </w:r>
          <w:r>
            <w:fldChar w:fldCharType="end"/>
          </w:r>
          <w:r>
            <w:fldChar w:fldCharType="end"/>
          </w:r>
        </w:p>
        <w:p w14:paraId="24984B4B">
          <w:pPr>
            <w:pStyle w:val="18"/>
            <w:spacing w:after="240"/>
            <w:rPr>
              <w:rFonts w:cstheme="minorBidi"/>
              <w:iCs w:val="0"/>
              <w:sz w:val="22"/>
              <w:szCs w:val="24"/>
              <w14:ligatures w14:val="standardContextual"/>
            </w:rPr>
          </w:pPr>
          <w:r>
            <w:fldChar w:fldCharType="begin"/>
          </w:r>
          <w:r>
            <w:instrText xml:space="preserve"> HYPERLINK \l "_Toc199429779" </w:instrText>
          </w:r>
          <w:r>
            <w:fldChar w:fldCharType="separate"/>
          </w:r>
          <w:r>
            <w:rPr>
              <w:rStyle w:val="37"/>
              <w:rFonts w:cstheme="minorHAnsi"/>
            </w:rPr>
            <w:t>4.4.10</w:t>
          </w:r>
          <w:r>
            <w:rPr>
              <w:rFonts w:cstheme="minorBidi"/>
              <w:iCs w:val="0"/>
              <w:sz w:val="22"/>
              <w:szCs w:val="24"/>
              <w14:ligatures w14:val="standardContextual"/>
            </w:rPr>
            <w:tab/>
          </w:r>
          <w:r>
            <w:rPr>
              <w:rStyle w:val="37"/>
              <w:rFonts w:cstheme="minorHAnsi"/>
            </w:rPr>
            <w:t>Operation steps for setting the upper range limit - Mode 17</w:t>
          </w:r>
          <w:r>
            <w:tab/>
          </w:r>
          <w:r>
            <w:fldChar w:fldCharType="begin"/>
          </w:r>
          <w:r>
            <w:instrText xml:space="preserve"> PAGEREF _Toc199429779 \h </w:instrText>
          </w:r>
          <w:r>
            <w:fldChar w:fldCharType="separate"/>
          </w:r>
          <w:r>
            <w:t>22</w:t>
          </w:r>
          <w:r>
            <w:fldChar w:fldCharType="end"/>
          </w:r>
          <w:r>
            <w:fldChar w:fldCharType="end"/>
          </w:r>
        </w:p>
        <w:p w14:paraId="018D3ABE">
          <w:pPr>
            <w:pStyle w:val="18"/>
            <w:spacing w:after="240"/>
            <w:rPr>
              <w:rFonts w:cstheme="minorBidi"/>
              <w:iCs w:val="0"/>
              <w:sz w:val="22"/>
              <w:szCs w:val="24"/>
              <w14:ligatures w14:val="standardContextual"/>
            </w:rPr>
          </w:pPr>
          <w:r>
            <w:fldChar w:fldCharType="begin"/>
          </w:r>
          <w:r>
            <w:instrText xml:space="preserve"> HYPERLINK \l "_Toc199429780" </w:instrText>
          </w:r>
          <w:r>
            <w:fldChar w:fldCharType="separate"/>
          </w:r>
          <w:r>
            <w:rPr>
              <w:rStyle w:val="37"/>
              <w:rFonts w:cstheme="minorHAnsi"/>
            </w:rPr>
            <w:t>4.4.11</w:t>
          </w:r>
          <w:r>
            <w:rPr>
              <w:rFonts w:cstheme="minorBidi"/>
              <w:iCs w:val="0"/>
              <w:sz w:val="22"/>
              <w:szCs w:val="24"/>
              <w14:ligatures w14:val="standardContextual"/>
            </w:rPr>
            <w:tab/>
          </w:r>
          <w:r>
            <w:rPr>
              <w:rStyle w:val="37"/>
              <w:rFonts w:cstheme="minorHAnsi"/>
            </w:rPr>
            <w:t>Operation steps for setting the lower limit of the input range - Mode 18</w:t>
          </w:r>
          <w:r>
            <w:tab/>
          </w:r>
          <w:r>
            <w:fldChar w:fldCharType="begin"/>
          </w:r>
          <w:r>
            <w:instrText xml:space="preserve"> PAGEREF _Toc199429780 \h </w:instrText>
          </w:r>
          <w:r>
            <w:fldChar w:fldCharType="separate"/>
          </w:r>
          <w:r>
            <w:t>22</w:t>
          </w:r>
          <w:r>
            <w:fldChar w:fldCharType="end"/>
          </w:r>
          <w:r>
            <w:fldChar w:fldCharType="end"/>
          </w:r>
        </w:p>
        <w:p w14:paraId="22132ADF">
          <w:pPr>
            <w:pStyle w:val="18"/>
            <w:spacing w:after="240"/>
            <w:rPr>
              <w:rFonts w:cstheme="minorBidi"/>
              <w:iCs w:val="0"/>
              <w:sz w:val="22"/>
              <w:szCs w:val="24"/>
              <w14:ligatures w14:val="standardContextual"/>
            </w:rPr>
          </w:pPr>
          <w:r>
            <w:fldChar w:fldCharType="begin"/>
          </w:r>
          <w:r>
            <w:instrText xml:space="preserve"> HYPERLINK \l "_Toc199429781" </w:instrText>
          </w:r>
          <w:r>
            <w:fldChar w:fldCharType="separate"/>
          </w:r>
          <w:r>
            <w:rPr>
              <w:rStyle w:val="37"/>
              <w:rFonts w:cstheme="minorHAnsi"/>
            </w:rPr>
            <w:t>4.4.12</w:t>
          </w:r>
          <w:r>
            <w:rPr>
              <w:rFonts w:cstheme="minorBidi"/>
              <w:iCs w:val="0"/>
              <w:sz w:val="22"/>
              <w:szCs w:val="24"/>
              <w14:ligatures w14:val="standardContextual"/>
            </w:rPr>
            <w:tab/>
          </w:r>
          <w:r>
            <w:rPr>
              <w:rStyle w:val="37"/>
              <w:rFonts w:cstheme="minorHAnsi"/>
            </w:rPr>
            <w:t>Operation steps for setting the upper limit of the input range - Mode 19</w:t>
          </w:r>
          <w:r>
            <w:tab/>
          </w:r>
          <w:r>
            <w:fldChar w:fldCharType="begin"/>
          </w:r>
          <w:r>
            <w:instrText xml:space="preserve"> PAGEREF _Toc199429781 \h </w:instrText>
          </w:r>
          <w:r>
            <w:fldChar w:fldCharType="separate"/>
          </w:r>
          <w:r>
            <w:t>22</w:t>
          </w:r>
          <w:r>
            <w:fldChar w:fldCharType="end"/>
          </w:r>
          <w:r>
            <w:fldChar w:fldCharType="end"/>
          </w:r>
        </w:p>
        <w:p w14:paraId="5460680E">
          <w:pPr>
            <w:pStyle w:val="18"/>
            <w:spacing w:after="240"/>
            <w:rPr>
              <w:rFonts w:cstheme="minorBidi"/>
              <w:iCs w:val="0"/>
              <w:sz w:val="22"/>
              <w:szCs w:val="24"/>
              <w14:ligatures w14:val="standardContextual"/>
            </w:rPr>
          </w:pPr>
          <w:r>
            <w:fldChar w:fldCharType="begin"/>
          </w:r>
          <w:r>
            <w:instrText xml:space="preserve"> HYPERLINK \l "_Toc199429782" </w:instrText>
          </w:r>
          <w:r>
            <w:fldChar w:fldCharType="separate"/>
          </w:r>
          <w:r>
            <w:rPr>
              <w:rStyle w:val="37"/>
              <w:rFonts w:cstheme="minorHAnsi"/>
            </w:rPr>
            <w:t>4.4.13</w:t>
          </w:r>
          <w:r>
            <w:rPr>
              <w:rFonts w:cstheme="minorBidi"/>
              <w:iCs w:val="0"/>
              <w:sz w:val="22"/>
              <w:szCs w:val="24"/>
              <w14:ligatures w14:val="standardContextual"/>
            </w:rPr>
            <w:tab/>
          </w:r>
          <w:r>
            <w:rPr>
              <w:rStyle w:val="37"/>
              <w:rFonts w:cstheme="minorHAnsi"/>
            </w:rPr>
            <w:t>Operation steps for setting the lower limit of the output range - Mode 20</w:t>
          </w:r>
          <w:r>
            <w:tab/>
          </w:r>
          <w:r>
            <w:fldChar w:fldCharType="begin"/>
          </w:r>
          <w:r>
            <w:instrText xml:space="preserve"> PAGEREF _Toc199429782 \h </w:instrText>
          </w:r>
          <w:r>
            <w:fldChar w:fldCharType="separate"/>
          </w:r>
          <w:r>
            <w:t>22</w:t>
          </w:r>
          <w:r>
            <w:fldChar w:fldCharType="end"/>
          </w:r>
          <w:r>
            <w:fldChar w:fldCharType="end"/>
          </w:r>
        </w:p>
        <w:p w14:paraId="1184CB86">
          <w:pPr>
            <w:pStyle w:val="18"/>
            <w:spacing w:after="240"/>
            <w:rPr>
              <w:rFonts w:cstheme="minorBidi"/>
              <w:iCs w:val="0"/>
              <w:sz w:val="22"/>
              <w:szCs w:val="24"/>
              <w14:ligatures w14:val="standardContextual"/>
            </w:rPr>
          </w:pPr>
          <w:r>
            <w:fldChar w:fldCharType="begin"/>
          </w:r>
          <w:r>
            <w:instrText xml:space="preserve"> HYPERLINK \l "_Toc199429783" </w:instrText>
          </w:r>
          <w:r>
            <w:fldChar w:fldCharType="separate"/>
          </w:r>
          <w:r>
            <w:rPr>
              <w:rStyle w:val="37"/>
              <w:rFonts w:cstheme="minorHAnsi"/>
            </w:rPr>
            <w:t>4.4.14</w:t>
          </w:r>
          <w:r>
            <w:rPr>
              <w:rFonts w:cstheme="minorBidi"/>
              <w:iCs w:val="0"/>
              <w:sz w:val="22"/>
              <w:szCs w:val="24"/>
              <w14:ligatures w14:val="standardContextual"/>
            </w:rPr>
            <w:tab/>
          </w:r>
          <w:r>
            <w:rPr>
              <w:rStyle w:val="37"/>
              <w:rFonts w:cstheme="minorHAnsi"/>
            </w:rPr>
            <w:t>Operation steps for setting the upper limit of the output range – Mode 21</w:t>
          </w:r>
          <w:r>
            <w:tab/>
          </w:r>
          <w:r>
            <w:fldChar w:fldCharType="begin"/>
          </w:r>
          <w:r>
            <w:instrText xml:space="preserve"> PAGEREF _Toc199429783 \h </w:instrText>
          </w:r>
          <w:r>
            <w:fldChar w:fldCharType="separate"/>
          </w:r>
          <w:r>
            <w:t>23</w:t>
          </w:r>
          <w:r>
            <w:fldChar w:fldCharType="end"/>
          </w:r>
          <w:r>
            <w:fldChar w:fldCharType="end"/>
          </w:r>
        </w:p>
        <w:p w14:paraId="2E809B2A">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"_Toc199429784" </w:instrText>
          </w:r>
          <w:r>
            <w:fldChar w:fldCharType="separate"/>
          </w:r>
          <w:r>
            <w:rPr>
              <w:rStyle w:val="37"/>
              <w:rFonts w:cstheme="minorHAnsi"/>
            </w:rPr>
            <w:t>4.5</w:t>
          </w:r>
          <w:r>
            <w:rPr>
              <w:rFonts w:cstheme="minorBidi"/>
              <w:smallCaps w:val="0"/>
              <w:sz w:val="22"/>
              <w:szCs w:val="24"/>
              <w14:ligatures w14:val="standardContextual"/>
            </w:rPr>
            <w:tab/>
          </w:r>
          <w:r>
            <w:rPr>
              <w:rStyle w:val="37"/>
              <w:rFonts w:cstheme="minorHAnsi"/>
            </w:rPr>
            <w:t>On-site calibration of DP type intelligent transmitter</w:t>
          </w:r>
          <w:r>
            <w:tab/>
          </w:r>
          <w:r>
            <w:fldChar w:fldCharType="begin"/>
          </w:r>
          <w:r>
            <w:instrText xml:space="preserve"> PAGEREF _Toc199429784 \h </w:instrText>
          </w:r>
          <w:r>
            <w:fldChar w:fldCharType="separate"/>
          </w:r>
          <w:r>
            <w:t>23</w:t>
          </w:r>
          <w:r>
            <w:fldChar w:fldCharType="end"/>
          </w:r>
          <w:r>
            <w:fldChar w:fldCharType="end"/>
          </w:r>
        </w:p>
        <w:p w14:paraId="16CD58AD">
          <w:pPr>
            <w:pStyle w:val="18"/>
            <w:spacing w:after="240"/>
            <w:rPr>
              <w:rFonts w:cstheme="minorBidi"/>
              <w:iCs w:val="0"/>
              <w:sz w:val="22"/>
              <w:szCs w:val="24"/>
              <w14:ligatures w14:val="standardContextual"/>
            </w:rPr>
          </w:pPr>
          <w:r>
            <w:fldChar w:fldCharType="begin"/>
          </w:r>
          <w:r>
            <w:instrText xml:space="preserve"> HYPERLINK \l "_Toc199429785" </w:instrText>
          </w:r>
          <w:r>
            <w:fldChar w:fldCharType="separate"/>
          </w:r>
          <w:r>
            <w:rPr>
              <w:rStyle w:val="37"/>
              <w:rFonts w:cstheme="minorHAnsi"/>
            </w:rPr>
            <w:t>4.5.1</w:t>
          </w:r>
          <w:r>
            <w:rPr>
              <w:rFonts w:cstheme="minorBidi"/>
              <w:iCs w:val="0"/>
              <w:sz w:val="22"/>
              <w:szCs w:val="24"/>
              <w14:ligatures w14:val="standardContextual"/>
            </w:rPr>
            <w:tab/>
          </w:r>
          <w:r>
            <w:rPr>
              <w:rStyle w:val="37"/>
              <w:rFonts w:cstheme="minorHAnsi"/>
            </w:rPr>
            <w:t>Measurement value display</w:t>
          </w:r>
          <w:r>
            <w:tab/>
          </w:r>
          <w:r>
            <w:fldChar w:fldCharType="begin"/>
          </w:r>
          <w:r>
            <w:instrText xml:space="preserve"> PAGEREF _Toc199429785 \h </w:instrText>
          </w:r>
          <w:r>
            <w:fldChar w:fldCharType="separate"/>
          </w:r>
          <w:r>
            <w:t>24</w:t>
          </w:r>
          <w:r>
            <w:fldChar w:fldCharType="end"/>
          </w:r>
          <w:r>
            <w:fldChar w:fldCharType="end"/>
          </w:r>
        </w:p>
        <w:p w14:paraId="5ECFA416">
          <w:pPr>
            <w:pStyle w:val="18"/>
            <w:spacing w:after="240"/>
            <w:rPr>
              <w:rFonts w:cstheme="minorBidi"/>
              <w:iCs w:val="0"/>
              <w:sz w:val="22"/>
              <w:szCs w:val="24"/>
              <w14:ligatures w14:val="standardContextual"/>
            </w:rPr>
          </w:pPr>
          <w:r>
            <w:fldChar w:fldCharType="begin"/>
          </w:r>
          <w:r>
            <w:instrText xml:space="preserve"> HYPERLINK \l "_Toc199429786" </w:instrText>
          </w:r>
          <w:r>
            <w:fldChar w:fldCharType="separate"/>
          </w:r>
          <w:r>
            <w:rPr>
              <w:rStyle w:val="37"/>
              <w:rFonts w:cstheme="minorHAnsi"/>
            </w:rPr>
            <w:t>4.5.2</w:t>
          </w:r>
          <w:r>
            <w:rPr>
              <w:rFonts w:cstheme="minorBidi"/>
              <w:iCs w:val="0"/>
              <w:sz w:val="22"/>
              <w:szCs w:val="24"/>
              <w14:ligatures w14:val="standardContextual"/>
            </w:rPr>
            <w:tab/>
          </w:r>
          <w:r>
            <w:rPr>
              <w:rStyle w:val="37"/>
              <w:rFonts w:cstheme="minorHAnsi"/>
            </w:rPr>
            <w:t>Error display</w:t>
          </w:r>
          <w:r>
            <w:tab/>
          </w:r>
          <w:r>
            <w:fldChar w:fldCharType="begin"/>
          </w:r>
          <w:r>
            <w:instrText xml:space="preserve"> PAGEREF _Toc199429786 \h </w:instrText>
          </w:r>
          <w:r>
            <w:fldChar w:fldCharType="separate"/>
          </w:r>
          <w:r>
            <w:t>24</w:t>
          </w:r>
          <w:r>
            <w:fldChar w:fldCharType="end"/>
          </w:r>
          <w:r>
            <w:fldChar w:fldCharType="end"/>
          </w:r>
        </w:p>
        <w:p w14:paraId="5ED6C585">
          <w:pPr>
            <w:pStyle w:val="18"/>
            <w:spacing w:after="240"/>
            <w:rPr>
              <w:rFonts w:cstheme="minorBidi"/>
              <w:iCs w:val="0"/>
              <w:sz w:val="22"/>
              <w:szCs w:val="24"/>
              <w14:ligatures w14:val="standardContextual"/>
            </w:rPr>
          </w:pPr>
          <w:r>
            <w:fldChar w:fldCharType="begin"/>
          </w:r>
          <w:r>
            <w:instrText xml:space="preserve"> HYPERLINK \l "_Toc199429787" </w:instrText>
          </w:r>
          <w:r>
            <w:fldChar w:fldCharType="separate"/>
          </w:r>
          <w:r>
            <w:rPr>
              <w:rStyle w:val="37"/>
              <w:rFonts w:cstheme="minorHAnsi"/>
            </w:rPr>
            <w:t>4.5.3</w:t>
          </w:r>
          <w:r>
            <w:rPr>
              <w:rFonts w:cstheme="minorBidi"/>
              <w:iCs w:val="0"/>
              <w:sz w:val="22"/>
              <w:szCs w:val="24"/>
              <w14:ligatures w14:val="standardContextual"/>
            </w:rPr>
            <w:tab/>
          </w:r>
          <w:r>
            <w:rPr>
              <w:rStyle w:val="37"/>
              <w:rFonts w:cstheme="minorHAnsi"/>
            </w:rPr>
            <w:t>Steps to Set Electronic Damping - Mode 05</w:t>
          </w:r>
          <w:r>
            <w:tab/>
          </w:r>
          <w:r>
            <w:fldChar w:fldCharType="begin"/>
          </w:r>
          <w:r>
            <w:instrText xml:space="preserve"> PAGEREF _Toc199429787 \h </w:instrText>
          </w:r>
          <w:r>
            <w:fldChar w:fldCharType="separate"/>
          </w:r>
          <w:r>
            <w:t>24</w:t>
          </w:r>
          <w:r>
            <w:fldChar w:fldCharType="end"/>
          </w:r>
          <w:r>
            <w:fldChar w:fldCharType="end"/>
          </w:r>
        </w:p>
        <w:p w14:paraId="70645DE0">
          <w:pPr>
            <w:pStyle w:val="18"/>
            <w:spacing w:after="240"/>
            <w:rPr>
              <w:rFonts w:cstheme="minorBidi"/>
              <w:iCs w:val="0"/>
              <w:sz w:val="22"/>
              <w:szCs w:val="24"/>
              <w14:ligatures w14:val="standardContextual"/>
            </w:rPr>
          </w:pPr>
          <w:r>
            <w:fldChar w:fldCharType="begin"/>
          </w:r>
          <w:r>
            <w:instrText xml:space="preserve"> HYPERLINK \l "_Toc199429788" </w:instrText>
          </w:r>
          <w:r>
            <w:fldChar w:fldCharType="separate"/>
          </w:r>
          <w:r>
            <w:rPr>
              <w:rStyle w:val="37"/>
              <w:rFonts w:cstheme="minorHAnsi"/>
            </w:rPr>
            <w:t>4.5.4</w:t>
          </w:r>
          <w:r>
            <w:rPr>
              <w:rFonts w:cstheme="minorBidi"/>
              <w:iCs w:val="0"/>
              <w:sz w:val="22"/>
              <w:szCs w:val="24"/>
              <w14:ligatures w14:val="standardContextual"/>
            </w:rPr>
            <w:tab/>
          </w:r>
          <w:r>
            <w:rPr>
              <w:rStyle w:val="37"/>
              <w:rFonts w:cstheme="minorHAnsi"/>
            </w:rPr>
            <w:t>Steps to set the measurement value display source - Mode 11</w:t>
          </w:r>
          <w:r>
            <w:tab/>
          </w:r>
          <w:r>
            <w:fldChar w:fldCharType="begin"/>
          </w:r>
          <w:r>
            <w:instrText xml:space="preserve"> PAGEREF _Toc199429788 \h </w:instrText>
          </w:r>
          <w:r>
            <w:fldChar w:fldCharType="separate"/>
          </w:r>
          <w:r>
            <w:t>25</w:t>
          </w:r>
          <w:r>
            <w:fldChar w:fldCharType="end"/>
          </w:r>
          <w:r>
            <w:fldChar w:fldCharType="end"/>
          </w:r>
        </w:p>
        <w:p w14:paraId="55723D0E">
          <w:pPr>
            <w:pStyle w:val="18"/>
            <w:spacing w:after="240"/>
            <w:rPr>
              <w:rFonts w:cstheme="minorBidi"/>
              <w:iCs w:val="0"/>
              <w:sz w:val="22"/>
              <w:szCs w:val="24"/>
              <w14:ligatures w14:val="standardContextual"/>
            </w:rPr>
          </w:pPr>
          <w:r>
            <w:fldChar w:fldCharType="begin"/>
          </w:r>
          <w:r>
            <w:instrText xml:space="preserve"> HYPERLINK \l "_Toc199429789" </w:instrText>
          </w:r>
          <w:r>
            <w:fldChar w:fldCharType="separate"/>
          </w:r>
          <w:r>
            <w:rPr>
              <w:rStyle w:val="37"/>
              <w:rFonts w:cstheme="minorHAnsi"/>
            </w:rPr>
            <w:t>4.5.5</w:t>
          </w:r>
          <w:r>
            <w:rPr>
              <w:rFonts w:cstheme="minorBidi"/>
              <w:iCs w:val="0"/>
              <w:sz w:val="22"/>
              <w:szCs w:val="24"/>
              <w14:ligatures w14:val="standardContextual"/>
            </w:rPr>
            <w:tab/>
          </w:r>
          <w:r>
            <w:rPr>
              <w:rStyle w:val="37"/>
              <w:rFonts w:cstheme="minorHAnsi"/>
            </w:rPr>
            <w:t>Operation steps for setting physical quantity units - Mode 12</w:t>
          </w:r>
          <w:r>
            <w:tab/>
          </w:r>
          <w:r>
            <w:fldChar w:fldCharType="begin"/>
          </w:r>
          <w:r>
            <w:instrText xml:space="preserve"> PAGEREF _Toc199429789 \h </w:instrText>
          </w:r>
          <w:r>
            <w:fldChar w:fldCharType="separate"/>
          </w:r>
          <w:r>
            <w:t>25</w:t>
          </w:r>
          <w:r>
            <w:fldChar w:fldCharType="end"/>
          </w:r>
          <w:r>
            <w:fldChar w:fldCharType="end"/>
          </w:r>
        </w:p>
        <w:p w14:paraId="1A9D2478">
          <w:pPr>
            <w:pStyle w:val="18"/>
            <w:spacing w:after="240"/>
            <w:rPr>
              <w:rFonts w:cstheme="minorBidi"/>
              <w:iCs w:val="0"/>
              <w:sz w:val="22"/>
              <w:szCs w:val="24"/>
              <w14:ligatures w14:val="standardContextual"/>
            </w:rPr>
          </w:pPr>
          <w:r>
            <w:fldChar w:fldCharType="begin"/>
          </w:r>
          <w:r>
            <w:instrText xml:space="preserve"> HYPERLINK \l "_Toc199429790" </w:instrText>
          </w:r>
          <w:r>
            <w:fldChar w:fldCharType="separate"/>
          </w:r>
          <w:r>
            <w:rPr>
              <w:rStyle w:val="37"/>
              <w:rFonts w:cstheme="minorHAnsi"/>
            </w:rPr>
            <w:t>4.5.6</w:t>
          </w:r>
          <w:r>
            <w:rPr>
              <w:rFonts w:cstheme="minorBidi"/>
              <w:iCs w:val="0"/>
              <w:sz w:val="22"/>
              <w:szCs w:val="24"/>
              <w14:ligatures w14:val="standardContextual"/>
            </w:rPr>
            <w:tab/>
          </w:r>
          <w:r>
            <w:rPr>
              <w:rStyle w:val="37"/>
              <w:rFonts w:cstheme="minorHAnsi"/>
            </w:rPr>
            <w:t>Steps for setting the decimal point - Mode 14</w:t>
          </w:r>
          <w:r>
            <w:tab/>
          </w:r>
          <w:r>
            <w:fldChar w:fldCharType="begin"/>
          </w:r>
          <w:r>
            <w:instrText xml:space="preserve"> PAGEREF _Toc199429790 \h </w:instrText>
          </w:r>
          <w:r>
            <w:fldChar w:fldCharType="separate"/>
          </w:r>
          <w:r>
            <w:t>26</w:t>
          </w:r>
          <w:r>
            <w:fldChar w:fldCharType="end"/>
          </w:r>
          <w:r>
            <w:fldChar w:fldCharType="end"/>
          </w:r>
        </w:p>
        <w:p w14:paraId="198CD607">
          <w:pPr>
            <w:pStyle w:val="18"/>
            <w:spacing w:after="240"/>
            <w:rPr>
              <w:rFonts w:cstheme="minorBidi"/>
              <w:iCs w:val="0"/>
              <w:sz w:val="22"/>
              <w:szCs w:val="24"/>
              <w14:ligatures w14:val="standardContextual"/>
            </w:rPr>
          </w:pPr>
          <w:r>
            <w:fldChar w:fldCharType="begin"/>
          </w:r>
          <w:r>
            <w:instrText xml:space="preserve"> HYPERLINK \l "_Toc199429791" </w:instrText>
          </w:r>
          <w:r>
            <w:fldChar w:fldCharType="separate"/>
          </w:r>
          <w:r>
            <w:rPr>
              <w:rStyle w:val="37"/>
              <w:rFonts w:cstheme="minorHAnsi"/>
            </w:rPr>
            <w:t>4.5.7</w:t>
          </w:r>
          <w:r>
            <w:rPr>
              <w:rFonts w:cstheme="minorBidi"/>
              <w:iCs w:val="0"/>
              <w:sz w:val="22"/>
              <w:szCs w:val="24"/>
              <w14:ligatures w14:val="standardContextual"/>
            </w:rPr>
            <w:tab/>
          </w:r>
          <w:r>
            <w:rPr>
              <w:rStyle w:val="37"/>
              <w:rFonts w:cstheme="minorHAnsi"/>
            </w:rPr>
            <w:t>Operation steps for setting the main variable zero point - Mode 15</w:t>
          </w:r>
          <w:r>
            <w:tab/>
          </w:r>
          <w:r>
            <w:fldChar w:fldCharType="begin"/>
          </w:r>
          <w:r>
            <w:instrText xml:space="preserve"> PAGEREF _Toc199429791 \h </w:instrText>
          </w:r>
          <w:r>
            <w:fldChar w:fldCharType="separate"/>
          </w:r>
          <w:r>
            <w:t>26</w:t>
          </w:r>
          <w:r>
            <w:fldChar w:fldCharType="end"/>
          </w:r>
          <w:r>
            <w:fldChar w:fldCharType="end"/>
          </w:r>
        </w:p>
        <w:p w14:paraId="4AFB9A7E">
          <w:pPr>
            <w:pStyle w:val="18"/>
            <w:spacing w:after="240"/>
            <w:rPr>
              <w:rFonts w:cstheme="minorBidi"/>
              <w:iCs w:val="0"/>
              <w:sz w:val="22"/>
              <w:szCs w:val="24"/>
              <w14:ligatures w14:val="standardContextual"/>
            </w:rPr>
          </w:pPr>
          <w:r>
            <w:fldChar w:fldCharType="begin"/>
          </w:r>
          <w:r>
            <w:instrText xml:space="preserve"> HYPERLINK \l "_Toc199429792" </w:instrText>
          </w:r>
          <w:r>
            <w:fldChar w:fldCharType="separate"/>
          </w:r>
          <w:r>
            <w:rPr>
              <w:rStyle w:val="37"/>
              <w:rFonts w:cstheme="minorHAnsi"/>
            </w:rPr>
            <w:t>4.5.8</w:t>
          </w:r>
          <w:r>
            <w:rPr>
              <w:rFonts w:cstheme="minorBidi"/>
              <w:iCs w:val="0"/>
              <w:sz w:val="22"/>
              <w:szCs w:val="24"/>
              <w14:ligatures w14:val="standardContextual"/>
            </w:rPr>
            <w:tab/>
          </w:r>
          <w:r>
            <w:rPr>
              <w:rStyle w:val="37"/>
              <w:rFonts w:cstheme="minorHAnsi"/>
            </w:rPr>
            <w:t>Operation steps for setting the lower limit of the range - Mode 16</w:t>
          </w:r>
          <w:r>
            <w:tab/>
          </w:r>
          <w:r>
            <w:fldChar w:fldCharType="begin"/>
          </w:r>
          <w:r>
            <w:instrText xml:space="preserve"> PAGEREF _Toc199429792 \h </w:instrText>
          </w:r>
          <w:r>
            <w:fldChar w:fldCharType="separate"/>
          </w:r>
          <w:r>
            <w:t>27</w:t>
          </w:r>
          <w:r>
            <w:fldChar w:fldCharType="end"/>
          </w:r>
          <w:r>
            <w:fldChar w:fldCharType="end"/>
          </w:r>
        </w:p>
        <w:p w14:paraId="3162A658">
          <w:pPr>
            <w:pStyle w:val="18"/>
            <w:spacing w:after="240"/>
            <w:rPr>
              <w:rFonts w:cstheme="minorBidi"/>
              <w:iCs w:val="0"/>
              <w:sz w:val="22"/>
              <w:szCs w:val="24"/>
              <w14:ligatures w14:val="standardContextual"/>
            </w:rPr>
          </w:pPr>
          <w:r>
            <w:fldChar w:fldCharType="begin"/>
          </w:r>
          <w:r>
            <w:instrText xml:space="preserve"> HYPERLINK \l "_Toc199429793" </w:instrText>
          </w:r>
          <w:r>
            <w:fldChar w:fldCharType="separate"/>
          </w:r>
          <w:r>
            <w:rPr>
              <w:rStyle w:val="37"/>
              <w:rFonts w:cstheme="minorHAnsi"/>
            </w:rPr>
            <w:t>4.5.9</w:t>
          </w:r>
          <w:r>
            <w:rPr>
              <w:rFonts w:cstheme="minorBidi"/>
              <w:iCs w:val="0"/>
              <w:sz w:val="22"/>
              <w:szCs w:val="24"/>
              <w14:ligatures w14:val="standardContextual"/>
            </w:rPr>
            <w:tab/>
          </w:r>
          <w:r>
            <w:rPr>
              <w:rStyle w:val="37"/>
              <w:rFonts w:cstheme="minorHAnsi"/>
            </w:rPr>
            <w:t>Operation steps for setting the upper range limit - Mode 17</w:t>
          </w:r>
          <w:r>
            <w:tab/>
          </w:r>
          <w:r>
            <w:fldChar w:fldCharType="begin"/>
          </w:r>
          <w:r>
            <w:instrText xml:space="preserve"> PAGEREF _Toc199429793 \h </w:instrText>
          </w:r>
          <w:r>
            <w:fldChar w:fldCharType="separate"/>
          </w:r>
          <w:r>
            <w:t>27</w:t>
          </w:r>
          <w:r>
            <w:fldChar w:fldCharType="end"/>
          </w:r>
          <w:r>
            <w:fldChar w:fldCharType="end"/>
          </w:r>
        </w:p>
        <w:p w14:paraId="30945E41">
          <w:pPr>
            <w:pStyle w:val="18"/>
            <w:spacing w:after="240"/>
            <w:rPr>
              <w:rFonts w:cstheme="minorBidi"/>
              <w:iCs w:val="0"/>
              <w:sz w:val="22"/>
              <w:szCs w:val="24"/>
              <w14:ligatures w14:val="standardContextual"/>
            </w:rPr>
          </w:pPr>
          <w:r>
            <w:fldChar w:fldCharType="begin"/>
          </w:r>
          <w:r>
            <w:instrText xml:space="preserve"> HYPERLINK \l "_Toc199429794" </w:instrText>
          </w:r>
          <w:r>
            <w:fldChar w:fldCharType="separate"/>
          </w:r>
          <w:r>
            <w:rPr>
              <w:rStyle w:val="37"/>
              <w:rFonts w:cstheme="minorHAnsi"/>
            </w:rPr>
            <w:t>4.5.10</w:t>
          </w:r>
          <w:r>
            <w:rPr>
              <w:rFonts w:cstheme="minorBidi"/>
              <w:iCs w:val="0"/>
              <w:sz w:val="22"/>
              <w:szCs w:val="24"/>
              <w14:ligatures w14:val="standardContextual"/>
            </w:rPr>
            <w:tab/>
          </w:r>
          <w:r>
            <w:rPr>
              <w:rStyle w:val="37"/>
              <w:rFonts w:cstheme="minorHAnsi"/>
            </w:rPr>
            <w:t>Operation steps for setting the lower limit of the input range - Mode 18</w:t>
          </w:r>
          <w:r>
            <w:tab/>
          </w:r>
          <w:r>
            <w:fldChar w:fldCharType="begin"/>
          </w:r>
          <w:r>
            <w:instrText xml:space="preserve"> PAGEREF _Toc199429794 \h </w:instrText>
          </w:r>
          <w:r>
            <w:fldChar w:fldCharType="separate"/>
          </w:r>
          <w:r>
            <w:t>27</w:t>
          </w:r>
          <w:r>
            <w:fldChar w:fldCharType="end"/>
          </w:r>
          <w:r>
            <w:fldChar w:fldCharType="end"/>
          </w:r>
        </w:p>
        <w:p w14:paraId="46F0A6C0">
          <w:pPr>
            <w:pStyle w:val="18"/>
            <w:spacing w:after="240"/>
            <w:rPr>
              <w:rFonts w:cstheme="minorBidi"/>
              <w:iCs w:val="0"/>
              <w:sz w:val="22"/>
              <w:szCs w:val="24"/>
              <w14:ligatures w14:val="standardContextual"/>
            </w:rPr>
          </w:pPr>
          <w:r>
            <w:fldChar w:fldCharType="begin"/>
          </w:r>
          <w:r>
            <w:instrText xml:space="preserve"> HYPERLINK \l "_Toc199429795" </w:instrText>
          </w:r>
          <w:r>
            <w:fldChar w:fldCharType="separate"/>
          </w:r>
          <w:r>
            <w:rPr>
              <w:rStyle w:val="37"/>
              <w:rFonts w:cstheme="minorHAnsi"/>
            </w:rPr>
            <w:t>4.5.11</w:t>
          </w:r>
          <w:r>
            <w:rPr>
              <w:rFonts w:cstheme="minorBidi"/>
              <w:iCs w:val="0"/>
              <w:sz w:val="22"/>
              <w:szCs w:val="24"/>
              <w14:ligatures w14:val="standardContextual"/>
            </w:rPr>
            <w:tab/>
          </w:r>
          <w:r>
            <w:rPr>
              <w:rStyle w:val="37"/>
              <w:rFonts w:cstheme="minorHAnsi"/>
            </w:rPr>
            <w:t>Operation steps for setting the upper limit of the input range - Mode 19</w:t>
          </w:r>
          <w:r>
            <w:tab/>
          </w:r>
          <w:r>
            <w:fldChar w:fldCharType="begin"/>
          </w:r>
          <w:r>
            <w:instrText xml:space="preserve"> PAGEREF _Toc199429795 \h </w:instrText>
          </w:r>
          <w:r>
            <w:fldChar w:fldCharType="separate"/>
          </w:r>
          <w:r>
            <w:t>27</w:t>
          </w:r>
          <w:r>
            <w:fldChar w:fldCharType="end"/>
          </w:r>
          <w:r>
            <w:fldChar w:fldCharType="end"/>
          </w:r>
        </w:p>
        <w:p w14:paraId="1939E400">
          <w:pPr>
            <w:pStyle w:val="18"/>
            <w:spacing w:after="240"/>
            <w:rPr>
              <w:rFonts w:cstheme="minorBidi"/>
              <w:iCs w:val="0"/>
              <w:sz w:val="22"/>
              <w:szCs w:val="24"/>
              <w14:ligatures w14:val="standardContextual"/>
            </w:rPr>
          </w:pPr>
          <w:r>
            <w:fldChar w:fldCharType="begin"/>
          </w:r>
          <w:r>
            <w:instrText xml:space="preserve"> HYPERLINK \l "_Toc199429796" </w:instrText>
          </w:r>
          <w:r>
            <w:fldChar w:fldCharType="separate"/>
          </w:r>
          <w:r>
            <w:rPr>
              <w:rStyle w:val="37"/>
              <w:rFonts w:cstheme="minorHAnsi"/>
            </w:rPr>
            <w:t>4.5.12</w:t>
          </w:r>
          <w:r>
            <w:rPr>
              <w:rFonts w:cstheme="minorBidi"/>
              <w:iCs w:val="0"/>
              <w:sz w:val="22"/>
              <w:szCs w:val="24"/>
              <w14:ligatures w14:val="standardContextual"/>
            </w:rPr>
            <w:tab/>
          </w:r>
          <w:r>
            <w:rPr>
              <w:rStyle w:val="37"/>
              <w:rFonts w:cstheme="minorHAnsi"/>
            </w:rPr>
            <w:t>Operation steps for setting the lower limit of the output range - Mode 20</w:t>
          </w:r>
          <w:r>
            <w:tab/>
          </w:r>
          <w:r>
            <w:fldChar w:fldCharType="begin"/>
          </w:r>
          <w:r>
            <w:instrText xml:space="preserve"> PAGEREF _Toc199429796 \h </w:instrText>
          </w:r>
          <w:r>
            <w:fldChar w:fldCharType="separate"/>
          </w:r>
          <w:r>
            <w:t>28</w:t>
          </w:r>
          <w:r>
            <w:fldChar w:fldCharType="end"/>
          </w:r>
          <w:r>
            <w:fldChar w:fldCharType="end"/>
          </w:r>
        </w:p>
        <w:p w14:paraId="5CEC9C14">
          <w:pPr>
            <w:pStyle w:val="18"/>
            <w:spacing w:after="240"/>
            <w:rPr>
              <w:rFonts w:cstheme="minorBidi"/>
              <w:iCs w:val="0"/>
              <w:sz w:val="22"/>
              <w:szCs w:val="24"/>
              <w14:ligatures w14:val="standardContextual"/>
            </w:rPr>
          </w:pPr>
          <w:r>
            <w:fldChar w:fldCharType="begin"/>
          </w:r>
          <w:r>
            <w:instrText xml:space="preserve"> HYPERLINK \l "_Toc199429797" </w:instrText>
          </w:r>
          <w:r>
            <w:fldChar w:fldCharType="separate"/>
          </w:r>
          <w:r>
            <w:rPr>
              <w:rStyle w:val="37"/>
              <w:rFonts w:cstheme="minorHAnsi"/>
            </w:rPr>
            <w:t>4.5.13</w:t>
          </w:r>
          <w:r>
            <w:rPr>
              <w:rFonts w:cstheme="minorBidi"/>
              <w:iCs w:val="0"/>
              <w:sz w:val="22"/>
              <w:szCs w:val="24"/>
              <w14:ligatures w14:val="standardContextual"/>
            </w:rPr>
            <w:tab/>
          </w:r>
          <w:r>
            <w:rPr>
              <w:rStyle w:val="37"/>
              <w:rFonts w:cstheme="minorHAnsi"/>
            </w:rPr>
            <w:t>Operation steps for setting the upper limit of the output range – Mode 21</w:t>
          </w:r>
          <w:r>
            <w:tab/>
          </w:r>
          <w:r>
            <w:fldChar w:fldCharType="begin"/>
          </w:r>
          <w:r>
            <w:instrText xml:space="preserve"> PAGEREF _Toc199429797 \h </w:instrText>
          </w:r>
          <w:r>
            <w:fldChar w:fldCharType="separate"/>
          </w:r>
          <w:r>
            <w:t>28</w:t>
          </w:r>
          <w:r>
            <w:fldChar w:fldCharType="end"/>
          </w:r>
          <w:r>
            <w:fldChar w:fldCharType="end"/>
          </w:r>
        </w:p>
        <w:p w14:paraId="7C2CA16D">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"_Toc199429798" </w:instrText>
          </w:r>
          <w:r>
            <w:fldChar w:fldCharType="separate"/>
          </w:r>
          <w:r>
            <w:rPr>
              <w:rStyle w:val="37"/>
              <w:rFonts w:cstheme="minorHAnsi"/>
            </w:rPr>
            <w:t>4.6</w:t>
          </w:r>
          <w:r>
            <w:rPr>
              <w:rFonts w:cstheme="minorBidi"/>
              <w:smallCaps w:val="0"/>
              <w:sz w:val="22"/>
              <w:szCs w:val="24"/>
              <w14:ligatures w14:val="standardContextual"/>
            </w:rPr>
            <w:tab/>
          </w:r>
          <w:r>
            <w:rPr>
              <w:rStyle w:val="37"/>
              <w:rFonts w:cstheme="minorHAnsi"/>
            </w:rPr>
            <w:t>Restore meter data to factory defaults</w:t>
          </w:r>
          <w:r>
            <w:tab/>
          </w:r>
          <w:r>
            <w:fldChar w:fldCharType="begin"/>
          </w:r>
          <w:r>
            <w:instrText xml:space="preserve"> PAGEREF _Toc199429798 \h </w:instrText>
          </w:r>
          <w:r>
            <w:fldChar w:fldCharType="separate"/>
          </w:r>
          <w:r>
            <w:t>28</w:t>
          </w:r>
          <w:r>
            <w:fldChar w:fldCharType="end"/>
          </w:r>
          <w:r>
            <w:fldChar w:fldCharType="end"/>
          </w:r>
        </w:p>
        <w:p w14:paraId="5739BD98">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"_Toc199429799" </w:instrText>
          </w:r>
          <w:r>
            <w:fldChar w:fldCharType="separate"/>
          </w:r>
          <w:r>
            <w:rPr>
              <w:rStyle w:val="37"/>
              <w:rFonts w:cstheme="minorHAnsi"/>
            </w:rPr>
            <w:t>4.7</w:t>
          </w:r>
          <w:r>
            <w:rPr>
              <w:rFonts w:cstheme="minorBidi"/>
              <w:smallCaps w:val="0"/>
              <w:sz w:val="22"/>
              <w:szCs w:val="24"/>
              <w14:ligatures w14:val="standardContextual"/>
            </w:rPr>
            <w:tab/>
          </w:r>
          <w:r>
            <w:rPr>
              <w:rStyle w:val="37"/>
              <w:rFonts w:cstheme="minorHAnsi"/>
            </w:rPr>
            <w:t>On site calibration of Wireless HART smart transmitter</w:t>
          </w:r>
          <w:r>
            <w:tab/>
          </w:r>
          <w:r>
            <w:fldChar w:fldCharType="begin"/>
          </w:r>
          <w:r>
            <w:instrText xml:space="preserve"> PAGEREF _Toc199429799 \h </w:instrText>
          </w:r>
          <w:r>
            <w:fldChar w:fldCharType="separate"/>
          </w:r>
          <w:r>
            <w:t>29</w:t>
          </w:r>
          <w:r>
            <w:fldChar w:fldCharType="end"/>
          </w:r>
          <w:r>
            <w:fldChar w:fldCharType="end"/>
          </w:r>
        </w:p>
        <w:p w14:paraId="5D2B58BE">
          <w:pPr>
            <w:pStyle w:val="18"/>
            <w:spacing w:after="240"/>
            <w:rPr>
              <w:rFonts w:cstheme="minorBidi"/>
              <w:iCs w:val="0"/>
              <w:sz w:val="22"/>
              <w:szCs w:val="24"/>
              <w14:ligatures w14:val="standardContextual"/>
            </w:rPr>
          </w:pPr>
          <w:r>
            <w:fldChar w:fldCharType="begin"/>
          </w:r>
          <w:r>
            <w:instrText xml:space="preserve"> HYPERLINK \l "_Toc199429800" </w:instrText>
          </w:r>
          <w:r>
            <w:fldChar w:fldCharType="separate"/>
          </w:r>
          <w:r>
            <w:rPr>
              <w:rStyle w:val="37"/>
              <w:rFonts w:cstheme="minorHAnsi"/>
            </w:rPr>
            <w:t>4.7.1</w:t>
          </w:r>
          <w:r>
            <w:rPr>
              <w:rFonts w:cstheme="minorBidi"/>
              <w:iCs w:val="0"/>
              <w:sz w:val="22"/>
              <w:szCs w:val="24"/>
              <w14:ligatures w14:val="standardContextual"/>
            </w:rPr>
            <w:tab/>
          </w:r>
          <w:r>
            <w:rPr>
              <w:rStyle w:val="37"/>
              <w:rFonts w:cstheme="minorHAnsi"/>
            </w:rPr>
            <w:t>WirelessHART configuration tool</w:t>
          </w:r>
          <w:r>
            <w:tab/>
          </w:r>
          <w:r>
            <w:fldChar w:fldCharType="begin"/>
          </w:r>
          <w:r>
            <w:instrText xml:space="preserve"> PAGEREF _Toc199429800 \h </w:instrText>
          </w:r>
          <w:r>
            <w:fldChar w:fldCharType="separate"/>
          </w:r>
          <w:r>
            <w:t>29</w:t>
          </w:r>
          <w:r>
            <w:fldChar w:fldCharType="end"/>
          </w:r>
          <w:r>
            <w:fldChar w:fldCharType="end"/>
          </w:r>
        </w:p>
        <w:p w14:paraId="62F859C5">
          <w:pPr>
            <w:pStyle w:val="18"/>
            <w:spacing w:after="240"/>
            <w:rPr>
              <w:rFonts w:cstheme="minorBidi"/>
              <w:iCs w:val="0"/>
              <w:sz w:val="22"/>
              <w:szCs w:val="24"/>
              <w14:ligatures w14:val="standardContextual"/>
            </w:rPr>
          </w:pPr>
          <w:r>
            <w:fldChar w:fldCharType="begin"/>
          </w:r>
          <w:r>
            <w:instrText xml:space="preserve"> HYPERLINK \l "_Toc199429801" </w:instrText>
          </w:r>
          <w:r>
            <w:fldChar w:fldCharType="separate"/>
          </w:r>
          <w:r>
            <w:rPr>
              <w:rStyle w:val="37"/>
              <w:rFonts w:cstheme="minorHAnsi"/>
            </w:rPr>
            <w:t>4.7.2</w:t>
          </w:r>
          <w:r>
            <w:rPr>
              <w:rFonts w:cstheme="minorBidi"/>
              <w:iCs w:val="0"/>
              <w:sz w:val="22"/>
              <w:szCs w:val="24"/>
              <w14:ligatures w14:val="standardContextual"/>
            </w:rPr>
            <w:tab/>
          </w:r>
          <w:r>
            <w:rPr>
              <w:rStyle w:val="37"/>
              <w:rFonts w:cstheme="minorHAnsi"/>
            </w:rPr>
            <w:t>475 communicator</w:t>
          </w:r>
          <w:r>
            <w:tab/>
          </w:r>
          <w:r>
            <w:fldChar w:fldCharType="begin"/>
          </w:r>
          <w:r>
            <w:instrText xml:space="preserve"> PAGEREF _Toc199429801 \h </w:instrText>
          </w:r>
          <w:r>
            <w:fldChar w:fldCharType="separate"/>
          </w:r>
          <w:r>
            <w:t>31</w:t>
          </w:r>
          <w:r>
            <w:fldChar w:fldCharType="end"/>
          </w:r>
          <w:r>
            <w:fldChar w:fldCharType="end"/>
          </w:r>
        </w:p>
        <w:p w14:paraId="6C98D838">
          <w:pPr>
            <w:pStyle w:val="18"/>
            <w:spacing w:after="240"/>
            <w:rPr>
              <w:rFonts w:cstheme="minorBidi"/>
              <w:iCs w:val="0"/>
              <w:sz w:val="22"/>
              <w:szCs w:val="24"/>
              <w14:ligatures w14:val="standardContextual"/>
            </w:rPr>
          </w:pPr>
          <w:r>
            <w:fldChar w:fldCharType="begin"/>
          </w:r>
          <w:r>
            <w:instrText xml:space="preserve"> HYPERLINK \l "_Toc199429802" </w:instrText>
          </w:r>
          <w:r>
            <w:fldChar w:fldCharType="separate"/>
          </w:r>
          <w:r>
            <w:rPr>
              <w:rStyle w:val="37"/>
              <w:rFonts w:cstheme="minorHAnsi"/>
            </w:rPr>
            <w:t>4.7.3</w:t>
          </w:r>
          <w:r>
            <w:rPr>
              <w:rFonts w:cstheme="minorBidi"/>
              <w:iCs w:val="0"/>
              <w:sz w:val="22"/>
              <w:szCs w:val="24"/>
              <w14:ligatures w14:val="standardContextual"/>
            </w:rPr>
            <w:tab/>
          </w:r>
          <w:r>
            <w:rPr>
              <w:rStyle w:val="37"/>
              <w:rFonts w:cstheme="minorHAnsi"/>
            </w:rPr>
            <w:t>WirelessHART gateway</w:t>
          </w:r>
          <w:r>
            <w:tab/>
          </w:r>
          <w:r>
            <w:fldChar w:fldCharType="begin"/>
          </w:r>
          <w:r>
            <w:instrText xml:space="preserve"> PAGEREF _Toc199429802 \h </w:instrText>
          </w:r>
          <w:r>
            <w:fldChar w:fldCharType="separate"/>
          </w:r>
          <w:r>
            <w:t>31</w:t>
          </w:r>
          <w:r>
            <w:fldChar w:fldCharType="end"/>
          </w:r>
          <w:r>
            <w:fldChar w:fldCharType="end"/>
          </w:r>
        </w:p>
        <w:p w14:paraId="3EABCDA3">
          <w:pPr>
            <w:pStyle w:val="18"/>
            <w:spacing w:after="240"/>
            <w:rPr>
              <w:rFonts w:cstheme="minorBidi"/>
              <w:iCs w:val="0"/>
              <w:sz w:val="22"/>
              <w:szCs w:val="24"/>
              <w14:ligatures w14:val="standardContextual"/>
            </w:rPr>
          </w:pPr>
          <w:r>
            <w:fldChar w:fldCharType="begin"/>
          </w:r>
          <w:r>
            <w:instrText xml:space="preserve"> HYPERLINK \l "_Toc199429803" </w:instrText>
          </w:r>
          <w:r>
            <w:fldChar w:fldCharType="separate"/>
          </w:r>
          <w:r>
            <w:rPr>
              <w:rStyle w:val="37"/>
              <w:rFonts w:cstheme="minorHAnsi"/>
            </w:rPr>
            <w:t>4.7.4</w:t>
          </w:r>
          <w:r>
            <w:rPr>
              <w:rFonts w:cstheme="minorBidi"/>
              <w:iCs w:val="0"/>
              <w:sz w:val="22"/>
              <w:szCs w:val="24"/>
              <w14:ligatures w14:val="standardContextual"/>
            </w:rPr>
            <w:tab/>
          </w:r>
          <w:r>
            <w:rPr>
              <w:rStyle w:val="37"/>
              <w:rFonts w:cstheme="minorHAnsi"/>
            </w:rPr>
            <w:t>Troubleshooting</w:t>
          </w:r>
          <w:r>
            <w:tab/>
          </w:r>
          <w:r>
            <w:fldChar w:fldCharType="begin"/>
          </w:r>
          <w:r>
            <w:instrText xml:space="preserve"> PAGEREF _Toc199429803 \h </w:instrText>
          </w:r>
          <w:r>
            <w:fldChar w:fldCharType="separate"/>
          </w:r>
          <w:r>
            <w:t>31</w:t>
          </w:r>
          <w:r>
            <w:fldChar w:fldCharType="end"/>
          </w:r>
          <w:r>
            <w:fldChar w:fldCharType="end"/>
          </w:r>
        </w:p>
        <w:p w14:paraId="5FFCB244">
          <w:pPr>
            <w:pStyle w:val="23"/>
            <w:spacing w:after="240"/>
            <w:rPr>
              <w:rFonts w:cstheme="minorBidi"/>
              <w:bCs w:val="0"/>
              <w:caps w:val="0"/>
              <w:sz w:val="22"/>
              <w:szCs w:val="24"/>
              <w14:ligatures w14:val="standardContextual"/>
            </w:rPr>
          </w:pPr>
          <w:r>
            <w:fldChar w:fldCharType="begin"/>
          </w:r>
          <w:r>
            <w:instrText xml:space="preserve"> HYPERLINK \l "_Toc199429804" </w:instrText>
          </w:r>
          <w:r>
            <w:fldChar w:fldCharType="separate"/>
          </w:r>
          <w:r>
            <w:rPr>
              <w:rStyle w:val="37"/>
            </w:rPr>
            <w:t>5</w:t>
          </w:r>
          <w:r>
            <w:rPr>
              <w:rFonts w:cstheme="minorBidi"/>
              <w:bCs w:val="0"/>
              <w:caps w:val="0"/>
              <w:sz w:val="22"/>
              <w:szCs w:val="24"/>
              <w14:ligatures w14:val="standardContextual"/>
            </w:rPr>
            <w:tab/>
          </w:r>
          <w:r>
            <w:rPr>
              <w:rStyle w:val="37"/>
            </w:rPr>
            <w:t>HART Type Intelligent Transmitter Configuration</w:t>
          </w:r>
          <w:r>
            <w:tab/>
          </w:r>
          <w:r>
            <w:fldChar w:fldCharType="begin"/>
          </w:r>
          <w:r>
            <w:instrText xml:space="preserve"> PAGEREF _Toc199429804 \h </w:instrText>
          </w:r>
          <w:r>
            <w:fldChar w:fldCharType="separate"/>
          </w:r>
          <w:r>
            <w:t>33</w:t>
          </w:r>
          <w:r>
            <w:fldChar w:fldCharType="end"/>
          </w:r>
          <w:r>
            <w:fldChar w:fldCharType="end"/>
          </w:r>
        </w:p>
        <w:p w14:paraId="7C4FC28D">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"_Toc199429805" </w:instrText>
          </w:r>
          <w:r>
            <w:fldChar w:fldCharType="separate"/>
          </w:r>
          <w:r>
            <w:rPr>
              <w:rStyle w:val="37"/>
              <w:rFonts w:cstheme="minorHAnsi"/>
            </w:rPr>
            <w:t>5.1</w:t>
          </w:r>
          <w:r>
            <w:rPr>
              <w:rFonts w:cstheme="minorBidi"/>
              <w:smallCaps w:val="0"/>
              <w:sz w:val="22"/>
              <w:szCs w:val="24"/>
              <w14:ligatures w14:val="standardContextual"/>
            </w:rPr>
            <w:tab/>
          </w:r>
          <w:r>
            <w:rPr>
              <w:rStyle w:val="37"/>
              <w:rFonts w:cstheme="minorHAnsi"/>
            </w:rPr>
            <w:t>Topologic Connection</w:t>
          </w:r>
          <w:r>
            <w:tab/>
          </w:r>
          <w:r>
            <w:fldChar w:fldCharType="begin"/>
          </w:r>
          <w:r>
            <w:instrText xml:space="preserve"> PAGEREF _Toc199429805 \h </w:instrText>
          </w:r>
          <w:r>
            <w:fldChar w:fldCharType="separate"/>
          </w:r>
          <w:r>
            <w:t>33</w:t>
          </w:r>
          <w:r>
            <w:fldChar w:fldCharType="end"/>
          </w:r>
          <w:r>
            <w:fldChar w:fldCharType="end"/>
          </w:r>
        </w:p>
        <w:p w14:paraId="1AE791FD">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"_Toc199429806" </w:instrText>
          </w:r>
          <w:r>
            <w:fldChar w:fldCharType="separate"/>
          </w:r>
          <w:r>
            <w:rPr>
              <w:rStyle w:val="37"/>
              <w:rFonts w:cstheme="minorHAnsi"/>
            </w:rPr>
            <w:t>5.2</w:t>
          </w:r>
          <w:r>
            <w:rPr>
              <w:rFonts w:cstheme="minorBidi"/>
              <w:smallCaps w:val="0"/>
              <w:sz w:val="22"/>
              <w:szCs w:val="24"/>
              <w14:ligatures w14:val="standardContextual"/>
            </w:rPr>
            <w:tab/>
          </w:r>
          <w:r>
            <w:rPr>
              <w:rStyle w:val="37"/>
              <w:rFonts w:cstheme="minorHAnsi"/>
            </w:rPr>
            <w:t>Function Configuration</w:t>
          </w:r>
          <w:r>
            <w:tab/>
          </w:r>
          <w:r>
            <w:fldChar w:fldCharType="begin"/>
          </w:r>
          <w:r>
            <w:instrText xml:space="preserve"> PAGEREF _Toc199429806 \h </w:instrText>
          </w:r>
          <w:r>
            <w:fldChar w:fldCharType="separate"/>
          </w:r>
          <w:r>
            <w:t>34</w:t>
          </w:r>
          <w:r>
            <w:fldChar w:fldCharType="end"/>
          </w:r>
          <w:r>
            <w:fldChar w:fldCharType="end"/>
          </w:r>
        </w:p>
        <w:p w14:paraId="40D846A4">
          <w:pPr>
            <w:pStyle w:val="18"/>
            <w:spacing w:after="240"/>
            <w:rPr>
              <w:rFonts w:cstheme="minorBidi"/>
              <w:iCs w:val="0"/>
              <w:sz w:val="22"/>
              <w:szCs w:val="24"/>
              <w14:ligatures w14:val="standardContextual"/>
            </w:rPr>
          </w:pPr>
          <w:r>
            <w:fldChar w:fldCharType="begin"/>
          </w:r>
          <w:r>
            <w:instrText xml:space="preserve"> HYPERLINK \l "_Toc199429807" </w:instrText>
          </w:r>
          <w:r>
            <w:fldChar w:fldCharType="separate"/>
          </w:r>
          <w:r>
            <w:rPr>
              <w:rStyle w:val="37"/>
              <w:rFonts w:cstheme="minorHAnsi"/>
            </w:rPr>
            <w:t>5.2.1</w:t>
          </w:r>
          <w:r>
            <w:rPr>
              <w:rFonts w:cstheme="minorBidi"/>
              <w:iCs w:val="0"/>
              <w:sz w:val="22"/>
              <w:szCs w:val="24"/>
              <w14:ligatures w14:val="standardContextual"/>
            </w:rPr>
            <w:tab/>
          </w:r>
          <w:r>
            <w:rPr>
              <w:rStyle w:val="37"/>
              <w:rFonts w:eastAsia="Arial" w:cstheme="minorHAnsi"/>
            </w:rPr>
            <w:t xml:space="preserve">Configuration </w:t>
          </w:r>
          <w:r>
            <w:rPr>
              <w:rStyle w:val="37"/>
              <w:rFonts w:cstheme="minorHAnsi"/>
            </w:rPr>
            <w:t>E</w:t>
          </w:r>
          <w:r>
            <w:rPr>
              <w:rStyle w:val="37"/>
              <w:rFonts w:eastAsia="Arial" w:cstheme="minorHAnsi"/>
            </w:rPr>
            <w:t>nvironment</w:t>
          </w:r>
          <w:r>
            <w:tab/>
          </w:r>
          <w:r>
            <w:fldChar w:fldCharType="begin"/>
          </w:r>
          <w:r>
            <w:instrText xml:space="preserve"> PAGEREF _Toc199429807 \h </w:instrText>
          </w:r>
          <w:r>
            <w:fldChar w:fldCharType="separate"/>
          </w:r>
          <w:r>
            <w:t>34</w:t>
          </w:r>
          <w:r>
            <w:fldChar w:fldCharType="end"/>
          </w:r>
          <w:r>
            <w:fldChar w:fldCharType="end"/>
          </w:r>
        </w:p>
        <w:p w14:paraId="441AD01A">
          <w:pPr>
            <w:pStyle w:val="18"/>
            <w:spacing w:after="240"/>
            <w:rPr>
              <w:rFonts w:cstheme="minorBidi"/>
              <w:iCs w:val="0"/>
              <w:sz w:val="22"/>
              <w:szCs w:val="24"/>
              <w14:ligatures w14:val="standardContextual"/>
            </w:rPr>
          </w:pPr>
          <w:r>
            <w:fldChar w:fldCharType="begin"/>
          </w:r>
          <w:r>
            <w:instrText xml:space="preserve"> HYPERLINK \l "_Toc199429808" </w:instrText>
          </w:r>
          <w:r>
            <w:fldChar w:fldCharType="separate"/>
          </w:r>
          <w:r>
            <w:rPr>
              <w:rStyle w:val="37"/>
              <w:rFonts w:cstheme="minorHAnsi"/>
            </w:rPr>
            <w:t>5.2.2</w:t>
          </w:r>
          <w:r>
            <w:rPr>
              <w:rFonts w:cstheme="minorBidi"/>
              <w:iCs w:val="0"/>
              <w:sz w:val="22"/>
              <w:szCs w:val="24"/>
              <w14:ligatures w14:val="standardContextual"/>
            </w:rPr>
            <w:tab/>
          </w:r>
          <w:r>
            <w:rPr>
              <w:rStyle w:val="37"/>
              <w:rFonts w:eastAsia="Arial" w:cstheme="minorHAnsi"/>
            </w:rPr>
            <w:t xml:space="preserve">Basic </w:t>
          </w:r>
          <w:r>
            <w:rPr>
              <w:rStyle w:val="37"/>
              <w:rFonts w:cstheme="minorHAnsi"/>
            </w:rPr>
            <w:t>I</w:t>
          </w:r>
          <w:r>
            <w:rPr>
              <w:rStyle w:val="37"/>
              <w:rFonts w:eastAsia="Arial" w:cstheme="minorHAnsi"/>
            </w:rPr>
            <w:t xml:space="preserve">nformation </w:t>
          </w:r>
          <w:r>
            <w:rPr>
              <w:rStyle w:val="37"/>
              <w:rFonts w:cstheme="minorHAnsi"/>
            </w:rPr>
            <w:t>C</w:t>
          </w:r>
          <w:r>
            <w:rPr>
              <w:rStyle w:val="37"/>
              <w:rFonts w:eastAsia="Arial" w:cstheme="minorHAnsi"/>
            </w:rPr>
            <w:t>onfiguration</w:t>
          </w:r>
          <w:r>
            <w:tab/>
          </w:r>
          <w:r>
            <w:fldChar w:fldCharType="begin"/>
          </w:r>
          <w:r>
            <w:instrText xml:space="preserve"> PAGEREF _Toc199429808 \h </w:instrText>
          </w:r>
          <w:r>
            <w:fldChar w:fldCharType="separate"/>
          </w:r>
          <w:r>
            <w:t>34</w:t>
          </w:r>
          <w:r>
            <w:fldChar w:fldCharType="end"/>
          </w:r>
          <w:r>
            <w:fldChar w:fldCharType="end"/>
          </w:r>
        </w:p>
        <w:p w14:paraId="53AE5D12">
          <w:pPr>
            <w:pStyle w:val="18"/>
            <w:spacing w:after="240"/>
            <w:rPr>
              <w:rFonts w:cstheme="minorBidi"/>
              <w:iCs w:val="0"/>
              <w:sz w:val="22"/>
              <w:szCs w:val="24"/>
              <w14:ligatures w14:val="standardContextual"/>
            </w:rPr>
          </w:pPr>
          <w:r>
            <w:fldChar w:fldCharType="begin"/>
          </w:r>
          <w:r>
            <w:instrText xml:space="preserve"> HYPERLINK \l "_Toc199429809" </w:instrText>
          </w:r>
          <w:r>
            <w:fldChar w:fldCharType="separate"/>
          </w:r>
          <w:r>
            <w:rPr>
              <w:rStyle w:val="37"/>
              <w:rFonts w:cstheme="minorHAnsi"/>
            </w:rPr>
            <w:t>5.2.3</w:t>
          </w:r>
          <w:r>
            <w:rPr>
              <w:rFonts w:cstheme="minorBidi"/>
              <w:iCs w:val="0"/>
              <w:sz w:val="22"/>
              <w:szCs w:val="24"/>
              <w14:ligatures w14:val="standardContextual"/>
            </w:rPr>
            <w:tab/>
          </w:r>
          <w:r>
            <w:rPr>
              <w:rStyle w:val="37"/>
              <w:rFonts w:cstheme="minorHAnsi"/>
            </w:rPr>
            <w:t>Configuration of Configuration Information</w:t>
          </w:r>
          <w:r>
            <w:tab/>
          </w:r>
          <w:r>
            <w:fldChar w:fldCharType="begin"/>
          </w:r>
          <w:r>
            <w:instrText xml:space="preserve"> PAGEREF _Toc199429809 \h </w:instrText>
          </w:r>
          <w:r>
            <w:fldChar w:fldCharType="separate"/>
          </w:r>
          <w:r>
            <w:t>35</w:t>
          </w:r>
          <w:r>
            <w:fldChar w:fldCharType="end"/>
          </w:r>
          <w:r>
            <w:fldChar w:fldCharType="end"/>
          </w:r>
        </w:p>
        <w:p w14:paraId="63355D65">
          <w:pPr>
            <w:pStyle w:val="18"/>
            <w:spacing w:after="240"/>
            <w:rPr>
              <w:rFonts w:cstheme="minorBidi"/>
              <w:iCs w:val="0"/>
              <w:sz w:val="22"/>
              <w:szCs w:val="24"/>
              <w14:ligatures w14:val="standardContextual"/>
            </w:rPr>
          </w:pPr>
          <w:r>
            <w:fldChar w:fldCharType="begin"/>
          </w:r>
          <w:r>
            <w:instrText xml:space="preserve"> HYPERLINK \l "_Toc199429810" </w:instrText>
          </w:r>
          <w:r>
            <w:fldChar w:fldCharType="separate"/>
          </w:r>
          <w:r>
            <w:rPr>
              <w:rStyle w:val="37"/>
              <w:rFonts w:cstheme="minorHAnsi"/>
            </w:rPr>
            <w:t>5.2.4</w:t>
          </w:r>
          <w:r>
            <w:rPr>
              <w:rFonts w:cstheme="minorBidi"/>
              <w:iCs w:val="0"/>
              <w:sz w:val="22"/>
              <w:szCs w:val="24"/>
              <w14:ligatures w14:val="standardContextual"/>
            </w:rPr>
            <w:tab/>
          </w:r>
          <w:r>
            <w:rPr>
              <w:rStyle w:val="37"/>
              <w:rFonts w:cstheme="minorHAnsi"/>
            </w:rPr>
            <w:t>Current Calibration and Fixed Current Output</w:t>
          </w:r>
          <w:r>
            <w:tab/>
          </w:r>
          <w:r>
            <w:fldChar w:fldCharType="begin"/>
          </w:r>
          <w:r>
            <w:instrText xml:space="preserve"> PAGEREF _Toc199429810 \h </w:instrText>
          </w:r>
          <w:r>
            <w:fldChar w:fldCharType="separate"/>
          </w:r>
          <w:r>
            <w:t>37</w:t>
          </w:r>
          <w:r>
            <w:fldChar w:fldCharType="end"/>
          </w:r>
          <w:r>
            <w:fldChar w:fldCharType="end"/>
          </w:r>
        </w:p>
        <w:p w14:paraId="114CCE13">
          <w:pPr>
            <w:pStyle w:val="18"/>
            <w:spacing w:after="240"/>
            <w:rPr>
              <w:rFonts w:cstheme="minorBidi"/>
              <w:iCs w:val="0"/>
              <w:sz w:val="22"/>
              <w:szCs w:val="24"/>
              <w14:ligatures w14:val="standardContextual"/>
            </w:rPr>
          </w:pPr>
          <w:r>
            <w:fldChar w:fldCharType="begin"/>
          </w:r>
          <w:r>
            <w:instrText xml:space="preserve"> HYPERLINK \l "_Toc199429811" </w:instrText>
          </w:r>
          <w:r>
            <w:fldChar w:fldCharType="separate"/>
          </w:r>
          <w:r>
            <w:rPr>
              <w:rStyle w:val="37"/>
              <w:rFonts w:cstheme="minorHAnsi"/>
            </w:rPr>
            <w:t>5.2.5</w:t>
          </w:r>
          <w:r>
            <w:rPr>
              <w:rFonts w:cstheme="minorBidi"/>
              <w:iCs w:val="0"/>
              <w:sz w:val="22"/>
              <w:szCs w:val="24"/>
              <w14:ligatures w14:val="standardContextual"/>
            </w:rPr>
            <w:tab/>
          </w:r>
          <w:r>
            <w:rPr>
              <w:rStyle w:val="37"/>
              <w:rFonts w:cstheme="minorHAnsi"/>
            </w:rPr>
            <w:t>Saturable Fixed Output (Manufacturer setting, not configurable)</w:t>
          </w:r>
          <w:r>
            <w:tab/>
          </w:r>
          <w:r>
            <w:fldChar w:fldCharType="begin"/>
          </w:r>
          <w:r>
            <w:instrText xml:space="preserve"> PAGEREF _Toc199429811 \h </w:instrText>
          </w:r>
          <w:r>
            <w:fldChar w:fldCharType="separate"/>
          </w:r>
          <w:r>
            <w:t>38</w:t>
          </w:r>
          <w:r>
            <w:fldChar w:fldCharType="end"/>
          </w:r>
          <w:r>
            <w:fldChar w:fldCharType="end"/>
          </w:r>
        </w:p>
        <w:p w14:paraId="4A8A7556">
          <w:pPr>
            <w:pStyle w:val="18"/>
            <w:spacing w:after="240"/>
            <w:rPr>
              <w:rFonts w:cstheme="minorBidi"/>
              <w:iCs w:val="0"/>
              <w:sz w:val="22"/>
              <w:szCs w:val="24"/>
              <w14:ligatures w14:val="standardContextual"/>
            </w:rPr>
          </w:pPr>
          <w:r>
            <w:fldChar w:fldCharType="begin"/>
          </w:r>
          <w:r>
            <w:instrText xml:space="preserve"> HYPERLINK \l "_Toc199429812" </w:instrText>
          </w:r>
          <w:r>
            <w:fldChar w:fldCharType="separate"/>
          </w:r>
          <w:r>
            <w:rPr>
              <w:rStyle w:val="37"/>
              <w:rFonts w:cstheme="minorHAnsi"/>
            </w:rPr>
            <w:t>5.2.6</w:t>
          </w:r>
          <w:r>
            <w:rPr>
              <w:rFonts w:cstheme="minorBidi"/>
              <w:iCs w:val="0"/>
              <w:sz w:val="22"/>
              <w:szCs w:val="24"/>
              <w14:ligatures w14:val="standardContextual"/>
            </w:rPr>
            <w:tab/>
          </w:r>
          <w:r>
            <w:rPr>
              <w:rStyle w:val="37"/>
              <w:rFonts w:cstheme="minorHAnsi"/>
            </w:rPr>
            <w:t>Special Command</w:t>
          </w:r>
          <w:r>
            <w:tab/>
          </w:r>
          <w:r>
            <w:fldChar w:fldCharType="begin"/>
          </w:r>
          <w:r>
            <w:instrText xml:space="preserve"> PAGEREF _Toc199429812 \h </w:instrText>
          </w:r>
          <w:r>
            <w:fldChar w:fldCharType="separate"/>
          </w:r>
          <w:r>
            <w:t>38</w:t>
          </w:r>
          <w:r>
            <w:fldChar w:fldCharType="end"/>
          </w:r>
          <w:r>
            <w:fldChar w:fldCharType="end"/>
          </w:r>
        </w:p>
        <w:p w14:paraId="3CC43431">
          <w:pPr>
            <w:pStyle w:val="18"/>
            <w:spacing w:after="240"/>
            <w:rPr>
              <w:rFonts w:cstheme="minorBidi"/>
              <w:iCs w:val="0"/>
              <w:sz w:val="22"/>
              <w:szCs w:val="24"/>
              <w14:ligatures w14:val="standardContextual"/>
            </w:rPr>
          </w:pPr>
          <w:r>
            <w:fldChar w:fldCharType="begin"/>
          </w:r>
          <w:r>
            <w:instrText xml:space="preserve"> HYPERLINK \l "_Toc199429813" </w:instrText>
          </w:r>
          <w:r>
            <w:fldChar w:fldCharType="separate"/>
          </w:r>
          <w:r>
            <w:rPr>
              <w:rStyle w:val="37"/>
              <w:rFonts w:cstheme="minorHAnsi"/>
            </w:rPr>
            <w:t>5.2.7</w:t>
          </w:r>
          <w:r>
            <w:rPr>
              <w:rFonts w:cstheme="minorBidi"/>
              <w:iCs w:val="0"/>
              <w:sz w:val="22"/>
              <w:szCs w:val="24"/>
              <w14:ligatures w14:val="standardContextual"/>
            </w:rPr>
            <w:tab/>
          </w:r>
          <w:r>
            <w:rPr>
              <w:rStyle w:val="37"/>
              <w:rFonts w:cstheme="minorHAnsi"/>
            </w:rPr>
            <w:t>Extra Message</w:t>
          </w:r>
          <w:r>
            <w:tab/>
          </w:r>
          <w:r>
            <w:fldChar w:fldCharType="begin"/>
          </w:r>
          <w:r>
            <w:instrText xml:space="preserve"> PAGEREF _Toc199429813 \h </w:instrText>
          </w:r>
          <w:r>
            <w:fldChar w:fldCharType="separate"/>
          </w:r>
          <w:r>
            <w:t>40</w:t>
          </w:r>
          <w:r>
            <w:fldChar w:fldCharType="end"/>
          </w:r>
          <w:r>
            <w:fldChar w:fldCharType="end"/>
          </w:r>
        </w:p>
        <w:p w14:paraId="4E130E5F">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"_Toc199429814" </w:instrText>
          </w:r>
          <w:r>
            <w:fldChar w:fldCharType="separate"/>
          </w:r>
          <w:r>
            <w:rPr>
              <w:rStyle w:val="37"/>
              <w:rFonts w:cstheme="minorHAnsi"/>
            </w:rPr>
            <w:t>5.3</w:t>
          </w:r>
          <w:r>
            <w:rPr>
              <w:rFonts w:cstheme="minorBidi"/>
              <w:smallCaps w:val="0"/>
              <w:sz w:val="22"/>
              <w:szCs w:val="24"/>
              <w14:ligatures w14:val="standardContextual"/>
            </w:rPr>
            <w:tab/>
          </w:r>
          <w:r>
            <w:rPr>
              <w:rStyle w:val="37"/>
              <w:rFonts w:cstheme="minorHAnsi"/>
            </w:rPr>
            <w:t>Jump Line Configuration</w:t>
          </w:r>
          <w:r>
            <w:tab/>
          </w:r>
          <w:r>
            <w:fldChar w:fldCharType="begin"/>
          </w:r>
          <w:r>
            <w:instrText xml:space="preserve"> PAGEREF _Toc199429814 \h </w:instrText>
          </w:r>
          <w:r>
            <w:fldChar w:fldCharType="separate"/>
          </w:r>
          <w:r>
            <w:t>41</w:t>
          </w:r>
          <w:r>
            <w:fldChar w:fldCharType="end"/>
          </w:r>
          <w:r>
            <w:fldChar w:fldCharType="end"/>
          </w:r>
        </w:p>
        <w:p w14:paraId="4C1B32CB">
          <w:pPr>
            <w:pStyle w:val="18"/>
            <w:spacing w:after="240"/>
            <w:rPr>
              <w:rFonts w:cstheme="minorBidi"/>
              <w:iCs w:val="0"/>
              <w:sz w:val="22"/>
              <w:szCs w:val="24"/>
              <w14:ligatures w14:val="standardContextual"/>
            </w:rPr>
          </w:pPr>
          <w:r>
            <w:fldChar w:fldCharType="begin"/>
          </w:r>
          <w:r>
            <w:instrText xml:space="preserve"> HYPERLINK \l "_Toc199429815" </w:instrText>
          </w:r>
          <w:r>
            <w:fldChar w:fldCharType="separate"/>
          </w:r>
          <w:r>
            <w:rPr>
              <w:rStyle w:val="37"/>
              <w:rFonts w:cstheme="minorHAnsi"/>
            </w:rPr>
            <w:t>5.3.1</w:t>
          </w:r>
          <w:r>
            <w:rPr>
              <w:rFonts w:cstheme="minorBidi"/>
              <w:iCs w:val="0"/>
              <w:sz w:val="22"/>
              <w:szCs w:val="24"/>
              <w14:ligatures w14:val="standardContextual"/>
            </w:rPr>
            <w:tab/>
          </w:r>
          <w:r>
            <w:rPr>
              <w:rStyle w:val="37"/>
              <w:rFonts w:cstheme="minorHAnsi"/>
            </w:rPr>
            <w:t>Fault Alarm Jumper Setting</w:t>
          </w:r>
          <w:r>
            <w:tab/>
          </w:r>
          <w:r>
            <w:fldChar w:fldCharType="begin"/>
          </w:r>
          <w:r>
            <w:instrText xml:space="preserve"> PAGEREF _Toc199429815 \h </w:instrText>
          </w:r>
          <w:r>
            <w:fldChar w:fldCharType="separate"/>
          </w:r>
          <w:r>
            <w:t>41</w:t>
          </w:r>
          <w:r>
            <w:fldChar w:fldCharType="end"/>
          </w:r>
          <w:r>
            <w:fldChar w:fldCharType="end"/>
          </w:r>
        </w:p>
        <w:p w14:paraId="4A787F3F">
          <w:pPr>
            <w:pStyle w:val="18"/>
            <w:spacing w:after="240"/>
            <w:rPr>
              <w:rFonts w:cstheme="minorBidi"/>
              <w:iCs w:val="0"/>
              <w:sz w:val="22"/>
              <w:szCs w:val="24"/>
              <w14:ligatures w14:val="standardContextual"/>
            </w:rPr>
          </w:pPr>
          <w:r>
            <w:fldChar w:fldCharType="begin"/>
          </w:r>
          <w:r>
            <w:instrText xml:space="preserve"> HYPERLINK \l "_Toc199429816" </w:instrText>
          </w:r>
          <w:r>
            <w:fldChar w:fldCharType="separate"/>
          </w:r>
          <w:r>
            <w:rPr>
              <w:rStyle w:val="37"/>
              <w:rFonts w:cstheme="minorHAnsi"/>
            </w:rPr>
            <w:t>5.3.2</w:t>
          </w:r>
          <w:r>
            <w:rPr>
              <w:rFonts w:cstheme="minorBidi"/>
              <w:iCs w:val="0"/>
              <w:sz w:val="22"/>
              <w:szCs w:val="24"/>
              <w14:ligatures w14:val="standardContextual"/>
            </w:rPr>
            <w:tab/>
          </w:r>
          <w:r>
            <w:rPr>
              <w:rStyle w:val="37"/>
              <w:rFonts w:cstheme="minorHAnsi"/>
            </w:rPr>
            <w:t>Configuration Protection Jumper Settings</w:t>
          </w:r>
          <w:r>
            <w:tab/>
          </w:r>
          <w:r>
            <w:fldChar w:fldCharType="begin"/>
          </w:r>
          <w:r>
            <w:instrText xml:space="preserve"> PAGEREF _Toc199429816 \h </w:instrText>
          </w:r>
          <w:r>
            <w:fldChar w:fldCharType="separate"/>
          </w:r>
          <w:r>
            <w:t>41</w:t>
          </w:r>
          <w:r>
            <w:fldChar w:fldCharType="end"/>
          </w:r>
          <w:r>
            <w:fldChar w:fldCharType="end"/>
          </w:r>
        </w:p>
        <w:p w14:paraId="0BB66423">
          <w:pPr>
            <w:pStyle w:val="23"/>
            <w:spacing w:after="240"/>
            <w:rPr>
              <w:rFonts w:cstheme="minorBidi"/>
              <w:bCs w:val="0"/>
              <w:caps w:val="0"/>
              <w:sz w:val="22"/>
              <w:szCs w:val="24"/>
              <w14:ligatures w14:val="standardContextual"/>
            </w:rPr>
          </w:pPr>
          <w:r>
            <w:fldChar w:fldCharType="begin"/>
          </w:r>
          <w:r>
            <w:instrText xml:space="preserve"> HYPERLINK \l "_Toc199429817" </w:instrText>
          </w:r>
          <w:r>
            <w:fldChar w:fldCharType="separate"/>
          </w:r>
          <w:r>
            <w:rPr>
              <w:rStyle w:val="37"/>
            </w:rPr>
            <w:t>6</w:t>
          </w:r>
          <w:r>
            <w:rPr>
              <w:rFonts w:cstheme="minorBidi"/>
              <w:bCs w:val="0"/>
              <w:caps w:val="0"/>
              <w:sz w:val="22"/>
              <w:szCs w:val="24"/>
              <w14:ligatures w14:val="standardContextual"/>
            </w:rPr>
            <w:tab/>
          </w:r>
          <w:r>
            <w:rPr>
              <w:rStyle w:val="37"/>
            </w:rPr>
            <w:t>FF Type Intelligent Transmitter Configuration</w:t>
          </w:r>
          <w:r>
            <w:tab/>
          </w:r>
          <w:r>
            <w:fldChar w:fldCharType="begin"/>
          </w:r>
          <w:r>
            <w:instrText xml:space="preserve"> PAGEREF _Toc199429817 \h </w:instrText>
          </w:r>
          <w:r>
            <w:fldChar w:fldCharType="separate"/>
          </w:r>
          <w:r>
            <w:t>42</w:t>
          </w:r>
          <w:r>
            <w:fldChar w:fldCharType="end"/>
          </w:r>
          <w:r>
            <w:fldChar w:fldCharType="end"/>
          </w:r>
        </w:p>
        <w:p w14:paraId="6F2C5ACB">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"_Toc199429818" </w:instrText>
          </w:r>
          <w:r>
            <w:fldChar w:fldCharType="separate"/>
          </w:r>
          <w:r>
            <w:rPr>
              <w:rStyle w:val="37"/>
              <w:rFonts w:cstheme="minorHAnsi"/>
            </w:rPr>
            <w:t>6.1</w:t>
          </w:r>
          <w:r>
            <w:rPr>
              <w:rFonts w:cstheme="minorBidi"/>
              <w:smallCaps w:val="0"/>
              <w:sz w:val="22"/>
              <w:szCs w:val="24"/>
              <w14:ligatures w14:val="standardContextual"/>
            </w:rPr>
            <w:tab/>
          </w:r>
          <w:r>
            <w:rPr>
              <w:rStyle w:val="37"/>
              <w:rFonts w:cstheme="minorHAnsi"/>
            </w:rPr>
            <w:t>Topological Connection</w:t>
          </w:r>
          <w:r>
            <w:tab/>
          </w:r>
          <w:r>
            <w:fldChar w:fldCharType="begin"/>
          </w:r>
          <w:r>
            <w:instrText xml:space="preserve"> PAGEREF _Toc199429818 \h </w:instrText>
          </w:r>
          <w:r>
            <w:fldChar w:fldCharType="separate"/>
          </w:r>
          <w:r>
            <w:t>42</w:t>
          </w:r>
          <w:r>
            <w:fldChar w:fldCharType="end"/>
          </w:r>
          <w:r>
            <w:fldChar w:fldCharType="end"/>
          </w:r>
        </w:p>
        <w:p w14:paraId="13A413E9">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"_Toc199429819" </w:instrText>
          </w:r>
          <w:r>
            <w:fldChar w:fldCharType="separate"/>
          </w:r>
          <w:r>
            <w:rPr>
              <w:rStyle w:val="37"/>
              <w:rFonts w:cstheme="minorHAnsi"/>
            </w:rPr>
            <w:t>6.2</w:t>
          </w:r>
          <w:r>
            <w:rPr>
              <w:rFonts w:cstheme="minorBidi"/>
              <w:smallCaps w:val="0"/>
              <w:sz w:val="22"/>
              <w:szCs w:val="24"/>
              <w14:ligatures w14:val="standardContextual"/>
            </w:rPr>
            <w:tab/>
          </w:r>
          <w:r>
            <w:rPr>
              <w:rStyle w:val="37"/>
              <w:rFonts w:cstheme="minorHAnsi"/>
            </w:rPr>
            <w:t>Functional Block</w:t>
          </w:r>
          <w:r>
            <w:tab/>
          </w:r>
          <w:r>
            <w:fldChar w:fldCharType="begin"/>
          </w:r>
          <w:r>
            <w:instrText xml:space="preserve"> PAGEREF _Toc199429819 \h </w:instrText>
          </w:r>
          <w:r>
            <w:fldChar w:fldCharType="separate"/>
          </w:r>
          <w:r>
            <w:t>43</w:t>
          </w:r>
          <w:r>
            <w:fldChar w:fldCharType="end"/>
          </w:r>
          <w:r>
            <w:fldChar w:fldCharType="end"/>
          </w:r>
        </w:p>
        <w:p w14:paraId="189C965B">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"_Toc199429820" </w:instrText>
          </w:r>
          <w:r>
            <w:fldChar w:fldCharType="separate"/>
          </w:r>
          <w:r>
            <w:rPr>
              <w:rStyle w:val="37"/>
              <w:rFonts w:cstheme="minorHAnsi"/>
            </w:rPr>
            <w:t>6.3</w:t>
          </w:r>
          <w:r>
            <w:rPr>
              <w:rFonts w:cstheme="minorBidi"/>
              <w:smallCaps w:val="0"/>
              <w:sz w:val="22"/>
              <w:szCs w:val="24"/>
              <w14:ligatures w14:val="standardContextual"/>
            </w:rPr>
            <w:tab/>
          </w:r>
          <w:r>
            <w:rPr>
              <w:rStyle w:val="37"/>
              <w:rFonts w:cstheme="minorHAnsi"/>
            </w:rPr>
            <w:t>Functional Configuration</w:t>
          </w:r>
          <w:r>
            <w:tab/>
          </w:r>
          <w:r>
            <w:fldChar w:fldCharType="begin"/>
          </w:r>
          <w:r>
            <w:instrText xml:space="preserve"> PAGEREF _Toc199429820 \h </w:instrText>
          </w:r>
          <w:r>
            <w:fldChar w:fldCharType="separate"/>
          </w:r>
          <w:r>
            <w:t>43</w:t>
          </w:r>
          <w:r>
            <w:fldChar w:fldCharType="end"/>
          </w:r>
          <w:r>
            <w:fldChar w:fldCharType="end"/>
          </w:r>
        </w:p>
        <w:p w14:paraId="4A40EA30">
          <w:pPr>
            <w:pStyle w:val="18"/>
            <w:spacing w:after="240"/>
            <w:rPr>
              <w:rFonts w:cstheme="minorBidi"/>
              <w:iCs w:val="0"/>
              <w:sz w:val="22"/>
              <w:szCs w:val="24"/>
              <w14:ligatures w14:val="standardContextual"/>
            </w:rPr>
          </w:pPr>
          <w:r>
            <w:fldChar w:fldCharType="begin"/>
          </w:r>
          <w:r>
            <w:instrText xml:space="preserve"> HYPERLINK \l "_Toc199429821" </w:instrText>
          </w:r>
          <w:r>
            <w:fldChar w:fldCharType="separate"/>
          </w:r>
          <w:r>
            <w:rPr>
              <w:rStyle w:val="37"/>
              <w:rFonts w:cstheme="minorHAnsi"/>
            </w:rPr>
            <w:t>6.3.1</w:t>
          </w:r>
          <w:r>
            <w:rPr>
              <w:rFonts w:cstheme="minorBidi"/>
              <w:iCs w:val="0"/>
              <w:sz w:val="22"/>
              <w:szCs w:val="24"/>
              <w14:ligatures w14:val="standardContextual"/>
            </w:rPr>
            <w:tab/>
          </w:r>
          <w:r>
            <w:rPr>
              <w:rStyle w:val="37"/>
              <w:rFonts w:cstheme="minorHAnsi"/>
            </w:rPr>
            <w:t>Configuration Environment</w:t>
          </w:r>
          <w:r>
            <w:tab/>
          </w:r>
          <w:r>
            <w:fldChar w:fldCharType="begin"/>
          </w:r>
          <w:r>
            <w:instrText xml:space="preserve"> PAGEREF _Toc199429821 \h </w:instrText>
          </w:r>
          <w:r>
            <w:fldChar w:fldCharType="separate"/>
          </w:r>
          <w:r>
            <w:t>43</w:t>
          </w:r>
          <w:r>
            <w:fldChar w:fldCharType="end"/>
          </w:r>
          <w:r>
            <w:fldChar w:fldCharType="end"/>
          </w:r>
        </w:p>
        <w:p w14:paraId="37651811">
          <w:pPr>
            <w:pStyle w:val="18"/>
            <w:spacing w:after="240"/>
            <w:rPr>
              <w:rFonts w:cstheme="minorBidi"/>
              <w:iCs w:val="0"/>
              <w:sz w:val="22"/>
              <w:szCs w:val="24"/>
              <w14:ligatures w14:val="standardContextual"/>
            </w:rPr>
          </w:pPr>
          <w:r>
            <w:fldChar w:fldCharType="begin"/>
          </w:r>
          <w:r>
            <w:instrText xml:space="preserve"> HYPERLINK \l "_Toc199429822" </w:instrText>
          </w:r>
          <w:r>
            <w:fldChar w:fldCharType="separate"/>
          </w:r>
          <w:r>
            <w:rPr>
              <w:rStyle w:val="37"/>
              <w:rFonts w:cstheme="minorHAnsi"/>
            </w:rPr>
            <w:t>6.3.2</w:t>
          </w:r>
          <w:r>
            <w:rPr>
              <w:rFonts w:cstheme="minorBidi"/>
              <w:iCs w:val="0"/>
              <w:sz w:val="22"/>
              <w:szCs w:val="24"/>
              <w14:ligatures w14:val="standardContextual"/>
            </w:rPr>
            <w:tab/>
          </w:r>
          <w:r>
            <w:rPr>
              <w:rStyle w:val="37"/>
              <w:rFonts w:cstheme="minorHAnsi"/>
            </w:rPr>
            <w:t>Primary Variable Zero Configuration</w:t>
          </w:r>
          <w:r>
            <w:tab/>
          </w:r>
          <w:r>
            <w:fldChar w:fldCharType="begin"/>
          </w:r>
          <w:r>
            <w:instrText xml:space="preserve"> PAGEREF _Toc199429822 \h </w:instrText>
          </w:r>
          <w:r>
            <w:fldChar w:fldCharType="separate"/>
          </w:r>
          <w:r>
            <w:t>44</w:t>
          </w:r>
          <w:r>
            <w:fldChar w:fldCharType="end"/>
          </w:r>
          <w:r>
            <w:fldChar w:fldCharType="end"/>
          </w:r>
        </w:p>
        <w:p w14:paraId="3C591BD8">
          <w:pPr>
            <w:pStyle w:val="18"/>
            <w:spacing w:after="240"/>
            <w:rPr>
              <w:rFonts w:cstheme="minorBidi"/>
              <w:iCs w:val="0"/>
              <w:sz w:val="22"/>
              <w:szCs w:val="24"/>
              <w14:ligatures w14:val="standardContextual"/>
            </w:rPr>
          </w:pPr>
          <w:r>
            <w:fldChar w:fldCharType="begin"/>
          </w:r>
          <w:r>
            <w:instrText xml:space="preserve"> HYPERLINK \l "_Toc199429823" </w:instrText>
          </w:r>
          <w:r>
            <w:fldChar w:fldCharType="separate"/>
          </w:r>
          <w:r>
            <w:rPr>
              <w:rStyle w:val="37"/>
              <w:rFonts w:cstheme="minorHAnsi"/>
            </w:rPr>
            <w:t>6.3.3</w:t>
          </w:r>
          <w:r>
            <w:rPr>
              <w:rFonts w:cstheme="minorBidi"/>
              <w:iCs w:val="0"/>
              <w:sz w:val="22"/>
              <w:szCs w:val="24"/>
              <w14:ligatures w14:val="standardContextual"/>
            </w:rPr>
            <w:tab/>
          </w:r>
          <w:r>
            <w:rPr>
              <w:rStyle w:val="37"/>
              <w:rFonts w:cstheme="minorHAnsi"/>
            </w:rPr>
            <w:t>Lower Range Limit Configuration</w:t>
          </w:r>
          <w:r>
            <w:tab/>
          </w:r>
          <w:r>
            <w:fldChar w:fldCharType="begin"/>
          </w:r>
          <w:r>
            <w:instrText xml:space="preserve"> PAGEREF _Toc199429823 \h </w:instrText>
          </w:r>
          <w:r>
            <w:fldChar w:fldCharType="separate"/>
          </w:r>
          <w:r>
            <w:t>44</w:t>
          </w:r>
          <w:r>
            <w:fldChar w:fldCharType="end"/>
          </w:r>
          <w:r>
            <w:fldChar w:fldCharType="end"/>
          </w:r>
        </w:p>
        <w:p w14:paraId="418DF4E0">
          <w:pPr>
            <w:pStyle w:val="18"/>
            <w:spacing w:after="240"/>
            <w:rPr>
              <w:rFonts w:cstheme="minorBidi"/>
              <w:iCs w:val="0"/>
              <w:sz w:val="22"/>
              <w:szCs w:val="24"/>
              <w14:ligatures w14:val="standardContextual"/>
            </w:rPr>
          </w:pPr>
          <w:r>
            <w:fldChar w:fldCharType="begin"/>
          </w:r>
          <w:r>
            <w:instrText xml:space="preserve"> HYPERLINK \l "_Toc199429824" </w:instrText>
          </w:r>
          <w:r>
            <w:fldChar w:fldCharType="separate"/>
          </w:r>
          <w:r>
            <w:rPr>
              <w:rStyle w:val="37"/>
              <w:rFonts w:cstheme="minorHAnsi"/>
            </w:rPr>
            <w:t>6.3.4</w:t>
          </w:r>
          <w:r>
            <w:rPr>
              <w:rFonts w:cstheme="minorBidi"/>
              <w:iCs w:val="0"/>
              <w:sz w:val="22"/>
              <w:szCs w:val="24"/>
              <w14:ligatures w14:val="standardContextual"/>
            </w:rPr>
            <w:tab/>
          </w:r>
          <w:r>
            <w:rPr>
              <w:rStyle w:val="37"/>
              <w:rFonts w:cstheme="minorHAnsi"/>
            </w:rPr>
            <w:t>Upper Rang Limit Configuration</w:t>
          </w:r>
          <w:r>
            <w:tab/>
          </w:r>
          <w:r>
            <w:fldChar w:fldCharType="begin"/>
          </w:r>
          <w:r>
            <w:instrText xml:space="preserve"> PAGEREF _Toc199429824 \h </w:instrText>
          </w:r>
          <w:r>
            <w:fldChar w:fldCharType="separate"/>
          </w:r>
          <w:r>
            <w:t>44</w:t>
          </w:r>
          <w:r>
            <w:fldChar w:fldCharType="end"/>
          </w:r>
          <w:r>
            <w:fldChar w:fldCharType="end"/>
          </w:r>
        </w:p>
        <w:p w14:paraId="7DF8132F">
          <w:pPr>
            <w:pStyle w:val="18"/>
            <w:spacing w:after="240"/>
            <w:rPr>
              <w:rFonts w:cstheme="minorBidi"/>
              <w:iCs w:val="0"/>
              <w:sz w:val="22"/>
              <w:szCs w:val="24"/>
              <w14:ligatures w14:val="standardContextual"/>
            </w:rPr>
          </w:pPr>
          <w:r>
            <w:fldChar w:fldCharType="begin"/>
          </w:r>
          <w:r>
            <w:instrText xml:space="preserve"> HYPERLINK \l "_Toc199429825" </w:instrText>
          </w:r>
          <w:r>
            <w:fldChar w:fldCharType="separate"/>
          </w:r>
          <w:r>
            <w:rPr>
              <w:rStyle w:val="37"/>
              <w:rFonts w:cstheme="minorHAnsi"/>
            </w:rPr>
            <w:t>6.3.5</w:t>
          </w:r>
          <w:r>
            <w:rPr>
              <w:rFonts w:cstheme="minorBidi"/>
              <w:iCs w:val="0"/>
              <w:sz w:val="22"/>
              <w:szCs w:val="24"/>
              <w14:ligatures w14:val="standardContextual"/>
            </w:rPr>
            <w:tab/>
          </w:r>
          <w:r>
            <w:rPr>
              <w:rStyle w:val="37"/>
              <w:rFonts w:cstheme="minorHAnsi"/>
            </w:rPr>
            <w:t>Secondary-linearized Calibration</w:t>
          </w:r>
          <w:r>
            <w:tab/>
          </w:r>
          <w:r>
            <w:fldChar w:fldCharType="begin"/>
          </w:r>
          <w:r>
            <w:instrText xml:space="preserve"> PAGEREF _Toc199429825 \h </w:instrText>
          </w:r>
          <w:r>
            <w:fldChar w:fldCharType="separate"/>
          </w:r>
          <w:r>
            <w:t>44</w:t>
          </w:r>
          <w:r>
            <w:fldChar w:fldCharType="end"/>
          </w:r>
          <w:r>
            <w:fldChar w:fldCharType="end"/>
          </w:r>
        </w:p>
        <w:p w14:paraId="3104DBCD">
          <w:pPr>
            <w:pStyle w:val="18"/>
            <w:spacing w:after="240"/>
            <w:rPr>
              <w:rFonts w:cstheme="minorBidi"/>
              <w:iCs w:val="0"/>
              <w:sz w:val="22"/>
              <w:szCs w:val="24"/>
              <w14:ligatures w14:val="standardContextual"/>
            </w:rPr>
          </w:pPr>
          <w:r>
            <w:fldChar w:fldCharType="begin"/>
          </w:r>
          <w:r>
            <w:instrText xml:space="preserve"> HYPERLINK \l "_Toc199429826" </w:instrText>
          </w:r>
          <w:r>
            <w:fldChar w:fldCharType="separate"/>
          </w:r>
          <w:r>
            <w:rPr>
              <w:rStyle w:val="37"/>
              <w:rFonts w:cstheme="minorHAnsi"/>
            </w:rPr>
            <w:t>6.3.6</w:t>
          </w:r>
          <w:r>
            <w:rPr>
              <w:rFonts w:cstheme="minorBidi"/>
              <w:iCs w:val="0"/>
              <w:sz w:val="22"/>
              <w:szCs w:val="24"/>
              <w14:ligatures w14:val="standardContextual"/>
            </w:rPr>
            <w:tab/>
          </w:r>
          <w:r>
            <w:rPr>
              <w:rStyle w:val="37"/>
              <w:rFonts w:cstheme="minorHAnsi"/>
            </w:rPr>
            <w:t>LCD Display Configuration</w:t>
          </w:r>
          <w:r>
            <w:tab/>
          </w:r>
          <w:r>
            <w:fldChar w:fldCharType="begin"/>
          </w:r>
          <w:r>
            <w:instrText xml:space="preserve"> PAGEREF _Toc199429826 \h </w:instrText>
          </w:r>
          <w:r>
            <w:fldChar w:fldCharType="separate"/>
          </w:r>
          <w:r>
            <w:t>46</w:t>
          </w:r>
          <w:r>
            <w:fldChar w:fldCharType="end"/>
          </w:r>
          <w:r>
            <w:fldChar w:fldCharType="end"/>
          </w:r>
        </w:p>
        <w:p w14:paraId="22710657">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"_Toc199429827" </w:instrText>
          </w:r>
          <w:r>
            <w:fldChar w:fldCharType="separate"/>
          </w:r>
          <w:r>
            <w:rPr>
              <w:rStyle w:val="37"/>
              <w:rFonts w:cstheme="minorHAnsi"/>
            </w:rPr>
            <w:t>6.4</w:t>
          </w:r>
          <w:r>
            <w:rPr>
              <w:rFonts w:cstheme="minorBidi"/>
              <w:smallCaps w:val="0"/>
              <w:sz w:val="22"/>
              <w:szCs w:val="24"/>
              <w14:ligatures w14:val="standardContextual"/>
            </w:rPr>
            <w:tab/>
          </w:r>
          <w:r>
            <w:rPr>
              <w:rStyle w:val="37"/>
              <w:rFonts w:cstheme="minorHAnsi"/>
            </w:rPr>
            <w:t>Jump Line Configuration</w:t>
          </w:r>
          <w:r>
            <w:tab/>
          </w:r>
          <w:r>
            <w:fldChar w:fldCharType="begin"/>
          </w:r>
          <w:r>
            <w:instrText xml:space="preserve"> PAGEREF _Toc199429827 \h </w:instrText>
          </w:r>
          <w:r>
            <w:fldChar w:fldCharType="separate"/>
          </w:r>
          <w:r>
            <w:t>47</w:t>
          </w:r>
          <w:r>
            <w:fldChar w:fldCharType="end"/>
          </w:r>
          <w:r>
            <w:fldChar w:fldCharType="end"/>
          </w:r>
        </w:p>
        <w:p w14:paraId="650CFA4A">
          <w:pPr>
            <w:pStyle w:val="23"/>
            <w:spacing w:after="240"/>
            <w:rPr>
              <w:rFonts w:cstheme="minorBidi"/>
              <w:bCs w:val="0"/>
              <w:caps w:val="0"/>
              <w:sz w:val="22"/>
              <w:szCs w:val="24"/>
              <w14:ligatures w14:val="standardContextual"/>
            </w:rPr>
          </w:pPr>
          <w:r>
            <w:fldChar w:fldCharType="begin"/>
          </w:r>
          <w:r>
            <w:instrText xml:space="preserve"> HYPERLINK \l "_Toc199429828" </w:instrText>
          </w:r>
          <w:r>
            <w:fldChar w:fldCharType="separate"/>
          </w:r>
          <w:r>
            <w:rPr>
              <w:rStyle w:val="37"/>
            </w:rPr>
            <w:t>7</w:t>
          </w:r>
          <w:r>
            <w:rPr>
              <w:rFonts w:cstheme="minorBidi"/>
              <w:bCs w:val="0"/>
              <w:caps w:val="0"/>
              <w:sz w:val="22"/>
              <w:szCs w:val="24"/>
              <w14:ligatures w14:val="standardContextual"/>
            </w:rPr>
            <w:tab/>
          </w:r>
          <w:r>
            <w:rPr>
              <w:rStyle w:val="37"/>
            </w:rPr>
            <w:t>PA Type Intelligent Transmitter Configuration</w:t>
          </w:r>
          <w:r>
            <w:tab/>
          </w:r>
          <w:r>
            <w:fldChar w:fldCharType="begin"/>
          </w:r>
          <w:r>
            <w:instrText xml:space="preserve"> PAGEREF _Toc199429828 \h </w:instrText>
          </w:r>
          <w:r>
            <w:fldChar w:fldCharType="separate"/>
          </w:r>
          <w:r>
            <w:t>48</w:t>
          </w:r>
          <w:r>
            <w:fldChar w:fldCharType="end"/>
          </w:r>
          <w:r>
            <w:fldChar w:fldCharType="end"/>
          </w:r>
        </w:p>
        <w:p w14:paraId="3DEADC0C">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"_Toc199429829" </w:instrText>
          </w:r>
          <w:r>
            <w:fldChar w:fldCharType="separate"/>
          </w:r>
          <w:r>
            <w:rPr>
              <w:rStyle w:val="37"/>
              <w:rFonts w:cstheme="minorHAnsi"/>
            </w:rPr>
            <w:t>7.1</w:t>
          </w:r>
          <w:r>
            <w:rPr>
              <w:rFonts w:cstheme="minorBidi"/>
              <w:smallCaps w:val="0"/>
              <w:sz w:val="22"/>
              <w:szCs w:val="24"/>
              <w14:ligatures w14:val="standardContextual"/>
            </w:rPr>
            <w:tab/>
          </w:r>
          <w:r>
            <w:rPr>
              <w:rStyle w:val="37"/>
              <w:rFonts w:cstheme="minorHAnsi"/>
            </w:rPr>
            <w:t>Topological Connection</w:t>
          </w:r>
          <w:r>
            <w:tab/>
          </w:r>
          <w:r>
            <w:fldChar w:fldCharType="begin"/>
          </w:r>
          <w:r>
            <w:instrText xml:space="preserve"> PAGEREF _Toc199429829 \h </w:instrText>
          </w:r>
          <w:r>
            <w:fldChar w:fldCharType="separate"/>
          </w:r>
          <w:r>
            <w:t>48</w:t>
          </w:r>
          <w:r>
            <w:fldChar w:fldCharType="end"/>
          </w:r>
          <w:r>
            <w:fldChar w:fldCharType="end"/>
          </w:r>
        </w:p>
        <w:p w14:paraId="7608992A">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"_Toc199429830" </w:instrText>
          </w:r>
          <w:r>
            <w:fldChar w:fldCharType="separate"/>
          </w:r>
          <w:r>
            <w:rPr>
              <w:rStyle w:val="37"/>
              <w:rFonts w:cstheme="minorHAnsi"/>
            </w:rPr>
            <w:t>7.2</w:t>
          </w:r>
          <w:r>
            <w:rPr>
              <w:rFonts w:cstheme="minorBidi"/>
              <w:smallCaps w:val="0"/>
              <w:sz w:val="22"/>
              <w:szCs w:val="24"/>
              <w14:ligatures w14:val="standardContextual"/>
            </w:rPr>
            <w:tab/>
          </w:r>
          <w:r>
            <w:rPr>
              <w:rStyle w:val="37"/>
              <w:rFonts w:cstheme="minorHAnsi"/>
            </w:rPr>
            <w:t>Function Block</w:t>
          </w:r>
          <w:r>
            <w:tab/>
          </w:r>
          <w:r>
            <w:fldChar w:fldCharType="begin"/>
          </w:r>
          <w:r>
            <w:instrText xml:space="preserve"> PAGEREF _Toc199429830 \h </w:instrText>
          </w:r>
          <w:r>
            <w:fldChar w:fldCharType="separate"/>
          </w:r>
          <w:r>
            <w:t>49</w:t>
          </w:r>
          <w:r>
            <w:fldChar w:fldCharType="end"/>
          </w:r>
          <w:r>
            <w:fldChar w:fldCharType="end"/>
          </w:r>
        </w:p>
        <w:p w14:paraId="42E8D42C">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"_Toc199429831" </w:instrText>
          </w:r>
          <w:r>
            <w:fldChar w:fldCharType="separate"/>
          </w:r>
          <w:r>
            <w:rPr>
              <w:rStyle w:val="37"/>
              <w:rFonts w:cstheme="minorHAnsi"/>
            </w:rPr>
            <w:t>7.3</w:t>
          </w:r>
          <w:r>
            <w:rPr>
              <w:rFonts w:cstheme="minorBidi"/>
              <w:smallCaps w:val="0"/>
              <w:sz w:val="22"/>
              <w:szCs w:val="24"/>
              <w14:ligatures w14:val="standardContextual"/>
            </w:rPr>
            <w:tab/>
          </w:r>
          <w:r>
            <w:rPr>
              <w:rStyle w:val="37"/>
              <w:rFonts w:cstheme="minorHAnsi"/>
            </w:rPr>
            <w:t>Functional Configuration</w:t>
          </w:r>
          <w:r>
            <w:tab/>
          </w:r>
          <w:r>
            <w:fldChar w:fldCharType="begin"/>
          </w:r>
          <w:r>
            <w:instrText xml:space="preserve"> PAGEREF _Toc199429831 \h </w:instrText>
          </w:r>
          <w:r>
            <w:fldChar w:fldCharType="separate"/>
          </w:r>
          <w:r>
            <w:t>49</w:t>
          </w:r>
          <w:r>
            <w:fldChar w:fldCharType="end"/>
          </w:r>
          <w:r>
            <w:fldChar w:fldCharType="end"/>
          </w:r>
        </w:p>
        <w:p w14:paraId="792075D2">
          <w:pPr>
            <w:pStyle w:val="18"/>
            <w:spacing w:after="240"/>
            <w:rPr>
              <w:rFonts w:cstheme="minorBidi"/>
              <w:iCs w:val="0"/>
              <w:sz w:val="22"/>
              <w:szCs w:val="24"/>
              <w14:ligatures w14:val="standardContextual"/>
            </w:rPr>
          </w:pPr>
          <w:r>
            <w:fldChar w:fldCharType="begin"/>
          </w:r>
          <w:r>
            <w:instrText xml:space="preserve"> HYPERLINK \l "_Toc199429832" </w:instrText>
          </w:r>
          <w:r>
            <w:fldChar w:fldCharType="separate"/>
          </w:r>
          <w:r>
            <w:rPr>
              <w:rStyle w:val="37"/>
              <w:rFonts w:cstheme="minorHAnsi"/>
            </w:rPr>
            <w:t>7.3.1</w:t>
          </w:r>
          <w:r>
            <w:rPr>
              <w:rFonts w:cstheme="minorBidi"/>
              <w:iCs w:val="0"/>
              <w:sz w:val="22"/>
              <w:szCs w:val="24"/>
              <w14:ligatures w14:val="standardContextual"/>
            </w:rPr>
            <w:tab/>
          </w:r>
          <w:r>
            <w:rPr>
              <w:rStyle w:val="37"/>
              <w:rFonts w:cstheme="minorHAnsi"/>
            </w:rPr>
            <w:t>Configure Environment</w:t>
          </w:r>
          <w:r>
            <w:tab/>
          </w:r>
          <w:r>
            <w:fldChar w:fldCharType="begin"/>
          </w:r>
          <w:r>
            <w:instrText xml:space="preserve"> PAGEREF _Toc199429832 \h </w:instrText>
          </w:r>
          <w:r>
            <w:fldChar w:fldCharType="separate"/>
          </w:r>
          <w:r>
            <w:t>49</w:t>
          </w:r>
          <w:r>
            <w:fldChar w:fldCharType="end"/>
          </w:r>
          <w:r>
            <w:fldChar w:fldCharType="end"/>
          </w:r>
        </w:p>
        <w:p w14:paraId="6D54F152">
          <w:pPr>
            <w:pStyle w:val="18"/>
            <w:spacing w:after="240"/>
            <w:rPr>
              <w:rFonts w:cstheme="minorBidi"/>
              <w:iCs w:val="0"/>
              <w:sz w:val="22"/>
              <w:szCs w:val="24"/>
              <w14:ligatures w14:val="standardContextual"/>
            </w:rPr>
          </w:pPr>
          <w:r>
            <w:fldChar w:fldCharType="begin"/>
          </w:r>
          <w:r>
            <w:instrText xml:space="preserve"> HYPERLINK \l "_Toc199429833" </w:instrText>
          </w:r>
          <w:r>
            <w:fldChar w:fldCharType="separate"/>
          </w:r>
          <w:r>
            <w:rPr>
              <w:rStyle w:val="37"/>
              <w:rFonts w:cstheme="minorHAnsi"/>
            </w:rPr>
            <w:t>7.3.2</w:t>
          </w:r>
          <w:r>
            <w:rPr>
              <w:rFonts w:cstheme="minorBidi"/>
              <w:iCs w:val="0"/>
              <w:sz w:val="22"/>
              <w:szCs w:val="24"/>
              <w14:ligatures w14:val="standardContextual"/>
            </w:rPr>
            <w:tab/>
          </w:r>
          <w:r>
            <w:rPr>
              <w:rStyle w:val="37"/>
              <w:rFonts w:cstheme="minorHAnsi"/>
            </w:rPr>
            <w:t>Pressure Transform Block Parameter Configuration</w:t>
          </w:r>
          <w:r>
            <w:tab/>
          </w:r>
          <w:r>
            <w:fldChar w:fldCharType="begin"/>
          </w:r>
          <w:r>
            <w:instrText xml:space="preserve"> PAGEREF _Toc199429833 \h </w:instrText>
          </w:r>
          <w:r>
            <w:fldChar w:fldCharType="separate"/>
          </w:r>
          <w:r>
            <w:t>50</w:t>
          </w:r>
          <w:r>
            <w:fldChar w:fldCharType="end"/>
          </w:r>
          <w:r>
            <w:fldChar w:fldCharType="end"/>
          </w:r>
        </w:p>
        <w:p w14:paraId="6EBAD6B0">
          <w:pPr>
            <w:pStyle w:val="18"/>
            <w:spacing w:after="240"/>
            <w:rPr>
              <w:rFonts w:cstheme="minorBidi"/>
              <w:iCs w:val="0"/>
              <w:sz w:val="22"/>
              <w:szCs w:val="24"/>
              <w14:ligatures w14:val="standardContextual"/>
            </w:rPr>
          </w:pPr>
          <w:r>
            <w:fldChar w:fldCharType="begin"/>
          </w:r>
          <w:r>
            <w:instrText xml:space="preserve"> HYPERLINK \l "_Toc199429834" </w:instrText>
          </w:r>
          <w:r>
            <w:fldChar w:fldCharType="separate"/>
          </w:r>
          <w:r>
            <w:rPr>
              <w:rStyle w:val="37"/>
              <w:rFonts w:cstheme="minorHAnsi"/>
            </w:rPr>
            <w:t>7.3.3</w:t>
          </w:r>
          <w:r>
            <w:rPr>
              <w:rFonts w:cstheme="minorBidi"/>
              <w:iCs w:val="0"/>
              <w:sz w:val="22"/>
              <w:szCs w:val="24"/>
              <w14:ligatures w14:val="standardContextual"/>
            </w:rPr>
            <w:tab/>
          </w:r>
          <w:r>
            <w:rPr>
              <w:rStyle w:val="37"/>
              <w:rFonts w:cstheme="minorHAnsi"/>
            </w:rPr>
            <w:t>PROFIBUS Cyclic Data Communication Configuration</w:t>
          </w:r>
          <w:r>
            <w:tab/>
          </w:r>
          <w:r>
            <w:fldChar w:fldCharType="begin"/>
          </w:r>
          <w:r>
            <w:instrText xml:space="preserve"> PAGEREF _Toc199429834 \h </w:instrText>
          </w:r>
          <w:r>
            <w:fldChar w:fldCharType="separate"/>
          </w:r>
          <w:r>
            <w:t>52</w:t>
          </w:r>
          <w:r>
            <w:fldChar w:fldCharType="end"/>
          </w:r>
          <w:r>
            <w:fldChar w:fldCharType="end"/>
          </w:r>
        </w:p>
        <w:p w14:paraId="10CB208A">
          <w:pPr>
            <w:pStyle w:val="18"/>
            <w:spacing w:after="240"/>
            <w:rPr>
              <w:rFonts w:cstheme="minorBidi"/>
              <w:iCs w:val="0"/>
              <w:sz w:val="22"/>
              <w:szCs w:val="24"/>
              <w14:ligatures w14:val="standardContextual"/>
            </w:rPr>
          </w:pPr>
          <w:r>
            <w:fldChar w:fldCharType="begin"/>
          </w:r>
          <w:r>
            <w:instrText xml:space="preserve"> HYPERLINK \l "_Toc199429835" </w:instrText>
          </w:r>
          <w:r>
            <w:fldChar w:fldCharType="separate"/>
          </w:r>
          <w:r>
            <w:rPr>
              <w:rStyle w:val="37"/>
              <w:rFonts w:cstheme="minorHAnsi"/>
            </w:rPr>
            <w:t>7.3.4</w:t>
          </w:r>
          <w:r>
            <w:rPr>
              <w:rFonts w:cstheme="minorBidi"/>
              <w:iCs w:val="0"/>
              <w:sz w:val="22"/>
              <w:szCs w:val="24"/>
              <w14:ligatures w14:val="standardContextual"/>
            </w:rPr>
            <w:tab/>
          </w:r>
          <w:r>
            <w:rPr>
              <w:rStyle w:val="37"/>
              <w:rFonts w:cstheme="minorHAnsi"/>
            </w:rPr>
            <w:t>The PROFIBUS Non-loop Data Communication Configuration</w:t>
          </w:r>
          <w:r>
            <w:tab/>
          </w:r>
          <w:r>
            <w:fldChar w:fldCharType="begin"/>
          </w:r>
          <w:r>
            <w:instrText xml:space="preserve"> PAGEREF _Toc199429835 \h </w:instrText>
          </w:r>
          <w:r>
            <w:fldChar w:fldCharType="separate"/>
          </w:r>
          <w:r>
            <w:t>54</w:t>
          </w:r>
          <w:r>
            <w:fldChar w:fldCharType="end"/>
          </w:r>
          <w:r>
            <w:fldChar w:fldCharType="end"/>
          </w:r>
        </w:p>
        <w:p w14:paraId="5BAC18AF">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"_Toc199429836" </w:instrText>
          </w:r>
          <w:r>
            <w:fldChar w:fldCharType="separate"/>
          </w:r>
          <w:r>
            <w:rPr>
              <w:rStyle w:val="37"/>
              <w:rFonts w:cstheme="minorHAnsi"/>
            </w:rPr>
            <w:t>7.4</w:t>
          </w:r>
          <w:r>
            <w:rPr>
              <w:rFonts w:cstheme="minorBidi"/>
              <w:smallCaps w:val="0"/>
              <w:sz w:val="22"/>
              <w:szCs w:val="24"/>
              <w14:ligatures w14:val="standardContextual"/>
            </w:rPr>
            <w:tab/>
          </w:r>
          <w:r>
            <w:rPr>
              <w:rStyle w:val="37"/>
              <w:rFonts w:cstheme="minorHAnsi"/>
            </w:rPr>
            <w:t>Jump Line Configuration</w:t>
          </w:r>
          <w:r>
            <w:tab/>
          </w:r>
          <w:r>
            <w:fldChar w:fldCharType="begin"/>
          </w:r>
          <w:r>
            <w:instrText xml:space="preserve"> PAGEREF _Toc199429836 \h </w:instrText>
          </w:r>
          <w:r>
            <w:fldChar w:fldCharType="separate"/>
          </w:r>
          <w:r>
            <w:t>56</w:t>
          </w:r>
          <w:r>
            <w:fldChar w:fldCharType="end"/>
          </w:r>
          <w:r>
            <w:fldChar w:fldCharType="end"/>
          </w:r>
        </w:p>
        <w:p w14:paraId="743BE782">
          <w:pPr>
            <w:pStyle w:val="23"/>
            <w:spacing w:after="240"/>
            <w:rPr>
              <w:rFonts w:cstheme="minorBidi"/>
              <w:bCs w:val="0"/>
              <w:caps w:val="0"/>
              <w:sz w:val="22"/>
              <w:szCs w:val="24"/>
              <w14:ligatures w14:val="standardContextual"/>
            </w:rPr>
          </w:pPr>
          <w:r>
            <w:fldChar w:fldCharType="begin"/>
          </w:r>
          <w:r>
            <w:instrText xml:space="preserve"> HYPERLINK \l "_Toc199429837" </w:instrText>
          </w:r>
          <w:r>
            <w:fldChar w:fldCharType="separate"/>
          </w:r>
          <w:r>
            <w:rPr>
              <w:rStyle w:val="37"/>
            </w:rPr>
            <w:t>8</w:t>
          </w:r>
          <w:r>
            <w:rPr>
              <w:rFonts w:cstheme="minorBidi"/>
              <w:bCs w:val="0"/>
              <w:caps w:val="0"/>
              <w:sz w:val="22"/>
              <w:szCs w:val="24"/>
              <w14:ligatures w14:val="standardContextual"/>
            </w:rPr>
            <w:tab/>
          </w:r>
          <w:r>
            <w:rPr>
              <w:rStyle w:val="37"/>
            </w:rPr>
            <w:t>Configuration of DP Intelligent Transmitter</w:t>
          </w:r>
          <w:r>
            <w:tab/>
          </w:r>
          <w:r>
            <w:fldChar w:fldCharType="begin"/>
          </w:r>
          <w:r>
            <w:instrText xml:space="preserve"> PAGEREF _Toc199429837 \h </w:instrText>
          </w:r>
          <w:r>
            <w:fldChar w:fldCharType="separate"/>
          </w:r>
          <w:r>
            <w:t>58</w:t>
          </w:r>
          <w:r>
            <w:fldChar w:fldCharType="end"/>
          </w:r>
          <w:r>
            <w:fldChar w:fldCharType="end"/>
          </w:r>
        </w:p>
        <w:p w14:paraId="392D62AF">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"_Toc199429838" </w:instrText>
          </w:r>
          <w:r>
            <w:fldChar w:fldCharType="separate"/>
          </w:r>
          <w:r>
            <w:rPr>
              <w:rStyle w:val="37"/>
              <w:rFonts w:cstheme="minorHAnsi"/>
            </w:rPr>
            <w:t>8.1</w:t>
          </w:r>
          <w:r>
            <w:rPr>
              <w:rFonts w:cstheme="minorBidi"/>
              <w:smallCaps w:val="0"/>
              <w:sz w:val="22"/>
              <w:szCs w:val="24"/>
              <w14:ligatures w14:val="standardContextual"/>
            </w:rPr>
            <w:tab/>
          </w:r>
          <w:r>
            <w:rPr>
              <w:rStyle w:val="37"/>
              <w:rFonts w:cstheme="minorHAnsi"/>
            </w:rPr>
            <w:t>Function block</w:t>
          </w:r>
          <w:r>
            <w:tab/>
          </w:r>
          <w:r>
            <w:fldChar w:fldCharType="begin"/>
          </w:r>
          <w:r>
            <w:instrText xml:space="preserve"> PAGEREF _Toc199429838 \h </w:instrText>
          </w:r>
          <w:r>
            <w:fldChar w:fldCharType="separate"/>
          </w:r>
          <w:r>
            <w:t>58</w:t>
          </w:r>
          <w:r>
            <w:fldChar w:fldCharType="end"/>
          </w:r>
          <w:r>
            <w:fldChar w:fldCharType="end"/>
          </w:r>
        </w:p>
        <w:p w14:paraId="1D2FA22D">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"_Toc199429839" </w:instrText>
          </w:r>
          <w:r>
            <w:fldChar w:fldCharType="separate"/>
          </w:r>
          <w:r>
            <w:rPr>
              <w:rStyle w:val="37"/>
              <w:rFonts w:cstheme="minorHAnsi"/>
            </w:rPr>
            <w:t>8.2</w:t>
          </w:r>
          <w:r>
            <w:rPr>
              <w:rFonts w:cstheme="minorBidi"/>
              <w:smallCaps w:val="0"/>
              <w:sz w:val="22"/>
              <w:szCs w:val="24"/>
              <w14:ligatures w14:val="standardContextual"/>
            </w:rPr>
            <w:tab/>
          </w:r>
          <w:r>
            <w:rPr>
              <w:rStyle w:val="37"/>
              <w:rFonts w:cstheme="minorHAnsi"/>
            </w:rPr>
            <w:t>Function configuration</w:t>
          </w:r>
          <w:r>
            <w:tab/>
          </w:r>
          <w:r>
            <w:fldChar w:fldCharType="begin"/>
          </w:r>
          <w:r>
            <w:instrText xml:space="preserve"> PAGEREF _Toc199429839 \h </w:instrText>
          </w:r>
          <w:r>
            <w:fldChar w:fldCharType="separate"/>
          </w:r>
          <w:r>
            <w:t>58</w:t>
          </w:r>
          <w:r>
            <w:fldChar w:fldCharType="end"/>
          </w:r>
          <w:r>
            <w:fldChar w:fldCharType="end"/>
          </w:r>
        </w:p>
        <w:p w14:paraId="476D6094">
          <w:pPr>
            <w:pStyle w:val="18"/>
            <w:spacing w:after="240"/>
            <w:rPr>
              <w:rFonts w:cstheme="minorBidi"/>
              <w:iCs w:val="0"/>
              <w:sz w:val="22"/>
              <w:szCs w:val="24"/>
              <w14:ligatures w14:val="standardContextual"/>
            </w:rPr>
          </w:pPr>
          <w:r>
            <w:fldChar w:fldCharType="begin"/>
          </w:r>
          <w:r>
            <w:instrText xml:space="preserve"> HYPERLINK \l "_Toc199429840" </w:instrText>
          </w:r>
          <w:r>
            <w:fldChar w:fldCharType="separate"/>
          </w:r>
          <w:r>
            <w:rPr>
              <w:rStyle w:val="37"/>
              <w:rFonts w:cstheme="minorHAnsi"/>
            </w:rPr>
            <w:t>8.2.1</w:t>
          </w:r>
          <w:r>
            <w:rPr>
              <w:rFonts w:cstheme="minorBidi"/>
              <w:iCs w:val="0"/>
              <w:sz w:val="22"/>
              <w:szCs w:val="24"/>
              <w14:ligatures w14:val="standardContextual"/>
            </w:rPr>
            <w:tab/>
          </w:r>
          <w:r>
            <w:rPr>
              <w:rStyle w:val="37"/>
              <w:rFonts w:cstheme="minorHAnsi"/>
            </w:rPr>
            <w:t>Set device address</w:t>
          </w:r>
          <w:r>
            <w:tab/>
          </w:r>
          <w:r>
            <w:fldChar w:fldCharType="begin"/>
          </w:r>
          <w:r>
            <w:instrText xml:space="preserve"> PAGEREF _Toc199429840 \h </w:instrText>
          </w:r>
          <w:r>
            <w:fldChar w:fldCharType="separate"/>
          </w:r>
          <w:r>
            <w:t>58</w:t>
          </w:r>
          <w:r>
            <w:fldChar w:fldCharType="end"/>
          </w:r>
          <w:r>
            <w:fldChar w:fldCharType="end"/>
          </w:r>
        </w:p>
        <w:p w14:paraId="4A1EEB80">
          <w:pPr>
            <w:pStyle w:val="18"/>
            <w:spacing w:after="240"/>
            <w:rPr>
              <w:rFonts w:cstheme="minorBidi"/>
              <w:iCs w:val="0"/>
              <w:sz w:val="22"/>
              <w:szCs w:val="24"/>
              <w14:ligatures w14:val="standardContextual"/>
            </w:rPr>
          </w:pPr>
          <w:r>
            <w:fldChar w:fldCharType="begin"/>
          </w:r>
          <w:r>
            <w:instrText xml:space="preserve"> HYPERLINK \l "_Toc199429841" </w:instrText>
          </w:r>
          <w:r>
            <w:fldChar w:fldCharType="separate"/>
          </w:r>
          <w:r>
            <w:rPr>
              <w:rStyle w:val="37"/>
              <w:rFonts w:cstheme="minorHAnsi"/>
            </w:rPr>
            <w:t>8.2.2</w:t>
          </w:r>
          <w:r>
            <w:rPr>
              <w:rFonts w:cstheme="minorBidi"/>
              <w:iCs w:val="0"/>
              <w:sz w:val="22"/>
              <w:szCs w:val="24"/>
              <w14:ligatures w14:val="standardContextual"/>
            </w:rPr>
            <w:tab/>
          </w:r>
          <w:r>
            <w:rPr>
              <w:rStyle w:val="37"/>
              <w:rFonts w:cstheme="minorHAnsi"/>
            </w:rPr>
            <w:t>Import GSD file</w:t>
          </w:r>
          <w:r>
            <w:tab/>
          </w:r>
          <w:r>
            <w:fldChar w:fldCharType="begin"/>
          </w:r>
          <w:r>
            <w:instrText xml:space="preserve"> PAGEREF _Toc199429841 \h </w:instrText>
          </w:r>
          <w:r>
            <w:fldChar w:fldCharType="separate"/>
          </w:r>
          <w:r>
            <w:t>58</w:t>
          </w:r>
          <w:r>
            <w:fldChar w:fldCharType="end"/>
          </w:r>
          <w:r>
            <w:fldChar w:fldCharType="end"/>
          </w:r>
        </w:p>
        <w:p w14:paraId="1F3D7042">
          <w:pPr>
            <w:pStyle w:val="18"/>
            <w:spacing w:after="240"/>
            <w:rPr>
              <w:rFonts w:cstheme="minorBidi"/>
              <w:iCs w:val="0"/>
              <w:sz w:val="22"/>
              <w:szCs w:val="24"/>
              <w14:ligatures w14:val="standardContextual"/>
            </w:rPr>
          </w:pPr>
          <w:r>
            <w:fldChar w:fldCharType="begin"/>
          </w:r>
          <w:r>
            <w:instrText xml:space="preserve"> HYPERLINK \l "_Toc199429842" </w:instrText>
          </w:r>
          <w:r>
            <w:fldChar w:fldCharType="separate"/>
          </w:r>
          <w:r>
            <w:rPr>
              <w:rStyle w:val="37"/>
              <w:rFonts w:cstheme="minorHAnsi"/>
            </w:rPr>
            <w:t>8.2.3</w:t>
          </w:r>
          <w:r>
            <w:rPr>
              <w:rFonts w:cstheme="minorBidi"/>
              <w:iCs w:val="0"/>
              <w:sz w:val="22"/>
              <w:szCs w:val="24"/>
              <w14:ligatures w14:val="standardContextual"/>
            </w:rPr>
            <w:tab/>
          </w:r>
          <w:r>
            <w:rPr>
              <w:rStyle w:val="37"/>
              <w:rFonts w:cstheme="minorHAnsi"/>
            </w:rPr>
            <w:t>Configure and use Device Type Management (DTM) software</w:t>
          </w:r>
          <w:r>
            <w:tab/>
          </w:r>
          <w:r>
            <w:fldChar w:fldCharType="begin"/>
          </w:r>
          <w:r>
            <w:instrText xml:space="preserve"> PAGEREF _Toc199429842 \h </w:instrText>
          </w:r>
          <w:r>
            <w:fldChar w:fldCharType="separate"/>
          </w:r>
          <w:r>
            <w:t>58</w:t>
          </w:r>
          <w:r>
            <w:fldChar w:fldCharType="end"/>
          </w:r>
          <w:r>
            <w:fldChar w:fldCharType="end"/>
          </w:r>
        </w:p>
        <w:p w14:paraId="130856E4">
          <w:pPr>
            <w:pStyle w:val="18"/>
            <w:spacing w:after="240"/>
            <w:rPr>
              <w:rFonts w:cstheme="minorBidi"/>
              <w:iCs w:val="0"/>
              <w:sz w:val="22"/>
              <w:szCs w:val="24"/>
              <w14:ligatures w14:val="standardContextual"/>
            </w:rPr>
          </w:pPr>
          <w:r>
            <w:fldChar w:fldCharType="begin"/>
          </w:r>
          <w:r>
            <w:instrText xml:space="preserve"> HYPERLINK \l "_Toc199429843" </w:instrText>
          </w:r>
          <w:r>
            <w:fldChar w:fldCharType="separate"/>
          </w:r>
          <w:r>
            <w:rPr>
              <w:rStyle w:val="37"/>
              <w:rFonts w:cstheme="minorHAnsi"/>
            </w:rPr>
            <w:t>8.2.4</w:t>
          </w:r>
          <w:r>
            <w:rPr>
              <w:rFonts w:cstheme="minorBidi"/>
              <w:iCs w:val="0"/>
              <w:sz w:val="22"/>
              <w:szCs w:val="24"/>
              <w14:ligatures w14:val="standardContextual"/>
            </w:rPr>
            <w:tab/>
          </w:r>
          <w:r>
            <w:rPr>
              <w:rStyle w:val="37"/>
              <w:rFonts w:cstheme="minorHAnsi"/>
            </w:rPr>
            <w:t>Configuration by EDD file</w:t>
          </w:r>
          <w:r>
            <w:tab/>
          </w:r>
          <w:r>
            <w:fldChar w:fldCharType="begin"/>
          </w:r>
          <w:r>
            <w:instrText xml:space="preserve"> PAGEREF _Toc199429843 \h </w:instrText>
          </w:r>
          <w:r>
            <w:fldChar w:fldCharType="separate"/>
          </w:r>
          <w:r>
            <w:t>58</w:t>
          </w:r>
          <w:r>
            <w:fldChar w:fldCharType="end"/>
          </w:r>
          <w:r>
            <w:fldChar w:fldCharType="end"/>
          </w:r>
        </w:p>
        <w:p w14:paraId="41FA242C">
          <w:pPr>
            <w:pStyle w:val="18"/>
            <w:spacing w:after="240"/>
            <w:rPr>
              <w:rFonts w:cstheme="minorBidi"/>
              <w:iCs w:val="0"/>
              <w:sz w:val="22"/>
              <w:szCs w:val="24"/>
              <w14:ligatures w14:val="standardContextual"/>
            </w:rPr>
          </w:pPr>
          <w:r>
            <w:fldChar w:fldCharType="begin"/>
          </w:r>
          <w:r>
            <w:instrText xml:space="preserve"> HYPERLINK \l "_Toc199429844" </w:instrText>
          </w:r>
          <w:r>
            <w:fldChar w:fldCharType="separate"/>
          </w:r>
          <w:r>
            <w:rPr>
              <w:rStyle w:val="37"/>
              <w:rFonts w:cstheme="minorHAnsi"/>
            </w:rPr>
            <w:t>8.2.5</w:t>
          </w:r>
          <w:r>
            <w:rPr>
              <w:rFonts w:cstheme="minorBidi"/>
              <w:iCs w:val="0"/>
              <w:sz w:val="22"/>
              <w:szCs w:val="24"/>
              <w14:ligatures w14:val="standardContextual"/>
            </w:rPr>
            <w:tab/>
          </w:r>
          <w:r>
            <w:rPr>
              <w:rStyle w:val="37"/>
              <w:rFonts w:cstheme="minorHAnsi"/>
            </w:rPr>
            <w:t>Factory reset</w:t>
          </w:r>
          <w:r>
            <w:tab/>
          </w:r>
          <w:r>
            <w:fldChar w:fldCharType="begin"/>
          </w:r>
          <w:r>
            <w:instrText xml:space="preserve"> PAGEREF _Toc199429844 \h </w:instrText>
          </w:r>
          <w:r>
            <w:fldChar w:fldCharType="separate"/>
          </w:r>
          <w:r>
            <w:t>59</w:t>
          </w:r>
          <w:r>
            <w:fldChar w:fldCharType="end"/>
          </w:r>
          <w:r>
            <w:fldChar w:fldCharType="end"/>
          </w:r>
        </w:p>
        <w:p w14:paraId="344A806E">
          <w:pPr>
            <w:pStyle w:val="23"/>
            <w:spacing w:after="240"/>
            <w:rPr>
              <w:rFonts w:cstheme="minorBidi"/>
              <w:bCs w:val="0"/>
              <w:caps w:val="0"/>
              <w:sz w:val="22"/>
              <w:szCs w:val="24"/>
              <w14:ligatures w14:val="standardContextual"/>
            </w:rPr>
          </w:pPr>
          <w:r>
            <w:fldChar w:fldCharType="begin"/>
          </w:r>
          <w:r>
            <w:instrText xml:space="preserve"> HYPERLINK \l "_Toc199429845" </w:instrText>
          </w:r>
          <w:r>
            <w:fldChar w:fldCharType="separate"/>
          </w:r>
          <w:r>
            <w:rPr>
              <w:rStyle w:val="37"/>
            </w:rPr>
            <w:t>9</w:t>
          </w:r>
          <w:r>
            <w:rPr>
              <w:rFonts w:cstheme="minorBidi"/>
              <w:bCs w:val="0"/>
              <w:caps w:val="0"/>
              <w:sz w:val="22"/>
              <w:szCs w:val="24"/>
              <w14:ligatures w14:val="standardContextual"/>
            </w:rPr>
            <w:tab/>
          </w:r>
          <w:r>
            <w:rPr>
              <w:rStyle w:val="37"/>
            </w:rPr>
            <w:t>WirelessHART Smart Pressure Transmitter Configuration</w:t>
          </w:r>
          <w:r>
            <w:tab/>
          </w:r>
          <w:r>
            <w:fldChar w:fldCharType="begin"/>
          </w:r>
          <w:r>
            <w:instrText xml:space="preserve"> PAGEREF _Toc199429845 \h </w:instrText>
          </w:r>
          <w:r>
            <w:fldChar w:fldCharType="separate"/>
          </w:r>
          <w:r>
            <w:t>60</w:t>
          </w:r>
          <w:r>
            <w:fldChar w:fldCharType="end"/>
          </w:r>
          <w:r>
            <w:fldChar w:fldCharType="end"/>
          </w:r>
        </w:p>
        <w:p w14:paraId="292DCAA3">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"_Toc199429846" </w:instrText>
          </w:r>
          <w:r>
            <w:fldChar w:fldCharType="separate"/>
          </w:r>
          <w:r>
            <w:rPr>
              <w:rStyle w:val="37"/>
              <w:rFonts w:cstheme="minorHAnsi"/>
            </w:rPr>
            <w:t>9.1</w:t>
          </w:r>
          <w:r>
            <w:rPr>
              <w:rFonts w:cstheme="minorBidi"/>
              <w:smallCaps w:val="0"/>
              <w:sz w:val="22"/>
              <w:szCs w:val="24"/>
              <w14:ligatures w14:val="standardContextual"/>
            </w:rPr>
            <w:tab/>
          </w:r>
          <w:r>
            <w:rPr>
              <w:rStyle w:val="37"/>
              <w:rFonts w:cstheme="minorHAnsi"/>
            </w:rPr>
            <w:t>Debugging with configuration tool</w:t>
          </w:r>
          <w:r>
            <w:tab/>
          </w:r>
          <w:r>
            <w:fldChar w:fldCharType="begin"/>
          </w:r>
          <w:r>
            <w:instrText xml:space="preserve"> PAGEREF _Toc199429846 \h </w:instrText>
          </w:r>
          <w:r>
            <w:fldChar w:fldCharType="separate"/>
          </w:r>
          <w:r>
            <w:t>60</w:t>
          </w:r>
          <w:r>
            <w:fldChar w:fldCharType="end"/>
          </w:r>
          <w:r>
            <w:fldChar w:fldCharType="end"/>
          </w:r>
        </w:p>
        <w:p w14:paraId="5CC39E6A">
          <w:pPr>
            <w:pStyle w:val="18"/>
            <w:spacing w:after="240"/>
            <w:rPr>
              <w:rFonts w:cstheme="minorBidi"/>
              <w:iCs w:val="0"/>
              <w:sz w:val="22"/>
              <w:szCs w:val="24"/>
              <w14:ligatures w14:val="standardContextual"/>
            </w:rPr>
          </w:pPr>
          <w:r>
            <w:fldChar w:fldCharType="begin"/>
          </w:r>
          <w:r>
            <w:instrText xml:space="preserve"> HYPERLINK \l "_Toc199429847" </w:instrText>
          </w:r>
          <w:r>
            <w:fldChar w:fldCharType="separate"/>
          </w:r>
          <w:r>
            <w:rPr>
              <w:rStyle w:val="37"/>
              <w:rFonts w:ascii="Calibri" w:hAnsi="Calibri" w:cs="Calibri"/>
              <w:kern w:val="0"/>
            </w:rPr>
            <w:t>9) Other configurations: Configure the receiver sensitivity and transmission power of the transmitter RF.</w:t>
          </w:r>
          <w:r>
            <w:tab/>
          </w:r>
          <w:r>
            <w:fldChar w:fldCharType="begin"/>
          </w:r>
          <w:r>
            <w:instrText xml:space="preserve"> PAGEREF _Toc199429847 \h </w:instrText>
          </w:r>
          <w:r>
            <w:fldChar w:fldCharType="separate"/>
          </w:r>
          <w:r>
            <w:t>60</w:t>
          </w:r>
          <w:r>
            <w:fldChar w:fldCharType="end"/>
          </w:r>
          <w:r>
            <w:fldChar w:fldCharType="end"/>
          </w:r>
        </w:p>
        <w:p w14:paraId="57A1221F">
          <w:pPr>
            <w:pStyle w:val="18"/>
            <w:spacing w:after="240"/>
            <w:rPr>
              <w:rFonts w:cstheme="minorBidi"/>
              <w:iCs w:val="0"/>
              <w:sz w:val="22"/>
              <w:szCs w:val="24"/>
              <w14:ligatures w14:val="standardContextual"/>
            </w:rPr>
          </w:pPr>
          <w:r>
            <w:fldChar w:fldCharType="begin"/>
          </w:r>
          <w:r>
            <w:instrText xml:space="preserve"> HYPERLINK \l "_Toc199429848" </w:instrText>
          </w:r>
          <w:r>
            <w:fldChar w:fldCharType="separate"/>
          </w:r>
          <w:r>
            <w:rPr>
              <w:rStyle w:val="37"/>
              <w:rFonts w:cstheme="minorHAnsi"/>
            </w:rPr>
            <w:t>9.1.1</w:t>
          </w:r>
          <w:r>
            <w:rPr>
              <w:rFonts w:cstheme="minorBidi"/>
              <w:iCs w:val="0"/>
              <w:sz w:val="22"/>
              <w:szCs w:val="24"/>
              <w14:ligatures w14:val="standardContextual"/>
            </w:rPr>
            <w:tab/>
          </w:r>
          <w:r>
            <w:rPr>
              <w:rStyle w:val="37"/>
              <w:rFonts w:cstheme="minorHAnsi"/>
            </w:rPr>
            <w:t>Basic Information Configuration</w:t>
          </w:r>
          <w:r>
            <w:tab/>
          </w:r>
          <w:r>
            <w:fldChar w:fldCharType="begin"/>
          </w:r>
          <w:r>
            <w:instrText xml:space="preserve"> PAGEREF _Toc199429848 \h </w:instrText>
          </w:r>
          <w:r>
            <w:fldChar w:fldCharType="separate"/>
          </w:r>
          <w:r>
            <w:t>60</w:t>
          </w:r>
          <w:r>
            <w:fldChar w:fldCharType="end"/>
          </w:r>
          <w:r>
            <w:fldChar w:fldCharType="end"/>
          </w:r>
        </w:p>
        <w:p w14:paraId="5BA6E264">
          <w:pPr>
            <w:pStyle w:val="18"/>
            <w:spacing w:after="240"/>
            <w:rPr>
              <w:rFonts w:cstheme="minorBidi"/>
              <w:iCs w:val="0"/>
              <w:sz w:val="22"/>
              <w:szCs w:val="24"/>
              <w14:ligatures w14:val="standardContextual"/>
            </w:rPr>
          </w:pPr>
          <w:r>
            <w:fldChar w:fldCharType="begin"/>
          </w:r>
          <w:r>
            <w:instrText xml:space="preserve"> HYPERLINK \l "_Toc199429849" </w:instrText>
          </w:r>
          <w:r>
            <w:fldChar w:fldCharType="separate"/>
          </w:r>
          <w:r>
            <w:rPr>
              <w:rStyle w:val="37"/>
              <w:rFonts w:cstheme="minorHAnsi"/>
            </w:rPr>
            <w:t>9.1.2</w:t>
          </w:r>
          <w:r>
            <w:rPr>
              <w:rFonts w:cstheme="minorBidi"/>
              <w:iCs w:val="0"/>
              <w:sz w:val="22"/>
              <w:szCs w:val="24"/>
              <w14:ligatures w14:val="standardContextual"/>
            </w:rPr>
            <w:tab/>
          </w:r>
          <w:r>
            <w:rPr>
              <w:rStyle w:val="37"/>
              <w:rFonts w:cstheme="minorHAnsi"/>
            </w:rPr>
            <w:t>Configuration Information Configuration</w:t>
          </w:r>
          <w:r>
            <w:tab/>
          </w:r>
          <w:r>
            <w:fldChar w:fldCharType="begin"/>
          </w:r>
          <w:r>
            <w:instrText xml:space="preserve"> PAGEREF _Toc199429849 \h </w:instrText>
          </w:r>
          <w:r>
            <w:fldChar w:fldCharType="separate"/>
          </w:r>
          <w:r>
            <w:t>61</w:t>
          </w:r>
          <w:r>
            <w:fldChar w:fldCharType="end"/>
          </w:r>
          <w:r>
            <w:fldChar w:fldCharType="end"/>
          </w:r>
        </w:p>
        <w:p w14:paraId="2C47FC15">
          <w:pPr>
            <w:pStyle w:val="18"/>
            <w:spacing w:after="240"/>
            <w:rPr>
              <w:rFonts w:cstheme="minorBidi"/>
              <w:iCs w:val="0"/>
              <w:sz w:val="22"/>
              <w:szCs w:val="24"/>
              <w14:ligatures w14:val="standardContextual"/>
            </w:rPr>
          </w:pPr>
          <w:r>
            <w:fldChar w:fldCharType="begin"/>
          </w:r>
          <w:r>
            <w:instrText xml:space="preserve"> HYPERLINK \l "_Toc199429850" </w:instrText>
          </w:r>
          <w:r>
            <w:fldChar w:fldCharType="separate"/>
          </w:r>
          <w:r>
            <w:rPr>
              <w:rStyle w:val="37"/>
              <w:rFonts w:cstheme="minorHAnsi"/>
            </w:rPr>
            <w:t>9.1.3</w:t>
          </w:r>
          <w:r>
            <w:rPr>
              <w:rFonts w:cstheme="minorBidi"/>
              <w:iCs w:val="0"/>
              <w:sz w:val="22"/>
              <w:szCs w:val="24"/>
              <w14:ligatures w14:val="standardContextual"/>
            </w:rPr>
            <w:tab/>
          </w:r>
          <w:r>
            <w:rPr>
              <w:rStyle w:val="37"/>
              <w:rFonts w:cstheme="minorHAnsi"/>
            </w:rPr>
            <w:t>Variable Monitoring</w:t>
          </w:r>
          <w:r>
            <w:tab/>
          </w:r>
          <w:r>
            <w:fldChar w:fldCharType="begin"/>
          </w:r>
          <w:r>
            <w:instrText xml:space="preserve"> PAGEREF _Toc199429850 \h </w:instrText>
          </w:r>
          <w:r>
            <w:fldChar w:fldCharType="separate"/>
          </w:r>
          <w:r>
            <w:t>62</w:t>
          </w:r>
          <w:r>
            <w:fldChar w:fldCharType="end"/>
          </w:r>
          <w:r>
            <w:fldChar w:fldCharType="end"/>
          </w:r>
        </w:p>
        <w:p w14:paraId="609E7EBA">
          <w:pPr>
            <w:pStyle w:val="18"/>
            <w:spacing w:after="240"/>
            <w:rPr>
              <w:rFonts w:cstheme="minorBidi"/>
              <w:iCs w:val="0"/>
              <w:sz w:val="22"/>
              <w:szCs w:val="24"/>
              <w14:ligatures w14:val="standardContextual"/>
            </w:rPr>
          </w:pPr>
          <w:r>
            <w:fldChar w:fldCharType="begin"/>
          </w:r>
          <w:r>
            <w:instrText xml:space="preserve"> HYPERLINK \l "_Toc199429851" </w:instrText>
          </w:r>
          <w:r>
            <w:fldChar w:fldCharType="separate"/>
          </w:r>
          <w:r>
            <w:rPr>
              <w:rStyle w:val="37"/>
              <w:rFonts w:cstheme="minorHAnsi"/>
            </w:rPr>
            <w:t>9.1.4</w:t>
          </w:r>
          <w:r>
            <w:rPr>
              <w:rFonts w:cstheme="minorBidi"/>
              <w:iCs w:val="0"/>
              <w:sz w:val="22"/>
              <w:szCs w:val="24"/>
              <w14:ligatures w14:val="standardContextual"/>
            </w:rPr>
            <w:tab/>
          </w:r>
          <w:r>
            <w:rPr>
              <w:rStyle w:val="37"/>
              <w:rFonts w:cstheme="minorHAnsi"/>
            </w:rPr>
            <w:t>Special Commands</w:t>
          </w:r>
          <w:r>
            <w:tab/>
          </w:r>
          <w:r>
            <w:fldChar w:fldCharType="begin"/>
          </w:r>
          <w:r>
            <w:instrText xml:space="preserve"> PAGEREF _Toc199429851 \h </w:instrText>
          </w:r>
          <w:r>
            <w:fldChar w:fldCharType="separate"/>
          </w:r>
          <w:r>
            <w:t>63</w:t>
          </w:r>
          <w:r>
            <w:fldChar w:fldCharType="end"/>
          </w:r>
          <w:r>
            <w:fldChar w:fldCharType="end"/>
          </w:r>
        </w:p>
        <w:p w14:paraId="3B70A240">
          <w:pPr>
            <w:pStyle w:val="18"/>
            <w:spacing w:after="240"/>
            <w:rPr>
              <w:rFonts w:cstheme="minorBidi"/>
              <w:iCs w:val="0"/>
              <w:sz w:val="22"/>
              <w:szCs w:val="24"/>
              <w14:ligatures w14:val="standardContextual"/>
            </w:rPr>
          </w:pPr>
          <w:r>
            <w:fldChar w:fldCharType="begin"/>
          </w:r>
          <w:r>
            <w:instrText xml:space="preserve"> HYPERLINK \l "_Toc199429852" </w:instrText>
          </w:r>
          <w:r>
            <w:fldChar w:fldCharType="separate"/>
          </w:r>
          <w:r>
            <w:rPr>
              <w:rStyle w:val="37"/>
              <w:rFonts w:cstheme="minorHAnsi"/>
            </w:rPr>
            <w:t>9.1.5</w:t>
          </w:r>
          <w:r>
            <w:rPr>
              <w:rFonts w:cstheme="minorBidi"/>
              <w:iCs w:val="0"/>
              <w:sz w:val="22"/>
              <w:szCs w:val="24"/>
              <w14:ligatures w14:val="standardContextual"/>
            </w:rPr>
            <w:tab/>
          </w:r>
          <w:r>
            <w:rPr>
              <w:rStyle w:val="37"/>
              <w:rFonts w:cstheme="minorHAnsi"/>
            </w:rPr>
            <w:t>Additional Information</w:t>
          </w:r>
          <w:r>
            <w:tab/>
          </w:r>
          <w:r>
            <w:fldChar w:fldCharType="begin"/>
          </w:r>
          <w:r>
            <w:instrText xml:space="preserve"> PAGEREF _Toc199429852 \h </w:instrText>
          </w:r>
          <w:r>
            <w:fldChar w:fldCharType="separate"/>
          </w:r>
          <w:r>
            <w:t>64</w:t>
          </w:r>
          <w:r>
            <w:fldChar w:fldCharType="end"/>
          </w:r>
          <w:r>
            <w:fldChar w:fldCharType="end"/>
          </w:r>
        </w:p>
        <w:p w14:paraId="6B0D54AD">
          <w:pPr>
            <w:pStyle w:val="18"/>
            <w:spacing w:after="240"/>
            <w:rPr>
              <w:rFonts w:cstheme="minorBidi"/>
              <w:iCs w:val="0"/>
              <w:sz w:val="22"/>
              <w:szCs w:val="24"/>
              <w14:ligatures w14:val="standardContextual"/>
            </w:rPr>
          </w:pPr>
          <w:r>
            <w:fldChar w:fldCharType="begin"/>
          </w:r>
          <w:r>
            <w:instrText xml:space="preserve"> HYPERLINK \l "_Toc199429853" </w:instrText>
          </w:r>
          <w:r>
            <w:fldChar w:fldCharType="separate"/>
          </w:r>
          <w:r>
            <w:rPr>
              <w:rStyle w:val="37"/>
              <w:rFonts w:cstheme="minorHAnsi"/>
            </w:rPr>
            <w:t>9.1.6</w:t>
          </w:r>
          <w:r>
            <w:rPr>
              <w:rFonts w:cstheme="minorBidi"/>
              <w:iCs w:val="0"/>
              <w:sz w:val="22"/>
              <w:szCs w:val="24"/>
              <w14:ligatures w14:val="standardContextual"/>
            </w:rPr>
            <w:tab/>
          </w:r>
          <w:r>
            <w:rPr>
              <w:rStyle w:val="37"/>
              <w:rFonts w:cstheme="minorHAnsi"/>
            </w:rPr>
            <w:t>Network Information Configuration</w:t>
          </w:r>
          <w:r>
            <w:tab/>
          </w:r>
          <w:r>
            <w:fldChar w:fldCharType="begin"/>
          </w:r>
          <w:r>
            <w:instrText xml:space="preserve"> PAGEREF _Toc199429853 \h </w:instrText>
          </w:r>
          <w:r>
            <w:fldChar w:fldCharType="separate"/>
          </w:r>
          <w:r>
            <w:t>64</w:t>
          </w:r>
          <w:r>
            <w:fldChar w:fldCharType="end"/>
          </w:r>
          <w:r>
            <w:fldChar w:fldCharType="end"/>
          </w:r>
        </w:p>
        <w:p w14:paraId="79767278">
          <w:pPr>
            <w:pStyle w:val="18"/>
            <w:spacing w:after="240"/>
            <w:rPr>
              <w:rFonts w:cstheme="minorBidi"/>
              <w:iCs w:val="0"/>
              <w:sz w:val="22"/>
              <w:szCs w:val="24"/>
              <w14:ligatures w14:val="standardContextual"/>
            </w:rPr>
          </w:pPr>
          <w:r>
            <w:fldChar w:fldCharType="begin"/>
          </w:r>
          <w:r>
            <w:instrText xml:space="preserve"> HYPERLINK \l "_Toc199429854" </w:instrText>
          </w:r>
          <w:r>
            <w:fldChar w:fldCharType="separate"/>
          </w:r>
          <w:r>
            <w:rPr>
              <w:rStyle w:val="37"/>
              <w:rFonts w:cstheme="minorHAnsi"/>
            </w:rPr>
            <w:t>9.1.7</w:t>
          </w:r>
          <w:r>
            <w:rPr>
              <w:rFonts w:cstheme="minorBidi"/>
              <w:iCs w:val="0"/>
              <w:sz w:val="22"/>
              <w:szCs w:val="24"/>
              <w14:ligatures w14:val="standardContextual"/>
            </w:rPr>
            <w:tab/>
          </w:r>
          <w:r>
            <w:rPr>
              <w:rStyle w:val="37"/>
              <w:rFonts w:cstheme="minorHAnsi"/>
            </w:rPr>
            <w:t>Burst Configuration</w:t>
          </w:r>
          <w:r>
            <w:tab/>
          </w:r>
          <w:r>
            <w:fldChar w:fldCharType="begin"/>
          </w:r>
          <w:r>
            <w:instrText xml:space="preserve"> PAGEREF _Toc199429854 \h </w:instrText>
          </w:r>
          <w:r>
            <w:fldChar w:fldCharType="separate"/>
          </w:r>
          <w:r>
            <w:t>65</w:t>
          </w:r>
          <w:r>
            <w:fldChar w:fldCharType="end"/>
          </w:r>
          <w:r>
            <w:fldChar w:fldCharType="end"/>
          </w:r>
        </w:p>
        <w:p w14:paraId="50126F16">
          <w:pPr>
            <w:pStyle w:val="18"/>
            <w:spacing w:after="240"/>
            <w:rPr>
              <w:rFonts w:cstheme="minorBidi"/>
              <w:iCs w:val="0"/>
              <w:sz w:val="22"/>
              <w:szCs w:val="24"/>
              <w14:ligatures w14:val="standardContextual"/>
            </w:rPr>
          </w:pPr>
          <w:r>
            <w:fldChar w:fldCharType="begin"/>
          </w:r>
          <w:r>
            <w:instrText xml:space="preserve"> HYPERLINK \l "_Toc199429855" </w:instrText>
          </w:r>
          <w:r>
            <w:fldChar w:fldCharType="separate"/>
          </w:r>
          <w:r>
            <w:rPr>
              <w:rStyle w:val="37"/>
              <w:rFonts w:cstheme="minorHAnsi"/>
            </w:rPr>
            <w:t>9.1.8</w:t>
          </w:r>
          <w:r>
            <w:rPr>
              <w:rFonts w:cstheme="minorBidi"/>
              <w:iCs w:val="0"/>
              <w:sz w:val="22"/>
              <w:szCs w:val="24"/>
              <w14:ligatures w14:val="standardContextual"/>
            </w:rPr>
            <w:tab/>
          </w:r>
          <w:r>
            <w:rPr>
              <w:rStyle w:val="37"/>
              <w:rFonts w:cstheme="minorHAnsi"/>
            </w:rPr>
            <w:t>Network Monitor</w:t>
          </w:r>
          <w:r>
            <w:tab/>
          </w:r>
          <w:r>
            <w:fldChar w:fldCharType="begin"/>
          </w:r>
          <w:r>
            <w:instrText xml:space="preserve"> PAGEREF _Toc199429855 \h </w:instrText>
          </w:r>
          <w:r>
            <w:fldChar w:fldCharType="separate"/>
          </w:r>
          <w:r>
            <w:t>66</w:t>
          </w:r>
          <w:r>
            <w:fldChar w:fldCharType="end"/>
          </w:r>
          <w:r>
            <w:fldChar w:fldCharType="end"/>
          </w:r>
        </w:p>
        <w:p w14:paraId="6E3C84D1">
          <w:pPr>
            <w:pStyle w:val="18"/>
            <w:spacing w:after="240"/>
            <w:rPr>
              <w:rFonts w:cstheme="minorBidi"/>
              <w:iCs w:val="0"/>
              <w:sz w:val="22"/>
              <w:szCs w:val="24"/>
              <w14:ligatures w14:val="standardContextual"/>
            </w:rPr>
          </w:pPr>
          <w:r>
            <w:fldChar w:fldCharType="begin"/>
          </w:r>
          <w:r>
            <w:instrText xml:space="preserve"> HYPERLINK \l "_Toc199429856" </w:instrText>
          </w:r>
          <w:r>
            <w:fldChar w:fldCharType="separate"/>
          </w:r>
          <w:r>
            <w:rPr>
              <w:rStyle w:val="37"/>
              <w:rFonts w:cstheme="minorHAnsi"/>
            </w:rPr>
            <w:t>9.1.9</w:t>
          </w:r>
          <w:r>
            <w:rPr>
              <w:rFonts w:cstheme="minorBidi"/>
              <w:iCs w:val="0"/>
              <w:sz w:val="22"/>
              <w:szCs w:val="24"/>
              <w14:ligatures w14:val="standardContextual"/>
            </w:rPr>
            <w:tab/>
          </w:r>
          <w:r>
            <w:rPr>
              <w:rStyle w:val="37"/>
              <w:rFonts w:cstheme="minorHAnsi"/>
            </w:rPr>
            <w:t>Other Configuration</w:t>
          </w:r>
          <w:r>
            <w:tab/>
          </w:r>
          <w:r>
            <w:fldChar w:fldCharType="begin"/>
          </w:r>
          <w:r>
            <w:instrText xml:space="preserve"> PAGEREF _Toc199429856 \h </w:instrText>
          </w:r>
          <w:r>
            <w:fldChar w:fldCharType="separate"/>
          </w:r>
          <w:r>
            <w:t>66</w:t>
          </w:r>
          <w:r>
            <w:fldChar w:fldCharType="end"/>
          </w:r>
          <w:r>
            <w:fldChar w:fldCharType="end"/>
          </w:r>
        </w:p>
        <w:p w14:paraId="22C0405C">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"_Toc199429857" </w:instrText>
          </w:r>
          <w:r>
            <w:fldChar w:fldCharType="separate"/>
          </w:r>
          <w:r>
            <w:rPr>
              <w:rStyle w:val="37"/>
              <w:rFonts w:cstheme="minorHAnsi"/>
            </w:rPr>
            <w:t>9.2</w:t>
          </w:r>
          <w:r>
            <w:rPr>
              <w:rFonts w:cstheme="minorBidi"/>
              <w:smallCaps w:val="0"/>
              <w:sz w:val="22"/>
              <w:szCs w:val="24"/>
              <w14:ligatures w14:val="standardContextual"/>
            </w:rPr>
            <w:tab/>
          </w:r>
          <w:r>
            <w:rPr>
              <w:rStyle w:val="37"/>
              <w:rFonts w:cstheme="minorHAnsi"/>
            </w:rPr>
            <w:t>DD Menu Tree</w:t>
          </w:r>
          <w:r>
            <w:tab/>
          </w:r>
          <w:r>
            <w:fldChar w:fldCharType="begin"/>
          </w:r>
          <w:r>
            <w:instrText xml:space="preserve"> PAGEREF _Toc199429857 \h </w:instrText>
          </w:r>
          <w:r>
            <w:fldChar w:fldCharType="separate"/>
          </w:r>
          <w:r>
            <w:t>67</w:t>
          </w:r>
          <w:r>
            <w:fldChar w:fldCharType="end"/>
          </w:r>
          <w:r>
            <w:fldChar w:fldCharType="end"/>
          </w:r>
        </w:p>
        <w:p w14:paraId="4471DBC5">
          <w:pPr>
            <w:pStyle w:val="23"/>
            <w:spacing w:after="240"/>
            <w:rPr>
              <w:rFonts w:cstheme="minorBidi"/>
              <w:bCs w:val="0"/>
              <w:caps w:val="0"/>
              <w:sz w:val="22"/>
              <w:szCs w:val="24"/>
              <w14:ligatures w14:val="standardContextual"/>
            </w:rPr>
          </w:pPr>
          <w:r>
            <w:fldChar w:fldCharType="begin"/>
          </w:r>
          <w:r>
            <w:instrText xml:space="preserve"> HYPERLINK \l "_Toc199429858" </w:instrText>
          </w:r>
          <w:r>
            <w:fldChar w:fldCharType="separate"/>
          </w:r>
          <w:r>
            <w:rPr>
              <w:rStyle w:val="37"/>
            </w:rPr>
            <w:t>10</w:t>
          </w:r>
          <w:r>
            <w:rPr>
              <w:rFonts w:cstheme="minorBidi"/>
              <w:bCs w:val="0"/>
              <w:caps w:val="0"/>
              <w:sz w:val="22"/>
              <w:szCs w:val="24"/>
              <w14:ligatures w14:val="standardContextual"/>
            </w:rPr>
            <w:tab/>
          </w:r>
          <w:r>
            <w:rPr>
              <w:rStyle w:val="37"/>
            </w:rPr>
            <w:t>Maintainence</w:t>
          </w:r>
          <w:r>
            <w:tab/>
          </w:r>
          <w:r>
            <w:fldChar w:fldCharType="begin"/>
          </w:r>
          <w:r>
            <w:instrText xml:space="preserve"> PAGEREF _Toc199429858 \h </w:instrText>
          </w:r>
          <w:r>
            <w:fldChar w:fldCharType="separate"/>
          </w:r>
          <w:r>
            <w:t>69</w:t>
          </w:r>
          <w:r>
            <w:fldChar w:fldCharType="end"/>
          </w:r>
          <w:r>
            <w:fldChar w:fldCharType="end"/>
          </w:r>
        </w:p>
        <w:p w14:paraId="5F08DFF1">
          <w:pPr>
            <w:pStyle w:val="23"/>
            <w:spacing w:after="240"/>
            <w:rPr>
              <w:rFonts w:cstheme="minorBidi"/>
              <w:bCs w:val="0"/>
              <w:caps w:val="0"/>
              <w:sz w:val="22"/>
              <w:szCs w:val="24"/>
              <w14:ligatures w14:val="standardContextual"/>
            </w:rPr>
          </w:pPr>
          <w:r>
            <w:fldChar w:fldCharType="begin"/>
          </w:r>
          <w:r>
            <w:instrText xml:space="preserve"> HYPERLINK \l "_Toc199429859" </w:instrText>
          </w:r>
          <w:r>
            <w:fldChar w:fldCharType="separate"/>
          </w:r>
          <w:r>
            <w:rPr>
              <w:rStyle w:val="37"/>
            </w:rPr>
            <w:t>11</w:t>
          </w:r>
          <w:r>
            <w:rPr>
              <w:rFonts w:cstheme="minorBidi"/>
              <w:bCs w:val="0"/>
              <w:caps w:val="0"/>
              <w:sz w:val="22"/>
              <w:szCs w:val="24"/>
              <w14:ligatures w14:val="standardContextual"/>
            </w:rPr>
            <w:tab/>
          </w:r>
          <w:r>
            <w:rPr>
              <w:rStyle w:val="37"/>
            </w:rPr>
            <w:t>Technical Specifications</w:t>
          </w:r>
          <w:r>
            <w:tab/>
          </w:r>
          <w:r>
            <w:fldChar w:fldCharType="begin"/>
          </w:r>
          <w:r>
            <w:instrText xml:space="preserve"> PAGEREF _Toc199429859 \h </w:instrText>
          </w:r>
          <w:r>
            <w:fldChar w:fldCharType="separate"/>
          </w:r>
          <w:r>
            <w:t>70</w:t>
          </w:r>
          <w:r>
            <w:fldChar w:fldCharType="end"/>
          </w:r>
          <w:r>
            <w:fldChar w:fldCharType="end"/>
          </w:r>
        </w:p>
        <w:p w14:paraId="72841669">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"_Toc199429860" </w:instrText>
          </w:r>
          <w:r>
            <w:fldChar w:fldCharType="separate"/>
          </w:r>
          <w:r>
            <w:rPr>
              <w:rStyle w:val="37"/>
              <w:rFonts w:cstheme="minorHAnsi"/>
            </w:rPr>
            <w:t>11.1</w:t>
          </w:r>
          <w:r>
            <w:rPr>
              <w:rFonts w:cstheme="minorBidi"/>
              <w:smallCaps w:val="0"/>
              <w:sz w:val="22"/>
              <w:szCs w:val="24"/>
              <w14:ligatures w14:val="standardContextual"/>
            </w:rPr>
            <w:tab/>
          </w:r>
          <w:r>
            <w:rPr>
              <w:rStyle w:val="37"/>
              <w:rFonts w:cstheme="minorHAnsi"/>
            </w:rPr>
            <w:t>Basic Parameter</w:t>
          </w:r>
          <w:r>
            <w:tab/>
          </w:r>
          <w:r>
            <w:fldChar w:fldCharType="begin"/>
          </w:r>
          <w:r>
            <w:instrText xml:space="preserve"> PAGEREF _Toc199429860 \h </w:instrText>
          </w:r>
          <w:r>
            <w:fldChar w:fldCharType="separate"/>
          </w:r>
          <w:r>
            <w:t>70</w:t>
          </w:r>
          <w:r>
            <w:fldChar w:fldCharType="end"/>
          </w:r>
          <w:r>
            <w:fldChar w:fldCharType="end"/>
          </w:r>
        </w:p>
        <w:p w14:paraId="505CAFA2">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"_Toc199429861" </w:instrText>
          </w:r>
          <w:r>
            <w:fldChar w:fldCharType="separate"/>
          </w:r>
          <w:r>
            <w:rPr>
              <w:rStyle w:val="37"/>
              <w:rFonts w:cstheme="minorHAnsi"/>
            </w:rPr>
            <w:t>11.2</w:t>
          </w:r>
          <w:r>
            <w:rPr>
              <w:rFonts w:cstheme="minorBidi"/>
              <w:smallCaps w:val="0"/>
              <w:sz w:val="22"/>
              <w:szCs w:val="24"/>
              <w14:ligatures w14:val="standardContextual"/>
            </w:rPr>
            <w:tab/>
          </w:r>
          <w:r>
            <w:rPr>
              <w:rStyle w:val="37"/>
              <w:rFonts w:cstheme="minorHAnsi"/>
            </w:rPr>
            <w:t>Performance Index</w:t>
          </w:r>
          <w:r>
            <w:tab/>
          </w:r>
          <w:r>
            <w:fldChar w:fldCharType="begin"/>
          </w:r>
          <w:r>
            <w:instrText xml:space="preserve"> PAGEREF _Toc199429861 \h </w:instrText>
          </w:r>
          <w:r>
            <w:fldChar w:fldCharType="separate"/>
          </w:r>
          <w:r>
            <w:t>71</w:t>
          </w:r>
          <w:r>
            <w:fldChar w:fldCharType="end"/>
          </w:r>
          <w:r>
            <w:fldChar w:fldCharType="end"/>
          </w:r>
        </w:p>
        <w:p w14:paraId="0ECAAC80">
          <w:pPr>
            <w:pStyle w:val="18"/>
            <w:spacing w:after="240"/>
            <w:rPr>
              <w:rFonts w:cstheme="minorBidi"/>
              <w:iCs w:val="0"/>
              <w:sz w:val="22"/>
              <w:szCs w:val="24"/>
              <w14:ligatures w14:val="standardContextual"/>
            </w:rPr>
          </w:pPr>
          <w:r>
            <w:fldChar w:fldCharType="begin"/>
          </w:r>
          <w:r>
            <w:instrText xml:space="preserve"> HYPERLINK \l "_Toc199429862" </w:instrText>
          </w:r>
          <w:r>
            <w:fldChar w:fldCharType="separate"/>
          </w:r>
          <w:r>
            <w:rPr>
              <w:rStyle w:val="37"/>
              <w:rFonts w:cstheme="minorHAnsi"/>
            </w:rPr>
            <w:t>11.2.1</w:t>
          </w:r>
          <w:r>
            <w:rPr>
              <w:rFonts w:cstheme="minorBidi"/>
              <w:iCs w:val="0"/>
              <w:sz w:val="22"/>
              <w:szCs w:val="24"/>
              <w14:ligatures w14:val="standardContextual"/>
            </w:rPr>
            <w:tab/>
          </w:r>
          <w:r>
            <w:rPr>
              <w:rStyle w:val="37"/>
              <w:rFonts w:cstheme="minorHAnsi"/>
            </w:rPr>
            <w:t>NCS-PT105IIM differential pressure transmitter performance index</w:t>
          </w:r>
          <w:r>
            <w:tab/>
          </w:r>
          <w:r>
            <w:fldChar w:fldCharType="begin"/>
          </w:r>
          <w:r>
            <w:instrText xml:space="preserve"> PAGEREF _Toc199429862 \h </w:instrText>
          </w:r>
          <w:r>
            <w:fldChar w:fldCharType="separate"/>
          </w:r>
          <w:r>
            <w:t>71</w:t>
          </w:r>
          <w:r>
            <w:fldChar w:fldCharType="end"/>
          </w:r>
          <w:r>
            <w:fldChar w:fldCharType="end"/>
          </w:r>
        </w:p>
        <w:p w14:paraId="10486B64">
          <w:pPr>
            <w:pStyle w:val="18"/>
            <w:spacing w:after="240"/>
            <w:rPr>
              <w:rFonts w:cstheme="minorBidi"/>
              <w:iCs w:val="0"/>
              <w:sz w:val="22"/>
              <w:szCs w:val="24"/>
              <w14:ligatures w14:val="standardContextual"/>
            </w:rPr>
          </w:pPr>
          <w:r>
            <w:fldChar w:fldCharType="begin"/>
          </w:r>
          <w:r>
            <w:instrText xml:space="preserve"> HYPERLINK \l "_Toc199429863" </w:instrText>
          </w:r>
          <w:r>
            <w:fldChar w:fldCharType="separate"/>
          </w:r>
          <w:r>
            <w:rPr>
              <w:rStyle w:val="37"/>
              <w:rFonts w:cstheme="minorHAnsi"/>
            </w:rPr>
            <w:t>11.2.2</w:t>
          </w:r>
          <w:r>
            <w:rPr>
              <w:rFonts w:cstheme="minorBidi"/>
              <w:iCs w:val="0"/>
              <w:sz w:val="22"/>
              <w:szCs w:val="24"/>
              <w14:ligatures w14:val="standardContextual"/>
            </w:rPr>
            <w:tab/>
          </w:r>
          <w:r>
            <w:rPr>
              <w:rStyle w:val="37"/>
              <w:rFonts w:cstheme="minorHAnsi"/>
            </w:rPr>
            <w:t>NCS-PT105IIM high static pressure differential pressure transmitter performance index</w:t>
          </w:r>
          <w:r>
            <w:tab/>
          </w:r>
          <w:r>
            <w:fldChar w:fldCharType="begin"/>
          </w:r>
          <w:r>
            <w:instrText xml:space="preserve"> PAGEREF _Toc199429863 \h </w:instrText>
          </w:r>
          <w:r>
            <w:fldChar w:fldCharType="separate"/>
          </w:r>
          <w:r>
            <w:t>72</w:t>
          </w:r>
          <w:r>
            <w:fldChar w:fldCharType="end"/>
          </w:r>
          <w:r>
            <w:fldChar w:fldCharType="end"/>
          </w:r>
        </w:p>
        <w:p w14:paraId="454C9A58">
          <w:pPr>
            <w:pStyle w:val="18"/>
            <w:spacing w:after="240"/>
            <w:rPr>
              <w:rFonts w:cstheme="minorBidi"/>
              <w:iCs w:val="0"/>
              <w:sz w:val="22"/>
              <w:szCs w:val="24"/>
              <w14:ligatures w14:val="standardContextual"/>
            </w:rPr>
          </w:pPr>
          <w:r>
            <w:fldChar w:fldCharType="begin"/>
          </w:r>
          <w:r>
            <w:instrText xml:space="preserve"> HYPERLINK \l "_Toc199429864" </w:instrText>
          </w:r>
          <w:r>
            <w:fldChar w:fldCharType="separate"/>
          </w:r>
          <w:r>
            <w:rPr>
              <w:rStyle w:val="37"/>
              <w:rFonts w:cstheme="minorHAnsi"/>
            </w:rPr>
            <w:t>11.2.3</w:t>
          </w:r>
          <w:r>
            <w:rPr>
              <w:rFonts w:cstheme="minorBidi"/>
              <w:iCs w:val="0"/>
              <w:sz w:val="22"/>
              <w:szCs w:val="24"/>
              <w14:ligatures w14:val="standardContextual"/>
            </w:rPr>
            <w:tab/>
          </w:r>
          <w:r>
            <w:rPr>
              <w:rStyle w:val="37"/>
              <w:rFonts w:cstheme="minorHAnsi"/>
            </w:rPr>
            <w:t>NCS-PT105IIM Absolute pressure transmitter performance index</w:t>
          </w:r>
          <w:r>
            <w:tab/>
          </w:r>
          <w:r>
            <w:fldChar w:fldCharType="begin"/>
          </w:r>
          <w:r>
            <w:instrText xml:space="preserve"> PAGEREF _Toc199429864 \h </w:instrText>
          </w:r>
          <w:r>
            <w:fldChar w:fldCharType="separate"/>
          </w:r>
          <w:r>
            <w:t>74</w:t>
          </w:r>
          <w:r>
            <w:fldChar w:fldCharType="end"/>
          </w:r>
          <w:r>
            <w:fldChar w:fldCharType="end"/>
          </w:r>
        </w:p>
        <w:p w14:paraId="26C9F298">
          <w:pPr>
            <w:pStyle w:val="18"/>
            <w:spacing w:after="240"/>
            <w:rPr>
              <w:rFonts w:cstheme="minorBidi"/>
              <w:iCs w:val="0"/>
              <w:sz w:val="22"/>
              <w:szCs w:val="24"/>
              <w14:ligatures w14:val="standardContextual"/>
            </w:rPr>
          </w:pPr>
          <w:r>
            <w:fldChar w:fldCharType="begin"/>
          </w:r>
          <w:r>
            <w:instrText xml:space="preserve"> HYPERLINK \l "_Toc199429865" </w:instrText>
          </w:r>
          <w:r>
            <w:fldChar w:fldCharType="separate"/>
          </w:r>
          <w:r>
            <w:rPr>
              <w:rStyle w:val="37"/>
              <w:rFonts w:cstheme="minorHAnsi"/>
            </w:rPr>
            <w:t>11.2.4</w:t>
          </w:r>
          <w:r>
            <w:rPr>
              <w:rFonts w:cstheme="minorBidi"/>
              <w:iCs w:val="0"/>
              <w:sz w:val="22"/>
              <w:szCs w:val="24"/>
              <w14:ligatures w14:val="standardContextual"/>
            </w:rPr>
            <w:tab/>
          </w:r>
          <w:r>
            <w:rPr>
              <w:rStyle w:val="37"/>
              <w:rFonts w:cstheme="minorHAnsi"/>
            </w:rPr>
            <w:t>NCS-PT105IIM Gauge pressure transmitter performance index</w:t>
          </w:r>
          <w:r>
            <w:tab/>
          </w:r>
          <w:r>
            <w:fldChar w:fldCharType="begin"/>
          </w:r>
          <w:r>
            <w:instrText xml:space="preserve"> PAGEREF _Toc199429865 \h </w:instrText>
          </w:r>
          <w:r>
            <w:fldChar w:fldCharType="separate"/>
          </w:r>
          <w:r>
            <w:t>75</w:t>
          </w:r>
          <w:r>
            <w:fldChar w:fldCharType="end"/>
          </w:r>
          <w:r>
            <w:fldChar w:fldCharType="end"/>
          </w:r>
        </w:p>
        <w:p w14:paraId="2C6C75C8">
          <w:pPr>
            <w:pStyle w:val="18"/>
            <w:spacing w:after="240"/>
            <w:rPr>
              <w:rFonts w:cstheme="minorBidi"/>
              <w:iCs w:val="0"/>
              <w:sz w:val="22"/>
              <w:szCs w:val="24"/>
              <w14:ligatures w14:val="standardContextual"/>
            </w:rPr>
          </w:pPr>
          <w:r>
            <w:fldChar w:fldCharType="begin"/>
          </w:r>
          <w:r>
            <w:instrText xml:space="preserve"> HYPERLINK \l "_Toc199429866" </w:instrText>
          </w:r>
          <w:r>
            <w:fldChar w:fldCharType="separate"/>
          </w:r>
          <w:r>
            <w:rPr>
              <w:rStyle w:val="37"/>
              <w:rFonts w:cstheme="minorHAnsi"/>
            </w:rPr>
            <w:t>11.2.5</w:t>
          </w:r>
          <w:r>
            <w:rPr>
              <w:rFonts w:cstheme="minorBidi"/>
              <w:iCs w:val="0"/>
              <w:sz w:val="22"/>
              <w:szCs w:val="24"/>
              <w14:ligatures w14:val="standardContextual"/>
            </w:rPr>
            <w:tab/>
          </w:r>
          <w:r>
            <w:rPr>
              <w:rStyle w:val="37"/>
              <w:rFonts w:cstheme="minorHAnsi"/>
            </w:rPr>
            <w:t>NCS-PT105IISM Gauge pressure transmitter performance index</w:t>
          </w:r>
          <w:r>
            <w:tab/>
          </w:r>
          <w:r>
            <w:fldChar w:fldCharType="begin"/>
          </w:r>
          <w:r>
            <w:instrText xml:space="preserve"> PAGEREF _Toc199429866 \h </w:instrText>
          </w:r>
          <w:r>
            <w:fldChar w:fldCharType="separate"/>
          </w:r>
          <w:r>
            <w:t>76</w:t>
          </w:r>
          <w:r>
            <w:fldChar w:fldCharType="end"/>
          </w:r>
          <w:r>
            <w:fldChar w:fldCharType="end"/>
          </w:r>
        </w:p>
        <w:p w14:paraId="57EF34D9">
          <w:pPr>
            <w:pStyle w:val="18"/>
            <w:spacing w:after="240"/>
            <w:rPr>
              <w:rFonts w:cstheme="minorBidi"/>
              <w:iCs w:val="0"/>
              <w:sz w:val="22"/>
              <w:szCs w:val="24"/>
              <w14:ligatures w14:val="standardContextual"/>
            </w:rPr>
          </w:pPr>
          <w:r>
            <w:fldChar w:fldCharType="begin"/>
          </w:r>
          <w:r>
            <w:instrText xml:space="preserve"> HYPERLINK \l "_Toc199429867" </w:instrText>
          </w:r>
          <w:r>
            <w:fldChar w:fldCharType="separate"/>
          </w:r>
          <w:r>
            <w:rPr>
              <w:rStyle w:val="37"/>
              <w:rFonts w:cstheme="minorHAnsi"/>
            </w:rPr>
            <w:t>11.2.6</w:t>
          </w:r>
          <w:r>
            <w:rPr>
              <w:rFonts w:cstheme="minorBidi"/>
              <w:iCs w:val="0"/>
              <w:sz w:val="22"/>
              <w:szCs w:val="24"/>
              <w14:ligatures w14:val="standardContextual"/>
            </w:rPr>
            <w:tab/>
          </w:r>
          <w:r>
            <w:rPr>
              <w:rStyle w:val="37"/>
              <w:rFonts w:cstheme="minorHAnsi"/>
            </w:rPr>
            <w:t>NCS-PT105IISM Absolute pressure transmitter performance index</w:t>
          </w:r>
          <w:r>
            <w:tab/>
          </w:r>
          <w:r>
            <w:fldChar w:fldCharType="begin"/>
          </w:r>
          <w:r>
            <w:instrText xml:space="preserve"> PAGEREF _Toc199429867 \h </w:instrText>
          </w:r>
          <w:r>
            <w:fldChar w:fldCharType="separate"/>
          </w:r>
          <w:r>
            <w:t>77</w:t>
          </w:r>
          <w:r>
            <w:fldChar w:fldCharType="end"/>
          </w:r>
          <w:r>
            <w:fldChar w:fldCharType="end"/>
          </w:r>
        </w:p>
        <w:p w14:paraId="0ECB55B5">
          <w:pPr>
            <w:pStyle w:val="26"/>
            <w:tabs>
              <w:tab w:val="left" w:pos="840"/>
              <w:tab w:val="right" w:leader="dot" w:pos="9743"/>
            </w:tabs>
            <w:spacing w:after="240"/>
            <w:rPr>
              <w:rFonts w:cstheme="minorBidi"/>
              <w:smallCaps w:val="0"/>
              <w:sz w:val="22"/>
              <w:szCs w:val="24"/>
              <w14:ligatures w14:val="standardContextual"/>
            </w:rPr>
          </w:pPr>
          <w:r>
            <w:fldChar w:fldCharType="begin"/>
          </w:r>
          <w:r>
            <w:instrText xml:space="preserve"> HYPERLINK \l "_Toc199429868" </w:instrText>
          </w:r>
          <w:r>
            <w:fldChar w:fldCharType="separate"/>
          </w:r>
          <w:r>
            <w:rPr>
              <w:rStyle w:val="37"/>
              <w:rFonts w:cstheme="minorHAnsi"/>
            </w:rPr>
            <w:t>11.3</w:t>
          </w:r>
          <w:r>
            <w:rPr>
              <w:rFonts w:cstheme="minorBidi"/>
              <w:smallCaps w:val="0"/>
              <w:sz w:val="22"/>
              <w:szCs w:val="24"/>
              <w14:ligatures w14:val="standardContextual"/>
            </w:rPr>
            <w:tab/>
          </w:r>
          <w:r>
            <w:rPr>
              <w:rStyle w:val="37"/>
              <w:rFonts w:cstheme="minorHAnsi"/>
            </w:rPr>
            <w:t>Physical properties</w:t>
          </w:r>
          <w:r>
            <w:tab/>
          </w:r>
          <w:r>
            <w:fldChar w:fldCharType="begin"/>
          </w:r>
          <w:r>
            <w:instrText xml:space="preserve"> PAGEREF _Toc199429868 \h </w:instrText>
          </w:r>
          <w:r>
            <w:fldChar w:fldCharType="separate"/>
          </w:r>
          <w:r>
            <w:t>78</w:t>
          </w:r>
          <w:r>
            <w:fldChar w:fldCharType="end"/>
          </w:r>
          <w:r>
            <w:fldChar w:fldCharType="end"/>
          </w:r>
        </w:p>
        <w:p w14:paraId="29A3B14F">
          <w:pPr>
            <w:pStyle w:val="18"/>
            <w:spacing w:after="240"/>
            <w:rPr>
              <w:rFonts w:cstheme="minorBidi"/>
              <w:iCs w:val="0"/>
              <w:sz w:val="22"/>
              <w:szCs w:val="24"/>
              <w14:ligatures w14:val="standardContextual"/>
            </w:rPr>
          </w:pPr>
          <w:r>
            <w:fldChar w:fldCharType="begin"/>
          </w:r>
          <w:r>
            <w:instrText xml:space="preserve"> HYPERLINK \l "_Toc199429869" </w:instrText>
          </w:r>
          <w:r>
            <w:fldChar w:fldCharType="separate"/>
          </w:r>
          <w:r>
            <w:rPr>
              <w:rStyle w:val="37"/>
              <w:rFonts w:cstheme="minorHAnsi"/>
            </w:rPr>
            <w:t>11.3.1</w:t>
          </w:r>
          <w:r>
            <w:rPr>
              <w:rFonts w:cstheme="minorBidi"/>
              <w:iCs w:val="0"/>
              <w:sz w:val="22"/>
              <w:szCs w:val="24"/>
              <w14:ligatures w14:val="standardContextual"/>
            </w:rPr>
            <w:tab/>
          </w:r>
          <w:r>
            <w:rPr>
              <w:rStyle w:val="37"/>
              <w:rFonts w:cstheme="minorHAnsi"/>
            </w:rPr>
            <w:t>NCS-PT105IIM Intelligent pressure transmitter</w:t>
          </w:r>
          <w:r>
            <w:tab/>
          </w:r>
          <w:r>
            <w:fldChar w:fldCharType="begin"/>
          </w:r>
          <w:r>
            <w:instrText xml:space="preserve"> PAGEREF _Toc199429869 \h </w:instrText>
          </w:r>
          <w:r>
            <w:fldChar w:fldCharType="separate"/>
          </w:r>
          <w:r>
            <w:t>78</w:t>
          </w:r>
          <w:r>
            <w:fldChar w:fldCharType="end"/>
          </w:r>
          <w:r>
            <w:fldChar w:fldCharType="end"/>
          </w:r>
        </w:p>
        <w:p w14:paraId="07D5F227">
          <w:pPr>
            <w:pStyle w:val="18"/>
            <w:spacing w:after="240"/>
            <w:rPr>
              <w:rFonts w:cstheme="minorBidi"/>
              <w:iCs w:val="0"/>
              <w:sz w:val="22"/>
              <w:szCs w:val="24"/>
              <w14:ligatures w14:val="standardContextual"/>
            </w:rPr>
          </w:pPr>
          <w:r>
            <w:fldChar w:fldCharType="begin"/>
          </w:r>
          <w:r>
            <w:instrText xml:space="preserve"> HYPERLINK \l "_Toc199429870" </w:instrText>
          </w:r>
          <w:r>
            <w:fldChar w:fldCharType="separate"/>
          </w:r>
          <w:r>
            <w:rPr>
              <w:rStyle w:val="37"/>
              <w:rFonts w:cstheme="minorHAnsi"/>
            </w:rPr>
            <w:t>11.3.2</w:t>
          </w:r>
          <w:r>
            <w:rPr>
              <w:rFonts w:cstheme="minorBidi"/>
              <w:iCs w:val="0"/>
              <w:sz w:val="22"/>
              <w:szCs w:val="24"/>
              <w14:ligatures w14:val="standardContextual"/>
            </w:rPr>
            <w:tab/>
          </w:r>
          <w:r>
            <w:rPr>
              <w:rStyle w:val="37"/>
              <w:rFonts w:cstheme="minorHAnsi"/>
            </w:rPr>
            <w:t>NCS-PT105IISM Intelligent pressure transmitter</w:t>
          </w:r>
          <w:r>
            <w:tab/>
          </w:r>
          <w:r>
            <w:fldChar w:fldCharType="begin"/>
          </w:r>
          <w:r>
            <w:instrText xml:space="preserve"> PAGEREF _Toc199429870 \h </w:instrText>
          </w:r>
          <w:r>
            <w:fldChar w:fldCharType="separate"/>
          </w:r>
          <w:r>
            <w:t>78</w:t>
          </w:r>
          <w:r>
            <w:fldChar w:fldCharType="end"/>
          </w:r>
          <w:r>
            <w:fldChar w:fldCharType="end"/>
          </w:r>
        </w:p>
        <w:p w14:paraId="35B77C77">
          <w:pPr>
            <w:pStyle w:val="23"/>
            <w:tabs>
              <w:tab w:val="left" w:pos="1470"/>
            </w:tabs>
            <w:spacing w:after="240"/>
            <w:rPr>
              <w:rFonts w:cstheme="minorBidi"/>
              <w:bCs w:val="0"/>
              <w:caps w:val="0"/>
              <w:sz w:val="22"/>
              <w:szCs w:val="24"/>
              <w14:ligatures w14:val="standardContextual"/>
            </w:rPr>
          </w:pPr>
          <w:r>
            <w:fldChar w:fldCharType="begin"/>
          </w:r>
          <w:r>
            <w:instrText xml:space="preserve"> HYPERLINK \l "_Toc199429871" </w:instrText>
          </w:r>
          <w:r>
            <w:fldChar w:fldCharType="separate"/>
          </w:r>
          <w:r>
            <w:rPr>
              <w:rStyle w:val="37"/>
            </w:rPr>
            <w:t>Appendix 1</w:t>
          </w:r>
          <w:r>
            <w:rPr>
              <w:rFonts w:cstheme="minorBidi"/>
              <w:bCs w:val="0"/>
              <w:caps w:val="0"/>
              <w:sz w:val="22"/>
              <w:szCs w:val="24"/>
              <w14:ligatures w14:val="standardContextual"/>
            </w:rPr>
            <w:tab/>
          </w:r>
          <w:r>
            <w:rPr>
              <w:rStyle w:val="37"/>
            </w:rPr>
            <w:t>NCS-PT105IIM Intelligent Pressure Transmitter Selection</w:t>
          </w:r>
          <w:r>
            <w:tab/>
          </w:r>
          <w:r>
            <w:fldChar w:fldCharType="begin"/>
          </w:r>
          <w:r>
            <w:instrText xml:space="preserve"> PAGEREF _Toc199429871 \h </w:instrText>
          </w:r>
          <w:r>
            <w:fldChar w:fldCharType="separate"/>
          </w:r>
          <w:r>
            <w:t>81</w:t>
          </w:r>
          <w:r>
            <w:fldChar w:fldCharType="end"/>
          </w:r>
          <w:r>
            <w:fldChar w:fldCharType="end"/>
          </w:r>
        </w:p>
        <w:p w14:paraId="5B2EA0D8">
          <w:pPr>
            <w:pStyle w:val="23"/>
            <w:tabs>
              <w:tab w:val="left" w:pos="1470"/>
            </w:tabs>
            <w:spacing w:after="240"/>
            <w:rPr>
              <w:rFonts w:cstheme="minorBidi"/>
              <w:bCs w:val="0"/>
              <w:caps w:val="0"/>
              <w:sz w:val="22"/>
              <w:szCs w:val="24"/>
              <w14:ligatures w14:val="standardContextual"/>
            </w:rPr>
          </w:pPr>
          <w:r>
            <w:fldChar w:fldCharType="begin"/>
          </w:r>
          <w:r>
            <w:instrText xml:space="preserve"> HYPERLINK \l "_Toc199429872" </w:instrText>
          </w:r>
          <w:r>
            <w:fldChar w:fldCharType="separate"/>
          </w:r>
          <w:r>
            <w:rPr>
              <w:rStyle w:val="37"/>
            </w:rPr>
            <w:t>Appendix 2</w:t>
          </w:r>
          <w:r>
            <w:rPr>
              <w:rFonts w:cstheme="minorBidi"/>
              <w:bCs w:val="0"/>
              <w:caps w:val="0"/>
              <w:sz w:val="22"/>
              <w:szCs w:val="24"/>
              <w14:ligatures w14:val="standardContextual"/>
            </w:rPr>
            <w:tab/>
          </w:r>
          <w:r>
            <w:rPr>
              <w:rStyle w:val="37"/>
            </w:rPr>
            <w:t>NCS-PT105IIM Pressure Transmitter List of Options</w:t>
          </w:r>
          <w:r>
            <w:tab/>
          </w:r>
          <w:r>
            <w:fldChar w:fldCharType="begin"/>
          </w:r>
          <w:r>
            <w:instrText xml:space="preserve"> PAGEREF _Toc199429872 \h </w:instrText>
          </w:r>
          <w:r>
            <w:fldChar w:fldCharType="separate"/>
          </w:r>
          <w:r>
            <w:t>83</w:t>
          </w:r>
          <w:r>
            <w:fldChar w:fldCharType="end"/>
          </w:r>
          <w:r>
            <w:fldChar w:fldCharType="end"/>
          </w:r>
        </w:p>
        <w:p w14:paraId="26DD607A">
          <w:pPr>
            <w:pStyle w:val="23"/>
            <w:tabs>
              <w:tab w:val="left" w:pos="1470"/>
            </w:tabs>
            <w:spacing w:after="240"/>
            <w:rPr>
              <w:rFonts w:cstheme="minorBidi"/>
              <w:bCs w:val="0"/>
              <w:caps w:val="0"/>
              <w:sz w:val="22"/>
              <w:szCs w:val="24"/>
              <w14:ligatures w14:val="standardContextual"/>
            </w:rPr>
          </w:pPr>
          <w:r>
            <w:fldChar w:fldCharType="begin"/>
          </w:r>
          <w:r>
            <w:instrText xml:space="preserve"> HYPERLINK \l "_Toc199429873" </w:instrText>
          </w:r>
          <w:r>
            <w:fldChar w:fldCharType="separate"/>
          </w:r>
          <w:r>
            <w:rPr>
              <w:rStyle w:val="37"/>
            </w:rPr>
            <w:t>Appendix 3</w:t>
          </w:r>
          <w:r>
            <w:rPr>
              <w:rFonts w:cstheme="minorBidi"/>
              <w:bCs w:val="0"/>
              <w:caps w:val="0"/>
              <w:sz w:val="22"/>
              <w:szCs w:val="24"/>
              <w14:ligatures w14:val="standardContextual"/>
            </w:rPr>
            <w:tab/>
          </w:r>
          <w:r>
            <w:rPr>
              <w:rStyle w:val="37"/>
            </w:rPr>
            <w:t>NCS-PT105IIM Pressure Transmitter Single-side Diaphragm Seals Selection</w:t>
          </w:r>
          <w:r>
            <w:tab/>
          </w:r>
          <w:r>
            <w:fldChar w:fldCharType="begin"/>
          </w:r>
          <w:r>
            <w:instrText xml:space="preserve"> PAGEREF _Toc199429873 \h </w:instrText>
          </w:r>
          <w:r>
            <w:fldChar w:fldCharType="separate"/>
          </w:r>
          <w:r>
            <w:t>86</w:t>
          </w:r>
          <w:r>
            <w:fldChar w:fldCharType="end"/>
          </w:r>
          <w:r>
            <w:fldChar w:fldCharType="end"/>
          </w:r>
        </w:p>
        <w:p w14:paraId="15CAF247">
          <w:pPr>
            <w:pStyle w:val="23"/>
            <w:tabs>
              <w:tab w:val="left" w:pos="1470"/>
            </w:tabs>
            <w:spacing w:after="240"/>
            <w:rPr>
              <w:rFonts w:cstheme="minorBidi"/>
              <w:bCs w:val="0"/>
              <w:caps w:val="0"/>
              <w:sz w:val="22"/>
              <w:szCs w:val="24"/>
              <w14:ligatures w14:val="standardContextual"/>
            </w:rPr>
          </w:pPr>
          <w:r>
            <w:fldChar w:fldCharType="begin"/>
          </w:r>
          <w:r>
            <w:instrText xml:space="preserve"> HYPERLINK \l "_Toc199429874" </w:instrText>
          </w:r>
          <w:r>
            <w:fldChar w:fldCharType="separate"/>
          </w:r>
          <w:r>
            <w:rPr>
              <w:rStyle w:val="37"/>
            </w:rPr>
            <w:t>Appendix 4</w:t>
          </w:r>
          <w:r>
            <w:rPr>
              <w:rFonts w:cstheme="minorBidi"/>
              <w:bCs w:val="0"/>
              <w:caps w:val="0"/>
              <w:sz w:val="22"/>
              <w:szCs w:val="24"/>
              <w14:ligatures w14:val="standardContextual"/>
            </w:rPr>
            <w:tab/>
          </w:r>
          <w:r>
            <w:rPr>
              <w:rStyle w:val="37"/>
            </w:rPr>
            <w:t>NCS-PT105IIM Pressure Transmitter Doulble-side Diaphragm Seals Selection</w:t>
          </w:r>
          <w:r>
            <w:tab/>
          </w:r>
          <w:r>
            <w:fldChar w:fldCharType="begin"/>
          </w:r>
          <w:r>
            <w:instrText xml:space="preserve"> PAGEREF _Toc199429874 \h </w:instrText>
          </w:r>
          <w:r>
            <w:fldChar w:fldCharType="separate"/>
          </w:r>
          <w:r>
            <w:t>88</w:t>
          </w:r>
          <w:r>
            <w:fldChar w:fldCharType="end"/>
          </w:r>
          <w:r>
            <w:fldChar w:fldCharType="end"/>
          </w:r>
        </w:p>
        <w:p w14:paraId="25BD4BFC">
          <w:pPr>
            <w:pStyle w:val="23"/>
            <w:tabs>
              <w:tab w:val="left" w:pos="1470"/>
            </w:tabs>
            <w:spacing w:after="240"/>
            <w:rPr>
              <w:rFonts w:cstheme="minorBidi"/>
              <w:bCs w:val="0"/>
              <w:caps w:val="0"/>
              <w:sz w:val="22"/>
              <w:szCs w:val="24"/>
              <w14:ligatures w14:val="standardContextual"/>
            </w:rPr>
          </w:pPr>
          <w:r>
            <w:fldChar w:fldCharType="begin"/>
          </w:r>
          <w:r>
            <w:instrText xml:space="preserve"> HYPERLINK \l "_Toc199429875" </w:instrText>
          </w:r>
          <w:r>
            <w:fldChar w:fldCharType="separate"/>
          </w:r>
          <w:r>
            <w:rPr>
              <w:rStyle w:val="37"/>
            </w:rPr>
            <w:t>Appendix 5</w:t>
          </w:r>
          <w:r>
            <w:rPr>
              <w:rFonts w:cstheme="minorBidi"/>
              <w:bCs w:val="0"/>
              <w:caps w:val="0"/>
              <w:sz w:val="22"/>
              <w:szCs w:val="24"/>
              <w14:ligatures w14:val="standardContextual"/>
            </w:rPr>
            <w:tab/>
          </w:r>
          <w:r>
            <w:rPr>
              <w:rStyle w:val="37"/>
            </w:rPr>
            <w:t>NCS-PT105IISM Intelligent Pressure Transmitter Selection</w:t>
          </w:r>
          <w:r>
            <w:tab/>
          </w:r>
          <w:r>
            <w:fldChar w:fldCharType="begin"/>
          </w:r>
          <w:r>
            <w:instrText xml:space="preserve"> PAGEREF _Toc199429875 \h </w:instrText>
          </w:r>
          <w:r>
            <w:fldChar w:fldCharType="separate"/>
          </w:r>
          <w:r>
            <w:t>90</w:t>
          </w:r>
          <w:r>
            <w:fldChar w:fldCharType="end"/>
          </w:r>
          <w:r>
            <w:fldChar w:fldCharType="end"/>
          </w:r>
        </w:p>
        <w:p w14:paraId="6A18D33E">
          <w:pPr>
            <w:pStyle w:val="23"/>
            <w:tabs>
              <w:tab w:val="left" w:pos="1470"/>
            </w:tabs>
            <w:spacing w:after="240"/>
            <w:rPr>
              <w:rFonts w:cstheme="minorBidi"/>
              <w:bCs w:val="0"/>
              <w:caps w:val="0"/>
              <w:sz w:val="22"/>
              <w:szCs w:val="24"/>
              <w14:ligatures w14:val="standardContextual"/>
            </w:rPr>
          </w:pPr>
          <w:r>
            <w:fldChar w:fldCharType="begin"/>
          </w:r>
          <w:r>
            <w:instrText xml:space="preserve"> HYPERLINK \l "_Toc199429876" </w:instrText>
          </w:r>
          <w:r>
            <w:fldChar w:fldCharType="separate"/>
          </w:r>
          <w:r>
            <w:rPr>
              <w:rStyle w:val="37"/>
            </w:rPr>
            <w:t>Appendix 6</w:t>
          </w:r>
          <w:r>
            <w:rPr>
              <w:rFonts w:cstheme="minorBidi"/>
              <w:bCs w:val="0"/>
              <w:caps w:val="0"/>
              <w:sz w:val="22"/>
              <w:szCs w:val="24"/>
              <w14:ligatures w14:val="standardContextual"/>
            </w:rPr>
            <w:tab/>
          </w:r>
          <w:r>
            <w:rPr>
              <w:rStyle w:val="37"/>
            </w:rPr>
            <w:t>NCS-PT105IISM Pressure Transmitter Diaphragm Seals Selection</w:t>
          </w:r>
          <w:r>
            <w:tab/>
          </w:r>
          <w:r>
            <w:fldChar w:fldCharType="begin"/>
          </w:r>
          <w:r>
            <w:instrText xml:space="preserve"> PAGEREF _Toc199429876 \h </w:instrText>
          </w:r>
          <w:r>
            <w:fldChar w:fldCharType="separate"/>
          </w:r>
          <w:r>
            <w:t>92</w:t>
          </w:r>
          <w:r>
            <w:fldChar w:fldCharType="end"/>
          </w:r>
          <w:r>
            <w:fldChar w:fldCharType="end"/>
          </w:r>
        </w:p>
        <w:p w14:paraId="6916964B">
          <w:pPr>
            <w:spacing w:after="240"/>
            <w:rPr>
              <w:rFonts w:cstheme="minorHAnsi"/>
            </w:rPr>
          </w:pPr>
          <w:r>
            <w:rPr>
              <w:rFonts w:cstheme="minorHAnsi"/>
              <w:b/>
              <w:bCs/>
              <w:caps/>
              <w:sz w:val="20"/>
              <w:szCs w:val="20"/>
            </w:rPr>
            <w:fldChar w:fldCharType="end"/>
          </w:r>
        </w:p>
      </w:sdtContent>
    </w:sdt>
    <w:p w14:paraId="2290AEA3">
      <w:pPr>
        <w:spacing w:after="240"/>
        <w:rPr>
          <w:rFonts w:cstheme="minorHAnsi"/>
        </w:rPr>
      </w:pPr>
    </w:p>
    <w:p w14:paraId="23887291">
      <w:pPr>
        <w:spacing w:after="240"/>
        <w:rPr>
          <w:rFonts w:cstheme="minorHAnsi"/>
        </w:rPr>
        <w:sectPr>
          <w:pgSz w:w="11907" w:h="16840"/>
          <w:pgMar w:top="1554" w:right="1077" w:bottom="1134" w:left="1077" w:header="680" w:footer="680" w:gutter="0"/>
          <w:pgNumType w:fmt="numberInDash"/>
          <w:cols w:space="425" w:num="1"/>
          <w:docGrid w:linePitch="312" w:charSpace="48128"/>
        </w:sectPr>
      </w:pPr>
    </w:p>
    <w:p w14:paraId="449FE5DD">
      <w:pPr>
        <w:pStyle w:val="2"/>
      </w:pPr>
      <w:bookmarkStart w:id="0" w:name="_Toc199429736"/>
      <w:r>
        <w:t>Overview</w:t>
      </w:r>
      <w:bookmarkEnd w:id="0"/>
    </w:p>
    <w:p w14:paraId="45422A2C">
      <w:pPr>
        <w:pStyle w:val="40"/>
        <w:spacing w:after="240" w:line="240" w:lineRule="auto"/>
        <w:ind w:left="0"/>
        <w:rPr>
          <w:rFonts w:cstheme="minorHAnsi"/>
          <w:sz w:val="21"/>
          <w:szCs w:val="21"/>
        </w:rPr>
      </w:pPr>
      <w:r>
        <w:rPr>
          <w:rFonts w:cstheme="minorHAnsi"/>
          <w:sz w:val="21"/>
          <w:szCs w:val="21"/>
        </w:rPr>
        <w:t>NCS-PT105II series intelligent pressure transmitter adopts advanced, mature and reliable pressure sensor, and is carefully designed by combining advanced microprocessor technology and digital measurement technology. The powerful functions and high-speed computing capabilities of the internal microprocessor enable it to have excellent qualities such as intelligence, high precision, high reliability and zero point stability; the liquid crystal display module can display various physical quantities such as pressure, temperature, and current; the key operation can achieve zero point Various functions such as migration and range setting are easy to debug on site.</w:t>
      </w:r>
    </w:p>
    <w:p w14:paraId="1658C07D">
      <w:pPr>
        <w:pStyle w:val="40"/>
        <w:spacing w:after="240" w:line="240" w:lineRule="auto"/>
        <w:ind w:left="0"/>
        <w:rPr>
          <w:rFonts w:cstheme="minorHAnsi"/>
          <w:sz w:val="21"/>
          <w:szCs w:val="21"/>
        </w:rPr>
      </w:pPr>
      <w:r>
        <w:rPr>
          <w:rFonts w:cstheme="minorHAnsi"/>
          <w:sz w:val="21"/>
          <w:szCs w:val="21"/>
        </w:rPr>
        <w:t>NCS-PT105II Monocrystalline silicon series intelligent pressure transmitter supports HART, FF, PA, DP protocol, can measure various industrial parameters such as pressure, differential pressure, liquid level, flow, etc., and can be widely used in petroleum, chemical, electric power, metallurgy and other industries.</w:t>
      </w:r>
    </w:p>
    <w:p w14:paraId="65DD4177">
      <w:pPr>
        <w:pStyle w:val="40"/>
        <w:spacing w:after="240" w:line="240" w:lineRule="auto"/>
        <w:ind w:left="0"/>
        <w:rPr>
          <w:rFonts w:cstheme="minorHAnsi"/>
          <w:sz w:val="21"/>
          <w:szCs w:val="21"/>
        </w:rPr>
      </w:pPr>
      <w:r>
        <w:rPr>
          <w:rFonts w:cstheme="minorHAnsi"/>
          <w:sz w:val="21"/>
          <w:szCs w:val="21"/>
        </w:rPr>
        <w:t>NCS-PT105II Monocrystalline silicon series intelligent pressure transmitters can be divided into:</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0"/>
        <w:gridCol w:w="5539"/>
      </w:tblGrid>
      <w:tr w14:paraId="1B27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222" w:type="pct"/>
            <w:shd w:val="clear" w:color="auto" w:fill="CCCCCC"/>
            <w:vAlign w:val="center"/>
          </w:tcPr>
          <w:p w14:paraId="74256C10">
            <w:pPr>
              <w:spacing w:after="240"/>
              <w:jc w:val="center"/>
              <w:rPr>
                <w:rFonts w:cstheme="minorHAnsi"/>
                <w:sz w:val="18"/>
                <w:szCs w:val="18"/>
              </w:rPr>
            </w:pPr>
            <w:r>
              <w:rPr>
                <w:rFonts w:cstheme="minorHAnsi"/>
                <w:sz w:val="18"/>
                <w:szCs w:val="18"/>
              </w:rPr>
              <w:t>Model</w:t>
            </w:r>
          </w:p>
        </w:tc>
        <w:tc>
          <w:tcPr>
            <w:tcW w:w="2778" w:type="pct"/>
            <w:shd w:val="clear" w:color="auto" w:fill="CCCCCC"/>
            <w:vAlign w:val="center"/>
          </w:tcPr>
          <w:p w14:paraId="5AAF88FD">
            <w:pPr>
              <w:spacing w:after="240"/>
              <w:jc w:val="center"/>
              <w:rPr>
                <w:rFonts w:cstheme="minorHAnsi"/>
                <w:sz w:val="18"/>
                <w:szCs w:val="18"/>
              </w:rPr>
            </w:pPr>
            <w:r>
              <w:rPr>
                <w:rFonts w:cstheme="minorHAnsi"/>
                <w:sz w:val="18"/>
                <w:szCs w:val="18"/>
              </w:rPr>
              <w:t>Mounting Type</w:t>
            </w:r>
          </w:p>
        </w:tc>
      </w:tr>
      <w:tr w14:paraId="3AC9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222" w:type="pct"/>
            <w:vAlign w:val="center"/>
          </w:tcPr>
          <w:p w14:paraId="7872F0D9">
            <w:pPr>
              <w:spacing w:after="240"/>
              <w:jc w:val="center"/>
              <w:rPr>
                <w:rFonts w:cstheme="minorHAnsi"/>
                <w:sz w:val="18"/>
                <w:szCs w:val="18"/>
              </w:rPr>
            </w:pPr>
            <w:r>
              <w:rPr>
                <w:rFonts w:cstheme="minorHAnsi"/>
                <w:sz w:val="18"/>
                <w:szCs w:val="18"/>
              </w:rPr>
              <w:t>NCS-PT105IIM</w:t>
            </w:r>
          </w:p>
        </w:tc>
        <w:tc>
          <w:tcPr>
            <w:tcW w:w="2778" w:type="pct"/>
            <w:vAlign w:val="center"/>
          </w:tcPr>
          <w:p w14:paraId="6C8EBBDA">
            <w:pPr>
              <w:spacing w:after="240"/>
              <w:rPr>
                <w:rFonts w:cstheme="minorHAnsi"/>
                <w:sz w:val="18"/>
                <w:szCs w:val="18"/>
              </w:rPr>
            </w:pPr>
            <w:r>
              <w:rPr>
                <w:rFonts w:cstheme="minorHAnsi"/>
                <w:sz w:val="18"/>
                <w:szCs w:val="18"/>
              </w:rPr>
              <w:t>Monocrystalline silicon pressure sensor, H-type structure, double flange mounting</w:t>
            </w:r>
          </w:p>
        </w:tc>
      </w:tr>
      <w:tr w14:paraId="7958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222" w:type="pct"/>
            <w:vAlign w:val="center"/>
          </w:tcPr>
          <w:p w14:paraId="5F4CB9CE">
            <w:pPr>
              <w:spacing w:after="240"/>
              <w:jc w:val="center"/>
              <w:rPr>
                <w:rFonts w:cstheme="minorHAnsi"/>
                <w:sz w:val="18"/>
                <w:szCs w:val="18"/>
              </w:rPr>
            </w:pPr>
            <w:r>
              <w:rPr>
                <w:rFonts w:cstheme="minorHAnsi"/>
                <w:sz w:val="18"/>
                <w:szCs w:val="18"/>
              </w:rPr>
              <w:t>NCS-PT105IIMS</w:t>
            </w:r>
          </w:p>
        </w:tc>
        <w:tc>
          <w:tcPr>
            <w:tcW w:w="2778" w:type="pct"/>
            <w:vAlign w:val="center"/>
          </w:tcPr>
          <w:p w14:paraId="1D8102E2">
            <w:pPr>
              <w:keepNext/>
              <w:spacing w:after="240"/>
              <w:rPr>
                <w:rFonts w:cstheme="minorHAnsi"/>
                <w:sz w:val="18"/>
                <w:szCs w:val="18"/>
              </w:rPr>
            </w:pPr>
            <w:r>
              <w:rPr>
                <w:rFonts w:cstheme="minorHAnsi"/>
                <w:sz w:val="18"/>
                <w:szCs w:val="18"/>
              </w:rPr>
              <w:t>Monocrystalline silicon pressure sensor, vertical mount</w:t>
            </w:r>
          </w:p>
        </w:tc>
      </w:tr>
    </w:tbl>
    <w:p w14:paraId="4C71F1C3">
      <w:pPr>
        <w:pStyle w:val="40"/>
        <w:spacing w:before="120" w:beforeLines="50" w:after="240" w:line="240" w:lineRule="auto"/>
        <w:ind w:left="0"/>
        <w:rPr>
          <w:rFonts w:cstheme="minorHAnsi"/>
          <w:sz w:val="21"/>
          <w:szCs w:val="21"/>
        </w:rPr>
      </w:pPr>
      <w:r>
        <w:rPr>
          <w:rFonts w:cstheme="minorHAnsi"/>
          <w:sz w:val="21"/>
          <w:szCs w:val="21"/>
        </w:rPr>
        <w:t>NCS-PT105II series intelligent pressure transmitters are divided into three types according to the pressure types that can be measured:</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0"/>
        <w:gridCol w:w="5539"/>
      </w:tblGrid>
      <w:tr w14:paraId="5DE5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222" w:type="pct"/>
            <w:shd w:val="clear" w:color="auto" w:fill="CCCCCC"/>
            <w:vAlign w:val="center"/>
          </w:tcPr>
          <w:p w14:paraId="4A54B15D">
            <w:pPr>
              <w:spacing w:after="240"/>
              <w:jc w:val="center"/>
              <w:rPr>
                <w:rFonts w:cstheme="minorHAnsi"/>
                <w:sz w:val="18"/>
                <w:szCs w:val="18"/>
              </w:rPr>
            </w:pPr>
            <w:r>
              <w:rPr>
                <w:rFonts w:cstheme="minorHAnsi"/>
                <w:sz w:val="18"/>
                <w:szCs w:val="18"/>
              </w:rPr>
              <w:t>Model</w:t>
            </w:r>
          </w:p>
        </w:tc>
        <w:tc>
          <w:tcPr>
            <w:tcW w:w="2778" w:type="pct"/>
            <w:shd w:val="clear" w:color="auto" w:fill="CCCCCC"/>
            <w:vAlign w:val="center"/>
          </w:tcPr>
          <w:p w14:paraId="2E25095D">
            <w:pPr>
              <w:spacing w:after="240"/>
              <w:jc w:val="center"/>
              <w:rPr>
                <w:rFonts w:cstheme="minorHAnsi"/>
                <w:sz w:val="18"/>
                <w:szCs w:val="18"/>
              </w:rPr>
            </w:pPr>
            <w:r>
              <w:rPr>
                <w:rFonts w:cstheme="minorHAnsi"/>
                <w:sz w:val="18"/>
                <w:szCs w:val="18"/>
              </w:rPr>
              <w:t>Pressure Type</w:t>
            </w:r>
          </w:p>
        </w:tc>
      </w:tr>
      <w:tr w14:paraId="4781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222" w:type="pct"/>
            <w:vAlign w:val="center"/>
          </w:tcPr>
          <w:p w14:paraId="355839DA">
            <w:pPr>
              <w:spacing w:after="240"/>
              <w:jc w:val="center"/>
              <w:rPr>
                <w:rFonts w:cstheme="minorHAnsi"/>
                <w:sz w:val="18"/>
                <w:szCs w:val="18"/>
              </w:rPr>
            </w:pPr>
            <w:r>
              <w:rPr>
                <w:rFonts w:cstheme="minorHAnsi"/>
                <w:sz w:val="18"/>
                <w:szCs w:val="18"/>
              </w:rPr>
              <w:t>SG</w:t>
            </w:r>
          </w:p>
        </w:tc>
        <w:tc>
          <w:tcPr>
            <w:tcW w:w="2778" w:type="pct"/>
            <w:vAlign w:val="center"/>
          </w:tcPr>
          <w:p w14:paraId="14B038D7">
            <w:pPr>
              <w:spacing w:after="240"/>
              <w:rPr>
                <w:rFonts w:cstheme="minorHAnsi"/>
                <w:sz w:val="18"/>
                <w:szCs w:val="18"/>
              </w:rPr>
            </w:pPr>
            <w:r>
              <w:rPr>
                <w:rFonts w:cstheme="minorHAnsi"/>
                <w:sz w:val="18"/>
                <w:szCs w:val="18"/>
              </w:rPr>
              <w:t>Gauge pressure transmitter</w:t>
            </w:r>
          </w:p>
        </w:tc>
      </w:tr>
      <w:tr w14:paraId="1F1F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222" w:type="pct"/>
            <w:vAlign w:val="center"/>
          </w:tcPr>
          <w:p w14:paraId="445B24B1">
            <w:pPr>
              <w:spacing w:after="240"/>
              <w:jc w:val="center"/>
              <w:rPr>
                <w:rFonts w:cstheme="minorHAnsi"/>
                <w:sz w:val="18"/>
                <w:szCs w:val="18"/>
              </w:rPr>
            </w:pPr>
            <w:r>
              <w:rPr>
                <w:rFonts w:cstheme="minorHAnsi"/>
                <w:sz w:val="18"/>
                <w:szCs w:val="18"/>
              </w:rPr>
              <w:t>SA</w:t>
            </w:r>
          </w:p>
        </w:tc>
        <w:tc>
          <w:tcPr>
            <w:tcW w:w="2778" w:type="pct"/>
            <w:vAlign w:val="center"/>
          </w:tcPr>
          <w:p w14:paraId="779B6287">
            <w:pPr>
              <w:spacing w:after="240"/>
              <w:rPr>
                <w:rFonts w:cstheme="minorHAnsi"/>
                <w:sz w:val="18"/>
                <w:szCs w:val="18"/>
              </w:rPr>
            </w:pPr>
            <w:r>
              <w:rPr>
                <w:rFonts w:cstheme="minorHAnsi"/>
                <w:sz w:val="18"/>
                <w:szCs w:val="18"/>
              </w:rPr>
              <w:t>Absolute pressure transmitter</w:t>
            </w:r>
          </w:p>
        </w:tc>
      </w:tr>
      <w:tr w14:paraId="2119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222" w:type="pct"/>
            <w:vAlign w:val="center"/>
          </w:tcPr>
          <w:p w14:paraId="23DA1CE9">
            <w:pPr>
              <w:spacing w:after="240"/>
              <w:jc w:val="center"/>
              <w:rPr>
                <w:rFonts w:cstheme="minorHAnsi"/>
                <w:sz w:val="18"/>
                <w:szCs w:val="18"/>
              </w:rPr>
            </w:pPr>
            <w:r>
              <w:rPr>
                <w:rFonts w:cstheme="minorHAnsi"/>
                <w:sz w:val="18"/>
                <w:szCs w:val="18"/>
              </w:rPr>
              <w:t>SD</w:t>
            </w:r>
          </w:p>
        </w:tc>
        <w:tc>
          <w:tcPr>
            <w:tcW w:w="2778" w:type="pct"/>
            <w:vAlign w:val="center"/>
          </w:tcPr>
          <w:p w14:paraId="0193E087">
            <w:pPr>
              <w:spacing w:after="240"/>
              <w:rPr>
                <w:rFonts w:cstheme="minorHAnsi"/>
                <w:sz w:val="18"/>
                <w:szCs w:val="18"/>
              </w:rPr>
            </w:pPr>
            <w:r>
              <w:rPr>
                <w:rFonts w:cstheme="minorHAnsi"/>
                <w:sz w:val="18"/>
                <w:szCs w:val="18"/>
              </w:rPr>
              <w:t>Differential pressure transmitter</w:t>
            </w:r>
          </w:p>
        </w:tc>
      </w:tr>
    </w:tbl>
    <w:p w14:paraId="6375CF85">
      <w:pPr>
        <w:pStyle w:val="40"/>
        <w:spacing w:before="120" w:beforeLines="50" w:after="240" w:line="240" w:lineRule="auto"/>
        <w:ind w:left="0"/>
        <w:rPr>
          <w:rFonts w:cstheme="minorHAnsi"/>
          <w:sz w:val="21"/>
          <w:szCs w:val="21"/>
        </w:rPr>
      </w:pPr>
      <w:bookmarkStart w:id="1" w:name="_Toc165164060"/>
      <w:bookmarkStart w:id="2" w:name="_Toc165172476"/>
      <w:bookmarkStart w:id="3" w:name="_Toc165177438"/>
      <w:bookmarkStart w:id="4" w:name="_Toc166471607"/>
      <w:r>
        <w:rPr>
          <w:rFonts w:cstheme="minorHAnsi"/>
          <w:sz w:val="21"/>
          <w:szCs w:val="21"/>
        </w:rPr>
        <w:t>NCS-PT105II series intelligent pressure transmitters are divided into four types according to the type of bus protocol：</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0"/>
        <w:gridCol w:w="5539"/>
      </w:tblGrid>
      <w:tr w14:paraId="4A58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222" w:type="pct"/>
            <w:shd w:val="clear" w:color="auto" w:fill="CCCCCC"/>
            <w:vAlign w:val="center"/>
          </w:tcPr>
          <w:p w14:paraId="39A71E56">
            <w:pPr>
              <w:spacing w:after="240"/>
              <w:jc w:val="center"/>
              <w:rPr>
                <w:rFonts w:cstheme="minorHAnsi"/>
                <w:sz w:val="18"/>
                <w:szCs w:val="18"/>
              </w:rPr>
            </w:pPr>
            <w:r>
              <w:rPr>
                <w:rFonts w:cstheme="minorHAnsi"/>
                <w:sz w:val="18"/>
                <w:szCs w:val="18"/>
              </w:rPr>
              <w:t>Model</w:t>
            </w:r>
          </w:p>
        </w:tc>
        <w:tc>
          <w:tcPr>
            <w:tcW w:w="2778" w:type="pct"/>
            <w:shd w:val="clear" w:color="auto" w:fill="CCCCCC"/>
            <w:vAlign w:val="center"/>
          </w:tcPr>
          <w:p w14:paraId="5B439285">
            <w:pPr>
              <w:spacing w:after="240"/>
              <w:jc w:val="center"/>
              <w:rPr>
                <w:rFonts w:cstheme="minorHAnsi"/>
                <w:sz w:val="18"/>
                <w:szCs w:val="18"/>
              </w:rPr>
            </w:pPr>
            <w:r>
              <w:rPr>
                <w:rFonts w:cstheme="minorHAnsi"/>
                <w:sz w:val="18"/>
                <w:szCs w:val="18"/>
              </w:rPr>
              <w:t>Protocol Type</w:t>
            </w:r>
          </w:p>
        </w:tc>
      </w:tr>
      <w:tr w14:paraId="056F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222" w:type="pct"/>
            <w:vAlign w:val="center"/>
          </w:tcPr>
          <w:p w14:paraId="5037AF86">
            <w:pPr>
              <w:spacing w:after="240"/>
              <w:jc w:val="center"/>
              <w:rPr>
                <w:rFonts w:cstheme="minorHAnsi"/>
                <w:sz w:val="18"/>
                <w:szCs w:val="18"/>
              </w:rPr>
            </w:pPr>
            <w:r>
              <w:rPr>
                <w:rFonts w:cstheme="minorHAnsi"/>
                <w:sz w:val="18"/>
                <w:szCs w:val="18"/>
              </w:rPr>
              <w:t>H</w:t>
            </w:r>
          </w:p>
        </w:tc>
        <w:tc>
          <w:tcPr>
            <w:tcW w:w="2778" w:type="pct"/>
            <w:vAlign w:val="center"/>
          </w:tcPr>
          <w:p w14:paraId="03559634">
            <w:pPr>
              <w:spacing w:after="240"/>
              <w:rPr>
                <w:rFonts w:cstheme="minorHAnsi"/>
                <w:sz w:val="18"/>
                <w:szCs w:val="18"/>
              </w:rPr>
            </w:pPr>
            <w:r>
              <w:rPr>
                <w:rFonts w:cstheme="minorHAnsi"/>
                <w:sz w:val="18"/>
                <w:szCs w:val="18"/>
              </w:rPr>
              <w:t>HART</w:t>
            </w:r>
          </w:p>
        </w:tc>
      </w:tr>
      <w:tr w14:paraId="50C7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222" w:type="pct"/>
            <w:vAlign w:val="center"/>
          </w:tcPr>
          <w:p w14:paraId="33BB9920">
            <w:pPr>
              <w:spacing w:after="240"/>
              <w:jc w:val="center"/>
              <w:rPr>
                <w:rFonts w:cstheme="minorHAnsi"/>
                <w:sz w:val="18"/>
                <w:szCs w:val="18"/>
              </w:rPr>
            </w:pPr>
            <w:r>
              <w:rPr>
                <w:rFonts w:cstheme="minorHAnsi"/>
                <w:sz w:val="18"/>
                <w:szCs w:val="18"/>
              </w:rPr>
              <w:t>F</w:t>
            </w:r>
          </w:p>
        </w:tc>
        <w:tc>
          <w:tcPr>
            <w:tcW w:w="2778" w:type="pct"/>
            <w:vAlign w:val="center"/>
          </w:tcPr>
          <w:p w14:paraId="3EEE2329">
            <w:pPr>
              <w:spacing w:after="240"/>
              <w:rPr>
                <w:rFonts w:cstheme="minorHAnsi"/>
                <w:sz w:val="18"/>
                <w:szCs w:val="18"/>
              </w:rPr>
            </w:pPr>
            <w:r>
              <w:rPr>
                <w:rFonts w:cstheme="minorHAnsi"/>
                <w:sz w:val="18"/>
                <w:szCs w:val="18"/>
              </w:rPr>
              <w:t>FF H1</w:t>
            </w:r>
          </w:p>
        </w:tc>
      </w:tr>
      <w:tr w14:paraId="7F52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2222" w:type="pct"/>
            <w:vAlign w:val="center"/>
          </w:tcPr>
          <w:p w14:paraId="1A48AB50">
            <w:pPr>
              <w:spacing w:after="240"/>
              <w:jc w:val="center"/>
              <w:rPr>
                <w:rFonts w:cstheme="minorHAnsi"/>
                <w:sz w:val="18"/>
                <w:szCs w:val="18"/>
              </w:rPr>
            </w:pPr>
            <w:r>
              <w:rPr>
                <w:rFonts w:cstheme="minorHAnsi"/>
                <w:sz w:val="18"/>
                <w:szCs w:val="18"/>
              </w:rPr>
              <w:t>P</w:t>
            </w:r>
          </w:p>
        </w:tc>
        <w:tc>
          <w:tcPr>
            <w:tcW w:w="2778" w:type="pct"/>
            <w:vAlign w:val="center"/>
          </w:tcPr>
          <w:p w14:paraId="70E0E8DD">
            <w:pPr>
              <w:spacing w:after="240"/>
              <w:rPr>
                <w:rFonts w:cstheme="minorHAnsi"/>
                <w:sz w:val="18"/>
                <w:szCs w:val="18"/>
              </w:rPr>
            </w:pPr>
            <w:r>
              <w:rPr>
                <w:rFonts w:cstheme="minorHAnsi"/>
                <w:sz w:val="18"/>
                <w:szCs w:val="18"/>
              </w:rPr>
              <w:t>PROFIBUS PA</w:t>
            </w:r>
          </w:p>
        </w:tc>
      </w:tr>
      <w:tr w14:paraId="21FD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2222" w:type="pct"/>
            <w:vAlign w:val="center"/>
          </w:tcPr>
          <w:p w14:paraId="127E3146">
            <w:pPr>
              <w:spacing w:after="240"/>
              <w:jc w:val="center"/>
              <w:rPr>
                <w:rFonts w:cstheme="minorHAnsi"/>
                <w:sz w:val="18"/>
                <w:szCs w:val="18"/>
              </w:rPr>
            </w:pPr>
            <w:r>
              <w:rPr>
                <w:rFonts w:cstheme="minorHAnsi"/>
                <w:sz w:val="18"/>
                <w:szCs w:val="18"/>
              </w:rPr>
              <w:t>D</w:t>
            </w:r>
          </w:p>
        </w:tc>
        <w:tc>
          <w:tcPr>
            <w:tcW w:w="2778" w:type="pct"/>
            <w:vAlign w:val="center"/>
          </w:tcPr>
          <w:p w14:paraId="0E34FDE9">
            <w:pPr>
              <w:spacing w:after="240"/>
              <w:rPr>
                <w:rFonts w:cstheme="minorHAnsi"/>
                <w:sz w:val="18"/>
                <w:szCs w:val="18"/>
              </w:rPr>
            </w:pPr>
            <w:r>
              <w:rPr>
                <w:rFonts w:cstheme="minorHAnsi"/>
                <w:sz w:val="18"/>
                <w:szCs w:val="18"/>
              </w:rPr>
              <w:t>PROFIBUS DP</w:t>
            </w:r>
          </w:p>
        </w:tc>
      </w:tr>
      <w:tr w14:paraId="45BB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2222" w:type="pct"/>
            <w:vAlign w:val="center"/>
          </w:tcPr>
          <w:p w14:paraId="7A704FF2">
            <w:pPr>
              <w:spacing w:after="240"/>
              <w:jc w:val="center"/>
              <w:rPr>
                <w:rFonts w:cstheme="minorHAnsi"/>
                <w:sz w:val="18"/>
                <w:szCs w:val="18"/>
              </w:rPr>
            </w:pPr>
            <w:r>
              <w:rPr>
                <w:rFonts w:ascii="Calibri" w:hAnsi="Calibri" w:cs="Calibri"/>
                <w:sz w:val="18"/>
                <w:szCs w:val="18"/>
              </w:rPr>
              <w:t>W</w:t>
            </w:r>
          </w:p>
        </w:tc>
        <w:tc>
          <w:tcPr>
            <w:tcW w:w="2778" w:type="pct"/>
            <w:vAlign w:val="center"/>
          </w:tcPr>
          <w:p w14:paraId="41B7DD91">
            <w:pPr>
              <w:spacing w:after="240"/>
              <w:rPr>
                <w:rFonts w:cstheme="minorHAnsi"/>
                <w:sz w:val="18"/>
                <w:szCs w:val="18"/>
              </w:rPr>
            </w:pPr>
            <w:r>
              <w:rPr>
                <w:rFonts w:hint="eastAsia" w:ascii="Calibri" w:hAnsi="Calibri" w:cs="Calibri"/>
                <w:sz w:val="18"/>
                <w:szCs w:val="18"/>
              </w:rPr>
              <w:t>W</w:t>
            </w:r>
            <w:r>
              <w:rPr>
                <w:rFonts w:ascii="Calibri" w:hAnsi="Calibri" w:cs="Calibri"/>
                <w:sz w:val="18"/>
                <w:szCs w:val="18"/>
              </w:rPr>
              <w:t>irelessHART</w:t>
            </w:r>
          </w:p>
        </w:tc>
      </w:tr>
    </w:tbl>
    <w:p w14:paraId="14FC3008">
      <w:pPr>
        <w:spacing w:after="240"/>
        <w:rPr>
          <w:rFonts w:cstheme="minorHAnsi"/>
        </w:rPr>
      </w:pPr>
      <w:r>
        <w:rPr>
          <w:rFonts w:cstheme="minorHAnsi"/>
        </w:rPr>
        <w:t>As a transitional protocol in the field bus, the HART protocol realizes digital transmission on the existing analog signal transmission line and is compatible with the existing analog signal control system; FF H1 and PROFIBUS PA are used in the control field and connect field devices. The new generation of digital communication protocol, the physical layer specification adopts the international standard of IEC61158-2. FF H1, PROFIBUS PA and PROFIBUS DP are real fieldbuses.</w:t>
      </w:r>
    </w:p>
    <w:p w14:paraId="29CB7122">
      <w:pPr>
        <w:spacing w:after="240"/>
        <w:rPr>
          <w:rFonts w:cstheme="minorHAnsi"/>
        </w:rPr>
      </w:pPr>
      <w:r>
        <w:rPr>
          <w:rFonts w:cstheme="minorHAnsi"/>
        </w:rPr>
        <w:t xml:space="preserve">Intelligent transmitter based on HART protocol, hereinafter referred to as </w:t>
      </w:r>
      <w:r>
        <w:rPr>
          <w:rFonts w:cstheme="minorHAnsi"/>
          <w:b/>
          <w:bCs/>
        </w:rPr>
        <w:t>HART intelligent transmitter</w:t>
      </w:r>
      <w:r>
        <w:rPr>
          <w:rFonts w:cstheme="minorHAnsi"/>
        </w:rPr>
        <w:t xml:space="preserve">; intelligent transmitter based on FF H1 protocol, hereinafter referred to as </w:t>
      </w:r>
      <w:r>
        <w:rPr>
          <w:rFonts w:cstheme="minorHAnsi"/>
          <w:b/>
          <w:bCs/>
        </w:rPr>
        <w:t>FF intelligent transmitter</w:t>
      </w:r>
      <w:r>
        <w:rPr>
          <w:rFonts w:cstheme="minorHAnsi"/>
        </w:rPr>
        <w:t xml:space="preserve">; intelligent transmitter based on PROFIBUS PA protocol, hereinafter referred to as </w:t>
      </w:r>
      <w:r>
        <w:rPr>
          <w:rFonts w:cstheme="minorHAnsi"/>
          <w:b/>
          <w:bCs/>
        </w:rPr>
        <w:t>PA intelligent transmitter</w:t>
      </w:r>
      <w:r>
        <w:rPr>
          <w:rFonts w:cstheme="minorHAnsi"/>
        </w:rPr>
        <w:t xml:space="preserve">; intelligent transmitter based on PROFIBUS DP protocol, hereinafter referred to as </w:t>
      </w:r>
      <w:r>
        <w:rPr>
          <w:rFonts w:cstheme="minorHAnsi"/>
          <w:b/>
          <w:bCs/>
        </w:rPr>
        <w:t>DP intelligent transmitter</w:t>
      </w:r>
      <w:r>
        <w:rPr>
          <w:rFonts w:cstheme="minorHAnsi"/>
        </w:rPr>
        <w:t xml:space="preserve">; intelligent transmitter based on </w:t>
      </w:r>
      <w:r>
        <w:rPr>
          <w:rFonts w:hint="eastAsia" w:cstheme="minorHAnsi"/>
        </w:rPr>
        <w:t>Wireless</w:t>
      </w:r>
      <w:r>
        <w:rPr>
          <w:rFonts w:cstheme="minorHAnsi"/>
        </w:rPr>
        <w:t xml:space="preserve">HART protocol, hereinafter referred to as </w:t>
      </w:r>
      <w:r>
        <w:rPr>
          <w:rFonts w:hint="eastAsia" w:cstheme="minorHAnsi"/>
          <w:b/>
          <w:bCs/>
        </w:rPr>
        <w:t>Wireless</w:t>
      </w:r>
      <w:r>
        <w:rPr>
          <w:rFonts w:cstheme="minorHAnsi"/>
          <w:b/>
          <w:bCs/>
        </w:rPr>
        <w:t>HART intelligent transmitter</w:t>
      </w:r>
      <w:r>
        <w:rPr>
          <w:rFonts w:cstheme="minorHAnsi"/>
        </w:rPr>
        <w:t xml:space="preserve"> transmitters of the five bus types are collectively referred to as intelligent pressure transmitter, hereinafter referred to as </w:t>
      </w:r>
      <w:r>
        <w:rPr>
          <w:rFonts w:cstheme="minorHAnsi"/>
          <w:b/>
          <w:bCs/>
        </w:rPr>
        <w:t>intelligent transmitter</w:t>
      </w:r>
      <w:r>
        <w:rPr>
          <w:rFonts w:cstheme="minorHAnsi"/>
        </w:rPr>
        <w:t>.</w:t>
      </w:r>
    </w:p>
    <w:p w14:paraId="7CBFF11A">
      <w:pPr>
        <w:widowControl/>
        <w:spacing w:after="240"/>
        <w:jc w:val="left"/>
        <w:rPr>
          <w:rFonts w:cstheme="minorHAnsi"/>
          <w:kern w:val="0"/>
        </w:rPr>
      </w:pPr>
      <w:r>
        <w:rPr>
          <w:rFonts w:cstheme="minorHAnsi"/>
        </w:rPr>
        <w:br w:type="page"/>
      </w:r>
    </w:p>
    <w:p w14:paraId="6A9164C9">
      <w:pPr>
        <w:pStyle w:val="40"/>
        <w:numPr>
          <w:ilvl w:val="0"/>
          <w:numId w:val="6"/>
        </w:numPr>
        <w:spacing w:after="240" w:line="240" w:lineRule="auto"/>
        <w:rPr>
          <w:rFonts w:cstheme="minorHAnsi"/>
          <w:bCs/>
          <w:sz w:val="21"/>
          <w:szCs w:val="21"/>
        </w:rPr>
      </w:pPr>
      <w:r>
        <w:rPr>
          <w:rFonts w:cstheme="minorHAnsi"/>
          <w:bCs/>
          <w:sz w:val="21"/>
          <w:szCs w:val="21"/>
        </w:rPr>
        <w:t>Dimensions of NCS-PT105IIM intelligent transmitters</w:t>
      </w:r>
    </w:p>
    <w:p w14:paraId="66D4540D">
      <w:pPr>
        <w:spacing w:after="240"/>
        <w:rPr>
          <w:rFonts w:cstheme="minorHAnsi"/>
        </w:rPr>
      </w:pPr>
    </w:p>
    <w:p w14:paraId="7AA9592D">
      <w:pPr>
        <w:keepNext/>
        <w:spacing w:after="240"/>
        <w:jc w:val="center"/>
        <w:rPr>
          <w:rFonts w:cstheme="minorHAnsi"/>
        </w:rPr>
      </w:pPr>
      <w:r>
        <w:rPr>
          <w:rFonts w:cstheme="minorHAnsi"/>
        </w:rPr>
        <w:drawing>
          <wp:inline distT="0" distB="0" distL="0" distR="0">
            <wp:extent cx="4091305" cy="2876550"/>
            <wp:effectExtent l="0" t="0" r="444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112580" cy="2891263"/>
                    </a:xfrm>
                    <a:prstGeom prst="rect">
                      <a:avLst/>
                    </a:prstGeom>
                    <a:noFill/>
                    <a:ln>
                      <a:noFill/>
                    </a:ln>
                  </pic:spPr>
                </pic:pic>
              </a:graphicData>
            </a:graphic>
          </wp:inline>
        </w:drawing>
      </w:r>
    </w:p>
    <w:p w14:paraId="4DCF071D">
      <w:pPr>
        <w:pStyle w:val="12"/>
        <w:spacing w:before="120" w:after="120"/>
        <w:rPr>
          <w:rFonts w:asciiTheme="minorHAnsi" w:hAnsiTheme="minorHAnsi" w:cstheme="minorHAnsi"/>
          <w:szCs w:val="18"/>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图 \* ARABIC \s 1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cstheme="minorHAnsi"/>
          <w:szCs w:val="18"/>
        </w:rPr>
        <w:t>Dimensions of intelligent transmitter（unit：mm）</w:t>
      </w:r>
    </w:p>
    <w:p w14:paraId="2467359A">
      <w:pPr>
        <w:numPr>
          <w:ilvl w:val="0"/>
          <w:numId w:val="6"/>
        </w:numPr>
        <w:tabs>
          <w:tab w:val="left" w:pos="0"/>
          <w:tab w:val="clear" w:pos="420"/>
        </w:tabs>
        <w:adjustRightInd w:val="0"/>
        <w:spacing w:after="240"/>
        <w:ind w:left="0" w:firstLine="0"/>
        <w:jc w:val="left"/>
        <w:textAlignment w:val="baseline"/>
        <w:rPr>
          <w:rFonts w:cstheme="minorHAnsi"/>
          <w:b/>
          <w:kern w:val="0"/>
        </w:rPr>
      </w:pPr>
      <w:r>
        <w:rPr>
          <w:rFonts w:cstheme="minorHAnsi"/>
          <w:bCs/>
        </w:rPr>
        <w:t xml:space="preserve">Dimensions of NCS-PT105IISM Intelligent Transmitter </w:t>
      </w:r>
    </w:p>
    <w:p w14:paraId="39185290">
      <w:pPr>
        <w:tabs>
          <w:tab w:val="left" w:pos="0"/>
        </w:tabs>
        <w:adjustRightInd w:val="0"/>
        <w:spacing w:after="240"/>
        <w:jc w:val="left"/>
        <w:textAlignment w:val="baseline"/>
        <w:rPr>
          <w:rFonts w:cstheme="minorHAnsi"/>
          <w:b/>
          <w:kern w:val="0"/>
        </w:rPr>
      </w:pPr>
    </w:p>
    <w:p w14:paraId="26802D96">
      <w:pPr>
        <w:keepNext/>
        <w:spacing w:after="240"/>
        <w:jc w:val="center"/>
        <w:rPr>
          <w:rFonts w:cstheme="minorHAnsi"/>
        </w:rPr>
      </w:pPr>
      <w:r>
        <w:rPr>
          <w:rFonts w:cstheme="minorHAnsi"/>
        </w:rPr>
        <w:drawing>
          <wp:inline distT="0" distB="0" distL="0" distR="0">
            <wp:extent cx="4276090" cy="2336165"/>
            <wp:effectExtent l="0" t="0" r="0" b="6985"/>
            <wp:docPr id="2" name="图片 2" descr="C:\Users\SUN~1.WEN\AppData\Local\Temp\16274523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SUN~1.WEN\AppData\Local\Temp\1627452311(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295414" cy="2346652"/>
                    </a:xfrm>
                    <a:prstGeom prst="rect">
                      <a:avLst/>
                    </a:prstGeom>
                    <a:noFill/>
                    <a:ln>
                      <a:noFill/>
                    </a:ln>
                  </pic:spPr>
                </pic:pic>
              </a:graphicData>
            </a:graphic>
          </wp:inline>
        </w:drawing>
      </w:r>
    </w:p>
    <w:p w14:paraId="1E61A8C3">
      <w:pPr>
        <w:pStyle w:val="12"/>
        <w:spacing w:before="120" w:after="120"/>
        <w:rPr>
          <w:rFonts w:asciiTheme="minorHAnsi" w:hAnsiTheme="minorHAnsi" w:cstheme="minorHAnsi"/>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图 \* ARABIC \s 1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cstheme="minorHAnsi"/>
          <w:szCs w:val="18"/>
        </w:rPr>
        <w:t>Dimensions of intelligent transmitter (unit：mm）</w:t>
      </w:r>
    </w:p>
    <w:p w14:paraId="23940F71">
      <w:pPr>
        <w:spacing w:after="240"/>
        <w:rPr>
          <w:rFonts w:cstheme="minorHAnsi"/>
          <w:sz w:val="18"/>
          <w:szCs w:val="18"/>
        </w:rPr>
      </w:pPr>
    </w:p>
    <w:p w14:paraId="02212A49">
      <w:pPr>
        <w:spacing w:after="240"/>
        <w:rPr>
          <w:rFonts w:cstheme="minorHAnsi"/>
        </w:rPr>
        <w:sectPr>
          <w:footerReference r:id="rId12" w:type="default"/>
          <w:pgSz w:w="11907" w:h="16840"/>
          <w:pgMar w:top="1554" w:right="1077" w:bottom="1134" w:left="1077" w:header="680" w:footer="680" w:gutter="0"/>
          <w:pgNumType w:start="1"/>
          <w:cols w:space="425" w:num="1"/>
          <w:docGrid w:linePitch="312" w:charSpace="48128"/>
        </w:sectPr>
      </w:pPr>
    </w:p>
    <w:p w14:paraId="4D5FE9E4">
      <w:pPr>
        <w:pStyle w:val="2"/>
      </w:pPr>
      <w:bookmarkStart w:id="5" w:name="_Toc199429737"/>
      <w:r>
        <w:t>Installation</w:t>
      </w:r>
      <w:bookmarkEnd w:id="5"/>
    </w:p>
    <w:p w14:paraId="739CB295">
      <w:pPr>
        <w:pStyle w:val="40"/>
        <w:spacing w:after="240" w:line="240" w:lineRule="auto"/>
        <w:ind w:left="0"/>
        <w:rPr>
          <w:rFonts w:cstheme="minorHAnsi"/>
          <w:sz w:val="21"/>
          <w:szCs w:val="21"/>
        </w:rPr>
      </w:pPr>
      <w:r>
        <w:rPr>
          <w:rFonts w:cstheme="minorHAnsi"/>
          <w:sz w:val="21"/>
          <w:szCs w:val="21"/>
        </w:rPr>
        <w:t>The guarantee of the measurement accuracy of the intelligent transmitter depends largely on the correct installation of the intelligent transmitter and the impulse pipe. In particular, the measurement of flow has a lot to do with the correct installation of the primary measuring element.</w:t>
      </w:r>
    </w:p>
    <w:p w14:paraId="5D7BFE68">
      <w:pPr>
        <w:pStyle w:val="3"/>
        <w:spacing w:before="120" w:beforeLines="50" w:after="120" w:afterLines="50" w:line="240" w:lineRule="auto"/>
        <w:ind w:left="578" w:hanging="578"/>
        <w:rPr>
          <w:rFonts w:asciiTheme="minorHAnsi" w:hAnsiTheme="minorHAnsi" w:cstheme="minorHAnsi"/>
        </w:rPr>
      </w:pPr>
      <w:bookmarkStart w:id="6" w:name="_Toc199429738"/>
      <w:r>
        <w:rPr>
          <w:rFonts w:asciiTheme="minorHAnsi" w:hAnsiTheme="minorHAnsi" w:cstheme="minorHAnsi"/>
        </w:rPr>
        <w:t>NCS-PT105IIM transmitter installation</w:t>
      </w:r>
      <w:bookmarkEnd w:id="6"/>
    </w:p>
    <w:p w14:paraId="78DBB46B">
      <w:pPr>
        <w:spacing w:after="240"/>
        <w:rPr>
          <w:rFonts w:cstheme="minorHAnsi"/>
        </w:rPr>
      </w:pPr>
      <w:r>
        <w:rPr>
          <w:rFonts w:cstheme="minorHAnsi"/>
        </w:rPr>
        <w:t>For the installation of the intelligent transmitter, there are three types of mounting brackets available: pipe-mounted flat brackets, pipe-mounted curved brackets, and disk-mounted curved brackets. Correspondingly, there are three installation methods, namely flat bracket tube installation, curved bracket tube installation, and curved bracket plate installation.</w:t>
      </w:r>
    </w:p>
    <w:p w14:paraId="1FA56881">
      <w:pPr>
        <w:spacing w:after="240"/>
        <w:rPr>
          <w:rFonts w:cstheme="minorHAnsi"/>
        </w:rPr>
      </w:pPr>
      <w:r>
        <w:rPr>
          <w:rFonts w:cstheme="minorHAnsi"/>
        </w:rPr>
        <w:t>Flat bracket tube installation is shown in Figure 2.1 .Use the 4 bolts provided to fix the transmitter on the panel mount bracket, and then use M10 bolts (user-supplied) to fix the panel mount bracket to the dial.</w:t>
      </w:r>
    </w:p>
    <w:p w14:paraId="27A6EB9D">
      <w:pPr>
        <w:spacing w:after="240"/>
        <w:rPr>
          <w:rFonts w:cstheme="minorHAnsi"/>
        </w:rPr>
      </w:pPr>
      <w:r>
        <w:rPr>
          <w:rFonts w:cstheme="minorHAnsi"/>
        </w:rPr>
        <w:t>Curved bracket tube installation is shown in Figure 2.2. Use the 4 bolts provided to fix the transmitter on the pipe bend bracket, and then fix the pipe bend bracket to the horizontal pipe of about Φ50 mm through U-bolts.</w:t>
      </w:r>
    </w:p>
    <w:p w14:paraId="49A9BC34">
      <w:pPr>
        <w:spacing w:after="240"/>
        <w:rPr>
          <w:rFonts w:cstheme="minorHAnsi"/>
        </w:rPr>
      </w:pPr>
      <w:r>
        <w:rPr>
          <w:rFonts w:cstheme="minorHAnsi"/>
        </w:rPr>
        <w:t>Curved bracket plate installation is shown in Figure 2.3. Use the 4 bolts provided to fix the transmitter on the tube-mounted flat bracket, and then fix the tube-mounted flat bracket to the vertical tube of about Φ50 mm through U-bolts.</w:t>
      </w:r>
    </w:p>
    <w:p w14:paraId="0FA5EC63">
      <w:pPr>
        <w:pStyle w:val="40"/>
        <w:keepNext/>
        <w:spacing w:before="120" w:beforeLines="50" w:after="240" w:line="240" w:lineRule="auto"/>
        <w:rPr>
          <w:rFonts w:cstheme="minorHAnsi"/>
        </w:rPr>
      </w:pPr>
      <w:r>
        <w:rPr>
          <w:rFonts w:cstheme="minorHAnsi"/>
          <w:sz w:val="21"/>
          <w:szCs w:val="21"/>
        </w:rPr>
        <w:drawing>
          <wp:inline distT="0" distB="0" distL="0" distR="0">
            <wp:extent cx="1841500" cy="200025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841500" cy="2000250"/>
                    </a:xfrm>
                    <a:prstGeom prst="rect">
                      <a:avLst/>
                    </a:prstGeom>
                    <a:noFill/>
                    <a:ln>
                      <a:noFill/>
                    </a:ln>
                  </pic:spPr>
                </pic:pic>
              </a:graphicData>
            </a:graphic>
          </wp:inline>
        </w:drawing>
      </w:r>
      <w:r>
        <w:rPr>
          <w:rFonts w:cstheme="minorHAnsi"/>
          <w:sz w:val="21"/>
          <w:szCs w:val="21"/>
        </w:rPr>
        <w:t xml:space="preserve">    </w:t>
      </w:r>
      <w:r>
        <w:rPr>
          <w:rFonts w:cstheme="minorHAnsi"/>
          <w:sz w:val="21"/>
          <w:szCs w:val="21"/>
        </w:rPr>
        <w:drawing>
          <wp:inline distT="0" distB="0" distL="0" distR="0">
            <wp:extent cx="1898650" cy="1936750"/>
            <wp:effectExtent l="0" t="0" r="635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898650" cy="1936750"/>
                    </a:xfrm>
                    <a:prstGeom prst="rect">
                      <a:avLst/>
                    </a:prstGeom>
                    <a:noFill/>
                    <a:ln>
                      <a:noFill/>
                    </a:ln>
                  </pic:spPr>
                </pic:pic>
              </a:graphicData>
            </a:graphic>
          </wp:inline>
        </w:drawing>
      </w:r>
      <w:r>
        <w:rPr>
          <w:rFonts w:cstheme="minorHAnsi"/>
          <w:sz w:val="21"/>
          <w:szCs w:val="21"/>
        </w:rPr>
        <w:t xml:space="preserve">  </w:t>
      </w:r>
      <w:r>
        <w:rPr>
          <w:rFonts w:cstheme="minorHAnsi"/>
          <w:sz w:val="21"/>
          <w:szCs w:val="21"/>
        </w:rPr>
        <w:drawing>
          <wp:inline distT="0" distB="0" distL="0" distR="0">
            <wp:extent cx="1327150" cy="196850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327150" cy="1968500"/>
                    </a:xfrm>
                    <a:prstGeom prst="rect">
                      <a:avLst/>
                    </a:prstGeom>
                    <a:noFill/>
                    <a:ln>
                      <a:noFill/>
                    </a:ln>
                  </pic:spPr>
                </pic:pic>
              </a:graphicData>
            </a:graphic>
          </wp:inline>
        </w:drawing>
      </w:r>
    </w:p>
    <w:p w14:paraId="6B6A4F1B">
      <w:pPr>
        <w:pStyle w:val="12"/>
        <w:spacing w:before="120" w:after="120"/>
        <w:ind w:left="60"/>
        <w:jc w:val="both"/>
        <w:rPr>
          <w:rFonts w:asciiTheme="minorHAnsi" w:hAnsiTheme="minorHAnsi" w:cstheme="minorHAnsi"/>
          <w:szCs w:val="18"/>
        </w:rPr>
      </w:pPr>
      <w:r>
        <w:rPr>
          <w:rFonts w:asciiTheme="minorHAnsi" w:hAnsiTheme="minorHAnsi" w:cstheme="minorHAnsi"/>
          <w:szCs w:val="18"/>
        </w:rPr>
        <w:t>Figure</w:t>
      </w:r>
      <w:r>
        <w:rPr>
          <w:rFonts w:asciiTheme="minorHAnsi" w:hAnsiTheme="minorHAnsi" w:cstheme="minorHAnsi"/>
          <w:szCs w:val="18"/>
        </w:rPr>
        <w:fldChar w:fldCharType="begin"/>
      </w:r>
      <w:r>
        <w:rPr>
          <w:rFonts w:asciiTheme="minorHAnsi" w:hAnsiTheme="minorHAnsi" w:cstheme="minorHAnsi"/>
          <w:szCs w:val="18"/>
        </w:rPr>
        <w:instrText xml:space="preserve"> STYLEREF 1 \s </w:instrText>
      </w:r>
      <w:r>
        <w:rPr>
          <w:rFonts w:asciiTheme="minorHAnsi" w:hAnsiTheme="minorHAnsi" w:cstheme="minorHAnsi"/>
          <w:szCs w:val="18"/>
        </w:rPr>
        <w:fldChar w:fldCharType="separate"/>
      </w:r>
      <w:r>
        <w:rPr>
          <w:rFonts w:asciiTheme="minorHAnsi" w:hAnsiTheme="minorHAnsi" w:cstheme="minorHAnsi"/>
          <w:szCs w:val="18"/>
        </w:rPr>
        <w:t>2</w:t>
      </w:r>
      <w:r>
        <w:rPr>
          <w:rFonts w:asciiTheme="minorHAnsi" w:hAnsiTheme="minorHAnsi" w:cstheme="minorHAnsi"/>
          <w:szCs w:val="18"/>
        </w:rPr>
        <w:fldChar w:fldCharType="end"/>
      </w:r>
      <w:r>
        <w:rPr>
          <w:rFonts w:asciiTheme="minorHAnsi" w:hAnsiTheme="minorHAnsi" w:cstheme="minorHAnsi"/>
          <w:szCs w:val="18"/>
        </w:rPr>
        <w:t>.</w:t>
      </w:r>
      <w:r>
        <w:rPr>
          <w:rFonts w:asciiTheme="minorHAnsi" w:hAnsiTheme="minorHAnsi" w:cstheme="minorHAnsi"/>
          <w:szCs w:val="18"/>
        </w:rPr>
        <w:fldChar w:fldCharType="begin"/>
      </w:r>
      <w:r>
        <w:rPr>
          <w:rFonts w:asciiTheme="minorHAnsi" w:hAnsiTheme="minorHAnsi" w:cstheme="minorHAnsi"/>
          <w:szCs w:val="18"/>
        </w:rPr>
        <w:instrText xml:space="preserve"> SEQ 图 \* ARABIC \s 1 </w:instrText>
      </w:r>
      <w:r>
        <w:rPr>
          <w:rFonts w:asciiTheme="minorHAnsi" w:hAnsiTheme="minorHAnsi" w:cstheme="minorHAnsi"/>
          <w:szCs w:val="18"/>
        </w:rPr>
        <w:fldChar w:fldCharType="separate"/>
      </w:r>
      <w:r>
        <w:rPr>
          <w:rFonts w:asciiTheme="minorHAnsi" w:hAnsiTheme="minorHAnsi" w:cstheme="minorHAnsi"/>
          <w:szCs w:val="18"/>
        </w:rPr>
        <w:t>1</w:t>
      </w:r>
      <w:r>
        <w:rPr>
          <w:rFonts w:asciiTheme="minorHAnsi" w:hAnsiTheme="minorHAnsi" w:cstheme="minorHAnsi"/>
          <w:szCs w:val="18"/>
        </w:rPr>
        <w:fldChar w:fldCharType="end"/>
      </w:r>
      <w:r>
        <w:rPr>
          <w:rFonts w:asciiTheme="minorHAnsi" w:hAnsiTheme="minorHAnsi" w:cstheme="minorHAnsi"/>
          <w:szCs w:val="18"/>
        </w:rPr>
        <w:t xml:space="preserve"> B2 Flat bracket tube installation</w:t>
      </w:r>
      <w:r>
        <w:rPr>
          <w:rFonts w:asciiTheme="minorHAnsi" w:hAnsiTheme="minorHAnsi" w:cstheme="minorHAnsi"/>
          <w:szCs w:val="18"/>
        </w:rPr>
        <w:tab/>
      </w:r>
      <w:r>
        <w:rPr>
          <w:rFonts w:asciiTheme="minorHAnsi" w:hAnsiTheme="minorHAnsi" w:cstheme="minorHAnsi"/>
          <w:szCs w:val="18"/>
        </w:rPr>
        <w:t xml:space="preserve">      Figure</w:t>
      </w:r>
      <w:r>
        <w:rPr>
          <w:rFonts w:asciiTheme="minorHAnsi" w:hAnsiTheme="minorHAnsi" w:cstheme="minorHAnsi"/>
          <w:szCs w:val="18"/>
        </w:rPr>
        <w:fldChar w:fldCharType="begin"/>
      </w:r>
      <w:r>
        <w:rPr>
          <w:rFonts w:asciiTheme="minorHAnsi" w:hAnsiTheme="minorHAnsi" w:cstheme="minorHAnsi"/>
          <w:szCs w:val="18"/>
        </w:rPr>
        <w:instrText xml:space="preserve"> STYLEREF 1 \s </w:instrText>
      </w:r>
      <w:r>
        <w:rPr>
          <w:rFonts w:asciiTheme="minorHAnsi" w:hAnsiTheme="minorHAnsi" w:cstheme="minorHAnsi"/>
          <w:szCs w:val="18"/>
        </w:rPr>
        <w:fldChar w:fldCharType="separate"/>
      </w:r>
      <w:r>
        <w:rPr>
          <w:rFonts w:asciiTheme="minorHAnsi" w:hAnsiTheme="minorHAnsi" w:cstheme="minorHAnsi"/>
          <w:szCs w:val="18"/>
        </w:rPr>
        <w:t>2</w:t>
      </w:r>
      <w:r>
        <w:rPr>
          <w:rFonts w:asciiTheme="minorHAnsi" w:hAnsiTheme="minorHAnsi" w:cstheme="minorHAnsi"/>
          <w:szCs w:val="18"/>
        </w:rPr>
        <w:fldChar w:fldCharType="end"/>
      </w:r>
      <w:r>
        <w:rPr>
          <w:rFonts w:asciiTheme="minorHAnsi" w:hAnsiTheme="minorHAnsi" w:cstheme="minorHAnsi"/>
          <w:szCs w:val="18"/>
        </w:rPr>
        <w:t>.</w:t>
      </w:r>
      <w:r>
        <w:rPr>
          <w:rFonts w:asciiTheme="minorHAnsi" w:hAnsiTheme="minorHAnsi" w:cstheme="minorHAnsi"/>
          <w:szCs w:val="18"/>
        </w:rPr>
        <w:fldChar w:fldCharType="begin"/>
      </w:r>
      <w:r>
        <w:rPr>
          <w:rFonts w:asciiTheme="minorHAnsi" w:hAnsiTheme="minorHAnsi" w:cstheme="minorHAnsi"/>
          <w:szCs w:val="18"/>
        </w:rPr>
        <w:instrText xml:space="preserve"> SEQ 图 \* ARABIC \s 1 </w:instrText>
      </w:r>
      <w:r>
        <w:rPr>
          <w:rFonts w:asciiTheme="minorHAnsi" w:hAnsiTheme="minorHAnsi" w:cstheme="minorHAnsi"/>
          <w:szCs w:val="18"/>
        </w:rPr>
        <w:fldChar w:fldCharType="separate"/>
      </w:r>
      <w:r>
        <w:rPr>
          <w:rFonts w:asciiTheme="minorHAnsi" w:hAnsiTheme="minorHAnsi" w:cstheme="minorHAnsi"/>
          <w:szCs w:val="18"/>
        </w:rPr>
        <w:t>2</w:t>
      </w:r>
      <w:r>
        <w:rPr>
          <w:rFonts w:asciiTheme="minorHAnsi" w:hAnsiTheme="minorHAnsi" w:cstheme="minorHAnsi"/>
          <w:szCs w:val="18"/>
        </w:rPr>
        <w:fldChar w:fldCharType="end"/>
      </w:r>
      <w:r>
        <w:rPr>
          <w:rFonts w:asciiTheme="minorHAnsi" w:hAnsiTheme="minorHAnsi" w:cstheme="minorHAnsi"/>
          <w:szCs w:val="18"/>
        </w:rPr>
        <w:t xml:space="preserve"> B1 Curved bracket tube installation  Figure</w:t>
      </w:r>
      <w:r>
        <w:rPr>
          <w:rFonts w:asciiTheme="minorHAnsi" w:hAnsiTheme="minorHAnsi" w:cstheme="minorHAnsi"/>
          <w:szCs w:val="18"/>
        </w:rPr>
        <w:fldChar w:fldCharType="begin"/>
      </w:r>
      <w:r>
        <w:rPr>
          <w:rFonts w:asciiTheme="minorHAnsi" w:hAnsiTheme="minorHAnsi" w:cstheme="minorHAnsi"/>
          <w:szCs w:val="18"/>
        </w:rPr>
        <w:instrText xml:space="preserve"> STYLEREF 1 \s </w:instrText>
      </w:r>
      <w:r>
        <w:rPr>
          <w:rFonts w:asciiTheme="minorHAnsi" w:hAnsiTheme="minorHAnsi" w:cstheme="minorHAnsi"/>
          <w:szCs w:val="18"/>
        </w:rPr>
        <w:fldChar w:fldCharType="separate"/>
      </w:r>
      <w:r>
        <w:rPr>
          <w:rFonts w:asciiTheme="minorHAnsi" w:hAnsiTheme="minorHAnsi" w:cstheme="minorHAnsi"/>
          <w:szCs w:val="18"/>
        </w:rPr>
        <w:t>2</w:t>
      </w:r>
      <w:r>
        <w:rPr>
          <w:rFonts w:asciiTheme="minorHAnsi" w:hAnsiTheme="minorHAnsi" w:cstheme="minorHAnsi"/>
          <w:szCs w:val="18"/>
        </w:rPr>
        <w:fldChar w:fldCharType="end"/>
      </w:r>
      <w:r>
        <w:rPr>
          <w:rFonts w:asciiTheme="minorHAnsi" w:hAnsiTheme="minorHAnsi" w:cstheme="minorHAnsi"/>
          <w:szCs w:val="18"/>
        </w:rPr>
        <w:t>.</w:t>
      </w:r>
      <w:r>
        <w:rPr>
          <w:rFonts w:asciiTheme="minorHAnsi" w:hAnsiTheme="minorHAnsi" w:cstheme="minorHAnsi"/>
          <w:szCs w:val="18"/>
        </w:rPr>
        <w:fldChar w:fldCharType="begin"/>
      </w:r>
      <w:r>
        <w:rPr>
          <w:rFonts w:asciiTheme="minorHAnsi" w:hAnsiTheme="minorHAnsi" w:cstheme="minorHAnsi"/>
          <w:szCs w:val="18"/>
        </w:rPr>
        <w:instrText xml:space="preserve"> SEQ 图 \* ARABIC \s 1 </w:instrText>
      </w:r>
      <w:r>
        <w:rPr>
          <w:rFonts w:asciiTheme="minorHAnsi" w:hAnsiTheme="minorHAnsi" w:cstheme="minorHAnsi"/>
          <w:szCs w:val="18"/>
        </w:rPr>
        <w:fldChar w:fldCharType="separate"/>
      </w:r>
      <w:r>
        <w:rPr>
          <w:rFonts w:asciiTheme="minorHAnsi" w:hAnsiTheme="minorHAnsi" w:cstheme="minorHAnsi"/>
          <w:szCs w:val="18"/>
        </w:rPr>
        <w:t>3</w:t>
      </w:r>
      <w:r>
        <w:rPr>
          <w:rFonts w:asciiTheme="minorHAnsi" w:hAnsiTheme="minorHAnsi" w:cstheme="minorHAnsi"/>
          <w:szCs w:val="18"/>
        </w:rPr>
        <w:fldChar w:fldCharType="end"/>
      </w:r>
      <w:r>
        <w:rPr>
          <w:rFonts w:asciiTheme="minorHAnsi" w:hAnsiTheme="minorHAnsi" w:cstheme="minorHAnsi"/>
          <w:szCs w:val="18"/>
        </w:rPr>
        <w:t xml:space="preserve"> B3 Curved bracket plate installation</w:t>
      </w:r>
    </w:p>
    <w:p w14:paraId="6869A10A">
      <w:pPr>
        <w:pStyle w:val="3"/>
        <w:spacing w:before="120" w:beforeLines="50" w:after="120" w:afterLines="50" w:line="240" w:lineRule="auto"/>
        <w:ind w:left="578" w:hanging="578"/>
        <w:rPr>
          <w:rFonts w:asciiTheme="minorHAnsi" w:hAnsiTheme="minorHAnsi" w:cstheme="minorHAnsi"/>
        </w:rPr>
      </w:pPr>
      <w:bookmarkStart w:id="7" w:name="_Toc199429739"/>
      <w:r>
        <w:rPr>
          <w:rFonts w:asciiTheme="minorHAnsi" w:hAnsiTheme="minorHAnsi" w:cstheme="minorHAnsi"/>
        </w:rPr>
        <w:t>Installation of impulse pipe</w:t>
      </w:r>
      <w:bookmarkEnd w:id="7"/>
    </w:p>
    <w:p w14:paraId="3753DB91">
      <w:pPr>
        <w:pStyle w:val="40"/>
        <w:spacing w:after="240" w:line="240" w:lineRule="auto"/>
        <w:ind w:left="0"/>
        <w:rPr>
          <w:rFonts w:cstheme="minorHAnsi"/>
          <w:sz w:val="21"/>
          <w:szCs w:val="21"/>
        </w:rPr>
      </w:pPr>
      <w:r>
        <w:rPr>
          <w:rFonts w:cstheme="minorHAnsi"/>
          <w:sz w:val="21"/>
          <w:szCs w:val="21"/>
        </w:rPr>
        <w:t>The correct installation of the intelligent transmitter relative to the process pipeline depends on the measured medium. Intelligent transmitters measure liquids, vapors or other gases. For different measured media, the relative positions of the pressure tap, intelligent transmitter and process pipeline are different.</w:t>
      </w:r>
    </w:p>
    <w:p w14:paraId="271B28D6">
      <w:pPr>
        <w:pStyle w:val="40"/>
        <w:spacing w:after="240" w:line="240" w:lineRule="auto"/>
        <w:ind w:left="0"/>
        <w:rPr>
          <w:rFonts w:cstheme="minorHAnsi"/>
          <w:sz w:val="21"/>
          <w:szCs w:val="21"/>
        </w:rPr>
      </w:pPr>
      <w:r>
        <w:rPr>
          <w:rFonts w:cstheme="minorHAnsi"/>
          <w:b/>
          <w:bCs/>
          <w:sz w:val="21"/>
          <w:szCs w:val="21"/>
        </w:rPr>
        <w:t xml:space="preserve">When measuring the pressure of liquid medium, </w:t>
      </w:r>
      <w:r>
        <w:rPr>
          <w:rFonts w:cstheme="minorHAnsi"/>
          <w:sz w:val="21"/>
          <w:szCs w:val="21"/>
        </w:rPr>
        <w:t>the pressure tap must be selected on the side of the process pipeline to avoid slag deposition. The intelligent transmitter should be installed below the side pressure port so that the gas can be discharged into the process pipeline, as shown in Figure 2.4.</w:t>
      </w:r>
    </w:p>
    <w:p w14:paraId="57FA6771">
      <w:pPr>
        <w:pStyle w:val="40"/>
        <w:spacing w:after="240" w:line="240" w:lineRule="auto"/>
        <w:ind w:left="0"/>
        <w:rPr>
          <w:rFonts w:cstheme="minorHAnsi"/>
          <w:sz w:val="21"/>
          <w:szCs w:val="21"/>
        </w:rPr>
      </w:pPr>
      <w:r>
        <w:rPr>
          <w:rFonts w:cstheme="minorHAnsi"/>
          <w:b/>
          <w:bCs/>
          <w:sz w:val="21"/>
          <w:szCs w:val="21"/>
        </w:rPr>
        <w:t xml:space="preserve">When measuring steam pressure, </w:t>
      </w:r>
      <w:r>
        <w:rPr>
          <w:rFonts w:cstheme="minorHAnsi"/>
          <w:sz w:val="21"/>
          <w:szCs w:val="21"/>
        </w:rPr>
        <w:t>the impulse pipe should be installed on the side of the process pipeline. The intelligent transmitter is installed below the pressure port. The impulse pipe should be filled with water to prevent the intelligent transmitter from coming into direct contact with steam. When measuring steam or other high temperature media, the working temperature of the intelligent transmitter should not exceed the limit, as shown in Figure 2.5.</w:t>
      </w:r>
    </w:p>
    <w:p w14:paraId="3C5F41C1">
      <w:pPr>
        <w:pStyle w:val="40"/>
        <w:spacing w:after="240" w:line="240" w:lineRule="auto"/>
        <w:ind w:left="0"/>
        <w:rPr>
          <w:rFonts w:cstheme="minorHAnsi"/>
          <w:sz w:val="21"/>
          <w:szCs w:val="21"/>
        </w:rPr>
      </w:pPr>
      <w:r>
        <w:rPr>
          <w:rFonts w:cstheme="minorHAnsi"/>
          <w:b/>
          <w:bCs/>
          <w:sz w:val="21"/>
          <w:szCs w:val="21"/>
        </w:rPr>
        <w:t>When measuring the pressure of gas medium,</w:t>
      </w:r>
      <w:r>
        <w:rPr>
          <w:rFonts w:cstheme="minorHAnsi"/>
          <w:sz w:val="21"/>
          <w:szCs w:val="21"/>
        </w:rPr>
        <w:t xml:space="preserve"> the pressure port should be installed on the top or side of the process pipeline, and the intelligent transmitter should be installed above the side pressure port so that the liquid can be discharged into the process channel, as shown in Figure 2.6.</w:t>
      </w:r>
    </w:p>
    <w:p w14:paraId="2D6A4B93">
      <w:pPr>
        <w:pStyle w:val="12"/>
        <w:spacing w:before="120" w:after="120"/>
        <w:rPr>
          <w:rFonts w:asciiTheme="minorHAnsi" w:hAnsiTheme="minorHAnsi" w:cstheme="minorHAnsi"/>
        </w:rPr>
      </w:pPr>
      <w:r>
        <w:rPr>
          <w:rFonts w:asciiTheme="minorHAnsi" w:hAnsiTheme="minorHAnsi" w:cstheme="minorHAnsi"/>
        </w:rPr>
        <w:drawing>
          <wp:inline distT="0" distB="0" distL="0" distR="0">
            <wp:extent cx="2976880" cy="2248535"/>
            <wp:effectExtent l="0" t="0" r="7620" b="12065"/>
            <wp:docPr id="6" name="图片 6" descr="D:\Users\MG\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Users\MG\Desktop\1.jpg1"/>
                    <pic:cNvPicPr>
                      <a:picLocks noChangeAspect="1" noChangeArrowheads="1"/>
                    </pic:cNvPicPr>
                  </pic:nvPicPr>
                  <pic:blipFill>
                    <a:blip r:embed="rId22"/>
                    <a:srcRect/>
                    <a:stretch>
                      <a:fillRect/>
                    </a:stretch>
                  </pic:blipFill>
                  <pic:spPr>
                    <a:xfrm>
                      <a:off x="0" y="0"/>
                      <a:ext cx="2976880" cy="2248535"/>
                    </a:xfrm>
                    <a:prstGeom prst="rect">
                      <a:avLst/>
                    </a:prstGeom>
                    <a:noFill/>
                    <a:ln>
                      <a:noFill/>
                    </a:ln>
                  </pic:spPr>
                </pic:pic>
              </a:graphicData>
            </a:graphic>
          </wp:inline>
        </w:drawing>
      </w:r>
      <w:r>
        <w:rPr>
          <w:rFonts w:asciiTheme="minorHAnsi" w:hAnsiTheme="minorHAnsi" w:cstheme="minorHAnsi"/>
        </w:rPr>
        <w:drawing>
          <wp:inline distT="0" distB="0" distL="0" distR="0">
            <wp:extent cx="2860040" cy="3069590"/>
            <wp:effectExtent l="0" t="0" r="10160" b="3810"/>
            <wp:docPr id="7" name="图片 7" descr="D:\Users\MG\Desktop\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Users\MG\Desktop\2.jpg2"/>
                    <pic:cNvPicPr>
                      <a:picLocks noChangeAspect="1" noChangeArrowheads="1"/>
                    </pic:cNvPicPr>
                  </pic:nvPicPr>
                  <pic:blipFill>
                    <a:blip r:embed="rId23"/>
                    <a:srcRect/>
                    <a:stretch>
                      <a:fillRect/>
                    </a:stretch>
                  </pic:blipFill>
                  <pic:spPr>
                    <a:xfrm>
                      <a:off x="0" y="0"/>
                      <a:ext cx="2860040" cy="3069590"/>
                    </a:xfrm>
                    <a:prstGeom prst="rect">
                      <a:avLst/>
                    </a:prstGeom>
                    <a:noFill/>
                    <a:ln>
                      <a:noFill/>
                    </a:ln>
                  </pic:spPr>
                </pic:pic>
              </a:graphicData>
            </a:graphic>
          </wp:inline>
        </w:drawing>
      </w:r>
      <w:r>
        <w:rPr>
          <w:rFonts w:asciiTheme="minorHAnsi" w:hAnsiTheme="minorHAnsi" w:cstheme="minorHAnsi"/>
        </w:rPr>
        <w:t xml:space="preserve">      </w:t>
      </w:r>
    </w:p>
    <w:p w14:paraId="61E224A9">
      <w:pPr>
        <w:pStyle w:val="12"/>
        <w:spacing w:before="120" w:after="120"/>
        <w:jc w:val="both"/>
        <w:rPr>
          <w:rFonts w:asciiTheme="minorHAnsi" w:hAnsiTheme="minorHAnsi" w:cstheme="minorHAnsi"/>
        </w:rPr>
      </w:pPr>
      <w:bookmarkStart w:id="8" w:name="_Ref83286903"/>
      <w:r>
        <w:rPr>
          <w:rFonts w:asciiTheme="minorHAnsi" w:hAnsiTheme="minorHAnsi" w:cstheme="minorHAnsi"/>
          <w:szCs w:val="18"/>
        </w:rPr>
        <w:t>Figure</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图 \* ARABIC \s 1 </w:instrText>
      </w:r>
      <w:r>
        <w:rPr>
          <w:rFonts w:asciiTheme="minorHAnsi" w:hAnsiTheme="minorHAnsi" w:cstheme="minorHAnsi"/>
        </w:rPr>
        <w:fldChar w:fldCharType="separate"/>
      </w:r>
      <w:r>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cstheme="minorHAnsi"/>
          <w:szCs w:val="18"/>
        </w:rPr>
        <w:t>Schematic diagram of liquid medium connection.  Figure</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图 \* ARABIC \s 1 </w:instrText>
      </w:r>
      <w:r>
        <w:rPr>
          <w:rFonts w:asciiTheme="minorHAnsi" w:hAnsiTheme="minorHAnsi" w:cstheme="minorHAnsi"/>
        </w:rPr>
        <w:fldChar w:fldCharType="separate"/>
      </w:r>
      <w:r>
        <w:rPr>
          <w:rFonts w:asciiTheme="minorHAnsi" w:hAnsiTheme="minorHAnsi" w:cstheme="minorHAnsi"/>
        </w:rPr>
        <w:t>5</w:t>
      </w:r>
      <w:r>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cstheme="minorHAnsi"/>
          <w:szCs w:val="18"/>
        </w:rPr>
        <w:t>Schematic diagram of steam medium connection</w:t>
      </w:r>
      <w:bookmarkEnd w:id="8"/>
    </w:p>
    <w:p w14:paraId="3BA55491">
      <w:pPr>
        <w:pStyle w:val="40"/>
        <w:keepNext/>
        <w:spacing w:after="240" w:line="240" w:lineRule="auto"/>
        <w:ind w:left="0"/>
        <w:jc w:val="center"/>
        <w:rPr>
          <w:rFonts w:cstheme="minorHAnsi"/>
        </w:rPr>
      </w:pPr>
      <w:r>
        <w:rPr>
          <w:rFonts w:cstheme="minorHAnsi"/>
        </w:rPr>
        <w:drawing>
          <wp:inline distT="0" distB="0" distL="0" distR="0">
            <wp:extent cx="5096510" cy="2766060"/>
            <wp:effectExtent l="0" t="0" r="0" b="2540"/>
            <wp:docPr id="8" name="图片 8" descr="D:\Users\MG\Desktop\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Users\MG\Desktop\3.jpg3"/>
                    <pic:cNvPicPr>
                      <a:picLocks noChangeAspect="1" noChangeArrowheads="1"/>
                    </pic:cNvPicPr>
                  </pic:nvPicPr>
                  <pic:blipFill>
                    <a:blip r:embed="rId24"/>
                    <a:srcRect/>
                    <a:stretch>
                      <a:fillRect/>
                    </a:stretch>
                  </pic:blipFill>
                  <pic:spPr>
                    <a:xfrm>
                      <a:off x="0" y="0"/>
                      <a:ext cx="5104875" cy="2770705"/>
                    </a:xfrm>
                    <a:prstGeom prst="rect">
                      <a:avLst/>
                    </a:prstGeom>
                    <a:noFill/>
                    <a:ln>
                      <a:noFill/>
                    </a:ln>
                  </pic:spPr>
                </pic:pic>
              </a:graphicData>
            </a:graphic>
          </wp:inline>
        </w:drawing>
      </w:r>
    </w:p>
    <w:p w14:paraId="50AA0B1A">
      <w:pPr>
        <w:spacing w:after="240"/>
        <w:jc w:val="center"/>
        <w:rPr>
          <w:rFonts w:eastAsia="黑体" w:cstheme="minorHAnsi"/>
          <w:sz w:val="18"/>
          <w:szCs w:val="20"/>
        </w:rPr>
      </w:pPr>
      <w:bookmarkStart w:id="9" w:name="_Ref83298226"/>
      <w:bookmarkStart w:id="10" w:name="_Ref83298221"/>
      <w:r>
        <w:rPr>
          <w:rFonts w:cstheme="minorHAnsi"/>
          <w:sz w:val="18"/>
          <w:szCs w:val="18"/>
        </w:rPr>
        <w:t>Figure</w:t>
      </w:r>
      <w:r>
        <w:rPr>
          <w:rFonts w:eastAsia="黑体" w:cstheme="minorHAnsi"/>
          <w:sz w:val="18"/>
          <w:szCs w:val="20"/>
        </w:rPr>
        <w:t xml:space="preserve"> </w:t>
      </w:r>
      <w:r>
        <w:rPr>
          <w:rFonts w:eastAsia="黑体" w:cstheme="minorHAnsi"/>
          <w:sz w:val="18"/>
          <w:szCs w:val="20"/>
        </w:rPr>
        <w:fldChar w:fldCharType="begin"/>
      </w:r>
      <w:r>
        <w:rPr>
          <w:rFonts w:eastAsia="黑体" w:cstheme="minorHAnsi"/>
          <w:sz w:val="18"/>
          <w:szCs w:val="20"/>
        </w:rPr>
        <w:instrText xml:space="preserve"> STYLEREF 1 \s </w:instrText>
      </w:r>
      <w:r>
        <w:rPr>
          <w:rFonts w:eastAsia="黑体" w:cstheme="minorHAnsi"/>
          <w:sz w:val="18"/>
          <w:szCs w:val="20"/>
        </w:rPr>
        <w:fldChar w:fldCharType="separate"/>
      </w:r>
      <w:r>
        <w:rPr>
          <w:rFonts w:eastAsia="黑体" w:cstheme="minorHAnsi"/>
          <w:sz w:val="18"/>
          <w:szCs w:val="20"/>
        </w:rPr>
        <w:t>2</w:t>
      </w:r>
      <w:r>
        <w:rPr>
          <w:rFonts w:eastAsia="黑体" w:cstheme="minorHAnsi"/>
          <w:sz w:val="18"/>
          <w:szCs w:val="20"/>
        </w:rPr>
        <w:fldChar w:fldCharType="end"/>
      </w:r>
      <w:r>
        <w:rPr>
          <w:rFonts w:eastAsia="黑体" w:cstheme="minorHAnsi"/>
          <w:sz w:val="18"/>
          <w:szCs w:val="20"/>
        </w:rPr>
        <w:t>.</w:t>
      </w:r>
      <w:r>
        <w:rPr>
          <w:rFonts w:eastAsia="黑体" w:cstheme="minorHAnsi"/>
          <w:sz w:val="18"/>
          <w:szCs w:val="20"/>
        </w:rPr>
        <w:fldChar w:fldCharType="begin"/>
      </w:r>
      <w:r>
        <w:rPr>
          <w:rFonts w:eastAsia="黑体" w:cstheme="minorHAnsi"/>
          <w:sz w:val="18"/>
          <w:szCs w:val="20"/>
        </w:rPr>
        <w:instrText xml:space="preserve"> SEQ 图 \* ARABIC \s 1 </w:instrText>
      </w:r>
      <w:r>
        <w:rPr>
          <w:rFonts w:eastAsia="黑体" w:cstheme="minorHAnsi"/>
          <w:sz w:val="18"/>
          <w:szCs w:val="20"/>
        </w:rPr>
        <w:fldChar w:fldCharType="separate"/>
      </w:r>
      <w:r>
        <w:rPr>
          <w:rFonts w:eastAsia="黑体" w:cstheme="minorHAnsi"/>
          <w:sz w:val="18"/>
          <w:szCs w:val="20"/>
        </w:rPr>
        <w:t>6</w:t>
      </w:r>
      <w:r>
        <w:rPr>
          <w:rFonts w:eastAsia="黑体" w:cstheme="minorHAnsi"/>
          <w:sz w:val="18"/>
          <w:szCs w:val="20"/>
        </w:rPr>
        <w:fldChar w:fldCharType="end"/>
      </w:r>
      <w:bookmarkEnd w:id="9"/>
      <w:r>
        <w:rPr>
          <w:rFonts w:eastAsia="黑体" w:cstheme="minorHAnsi"/>
          <w:sz w:val="18"/>
          <w:szCs w:val="20"/>
        </w:rPr>
        <w:t xml:space="preserve"> </w:t>
      </w:r>
      <w:bookmarkEnd w:id="10"/>
      <w:r>
        <w:rPr>
          <w:rFonts w:eastAsia="黑体" w:cstheme="minorHAnsi"/>
          <w:sz w:val="18"/>
          <w:szCs w:val="20"/>
        </w:rPr>
        <w:t>Gas medium connection diagram</w:t>
      </w:r>
    </w:p>
    <w:p w14:paraId="2678C8C7">
      <w:pPr>
        <w:pStyle w:val="40"/>
        <w:spacing w:after="240" w:line="240" w:lineRule="auto"/>
        <w:ind w:left="0" w:firstLine="420" w:firstLineChars="200"/>
        <w:rPr>
          <w:rFonts w:cstheme="minorHAnsi"/>
          <w:sz w:val="21"/>
          <w:szCs w:val="21"/>
        </w:rPr>
      </w:pPr>
      <w:bookmarkStart w:id="11" w:name="_Toc165177447"/>
      <w:bookmarkStart w:id="12" w:name="_Toc165172485"/>
      <w:bookmarkStart w:id="13" w:name="_Toc166471616"/>
      <w:bookmarkStart w:id="14" w:name="_Toc165164069"/>
      <w:r>
        <w:rPr>
          <w:rFonts w:cstheme="minorHAnsi"/>
          <w:sz w:val="21"/>
          <w:szCs w:val="21"/>
        </w:rPr>
        <w:t>Precautions for installation of impulse pipe and intelligent transmitter:</w:t>
      </w:r>
      <w:bookmarkEnd w:id="11"/>
      <w:bookmarkEnd w:id="12"/>
      <w:bookmarkEnd w:id="13"/>
      <w:bookmarkEnd w:id="14"/>
    </w:p>
    <w:p w14:paraId="02BB3617">
      <w:pPr>
        <w:numPr>
          <w:ilvl w:val="0"/>
          <w:numId w:val="7"/>
        </w:numPr>
        <w:spacing w:after="120" w:afterLines="50"/>
        <w:rPr>
          <w:rFonts w:cstheme="minorHAnsi"/>
        </w:rPr>
      </w:pPr>
      <w:r>
        <w:rPr>
          <w:rFonts w:cstheme="minorHAnsi"/>
        </w:rPr>
        <w:t>The impulse pipe should be as short as possible if it meets the requirements.</w:t>
      </w:r>
    </w:p>
    <w:p w14:paraId="6316C1E2">
      <w:pPr>
        <w:numPr>
          <w:ilvl w:val="0"/>
          <w:numId w:val="7"/>
        </w:numPr>
        <w:spacing w:after="120" w:afterLines="50"/>
        <w:rPr>
          <w:rFonts w:cstheme="minorHAnsi"/>
        </w:rPr>
      </w:pPr>
      <w:r>
        <w:rPr>
          <w:rFonts w:cstheme="minorHAnsi"/>
        </w:rPr>
        <w:t>Corrosive or overheated media should not come into direct contact with the transmitter.</w:t>
      </w:r>
    </w:p>
    <w:p w14:paraId="7B18D76A">
      <w:pPr>
        <w:numPr>
          <w:ilvl w:val="0"/>
          <w:numId w:val="7"/>
        </w:numPr>
        <w:spacing w:after="120" w:afterLines="50"/>
        <w:rPr>
          <w:rFonts w:cstheme="minorHAnsi"/>
        </w:rPr>
      </w:pPr>
      <w:r>
        <w:rPr>
          <w:rFonts w:cstheme="minorHAnsi"/>
        </w:rPr>
        <w:t>The impulse pipe should be installed in a place with small temperature gradient and fluctuation.</w:t>
      </w:r>
    </w:p>
    <w:p w14:paraId="030CE5F6">
      <w:pPr>
        <w:numPr>
          <w:ilvl w:val="0"/>
          <w:numId w:val="7"/>
        </w:numPr>
        <w:spacing w:after="120" w:afterLines="50"/>
        <w:rPr>
          <w:rFonts w:cstheme="minorHAnsi"/>
        </w:rPr>
      </w:pPr>
      <w:r>
        <w:rPr>
          <w:rFonts w:cstheme="minorHAnsi"/>
        </w:rPr>
        <w:t>When measuring high temperature medium, refer to the operating temperature limit of the intelligent transmitter.</w:t>
      </w:r>
    </w:p>
    <w:p w14:paraId="20DEC9F0">
      <w:pPr>
        <w:numPr>
          <w:ilvl w:val="0"/>
          <w:numId w:val="7"/>
        </w:numPr>
        <w:spacing w:after="120" w:afterLines="50"/>
        <w:rPr>
          <w:rFonts w:cstheme="minorHAnsi"/>
        </w:rPr>
      </w:pPr>
      <w:r>
        <w:rPr>
          <w:rFonts w:cstheme="minorHAnsi"/>
        </w:rPr>
        <w:t>The two impulse pipes should keep the same temperature, and the hydraulic height should be balanced (differential pressure type).</w:t>
      </w:r>
    </w:p>
    <w:p w14:paraId="1DF5BF2E">
      <w:pPr>
        <w:numPr>
          <w:ilvl w:val="0"/>
          <w:numId w:val="7"/>
        </w:numPr>
        <w:spacing w:after="120" w:afterLines="50"/>
        <w:rPr>
          <w:rFonts w:cstheme="minorHAnsi"/>
        </w:rPr>
      </w:pPr>
      <w:r>
        <w:rPr>
          <w:rFonts w:cstheme="minorHAnsi"/>
        </w:rPr>
        <w:t>In order to avoid the influence of friction, the pressure pipe should have a large enough diameter.</w:t>
      </w:r>
    </w:p>
    <w:p w14:paraId="77B3FAA9">
      <w:pPr>
        <w:numPr>
          <w:ilvl w:val="0"/>
          <w:numId w:val="7"/>
        </w:numPr>
        <w:spacing w:after="120" w:afterLines="50"/>
        <w:rPr>
          <w:rFonts w:cstheme="minorHAnsi"/>
        </w:rPr>
      </w:pPr>
      <w:r>
        <w:rPr>
          <w:rFonts w:cstheme="minorHAnsi"/>
        </w:rPr>
        <w:t>When using isolating gas, the liquid level of the two impulse pipes should be the same (differential pressure type).</w:t>
      </w:r>
    </w:p>
    <w:p w14:paraId="4EA41304">
      <w:pPr>
        <w:numPr>
          <w:ilvl w:val="0"/>
          <w:numId w:val="7"/>
        </w:numPr>
        <w:spacing w:after="120" w:afterLines="50"/>
        <w:rPr>
          <w:rFonts w:cstheme="minorHAnsi"/>
        </w:rPr>
      </w:pPr>
      <w:r>
        <w:rPr>
          <w:rFonts w:cstheme="minorHAnsi"/>
        </w:rPr>
        <w:t>When using a blowing system, the blowing system should be as close as possible to the pressure-taking port of the process pipeline, and the purified fluid should pass through the pipeline of the same size and length to the transmitter. Avoid the blowing fluid passing through the transmitter (differential pressure type).</w:t>
      </w:r>
    </w:p>
    <w:p w14:paraId="077A5068">
      <w:pPr>
        <w:pStyle w:val="3"/>
        <w:spacing w:before="120" w:beforeLines="50" w:after="120" w:afterLines="50" w:line="240" w:lineRule="auto"/>
        <w:ind w:left="578" w:hanging="578"/>
        <w:rPr>
          <w:rFonts w:asciiTheme="minorHAnsi" w:hAnsiTheme="minorHAnsi" w:cstheme="minorHAnsi"/>
        </w:rPr>
      </w:pPr>
      <w:bookmarkStart w:id="15" w:name="_Toc199429740"/>
      <w:r>
        <w:rPr>
          <w:rFonts w:asciiTheme="minorHAnsi" w:hAnsiTheme="minorHAnsi" w:cstheme="minorHAnsi"/>
        </w:rPr>
        <w:t>NCS-PT105IISM transmitter installation</w:t>
      </w:r>
      <w:bookmarkEnd w:id="15"/>
      <w:r>
        <w:rPr>
          <w:rFonts w:asciiTheme="minorHAnsi" w:hAnsiTheme="minorHAnsi" w:cstheme="minorHAnsi"/>
        </w:rPr>
        <w:t xml:space="preserve"> </w:t>
      </w:r>
    </w:p>
    <w:p w14:paraId="7A6B51FC">
      <w:pPr>
        <w:pStyle w:val="40"/>
        <w:spacing w:after="240" w:line="240" w:lineRule="auto"/>
        <w:ind w:left="0"/>
        <w:rPr>
          <w:rFonts w:cstheme="minorHAnsi"/>
          <w:sz w:val="21"/>
          <w:szCs w:val="21"/>
        </w:rPr>
      </w:pPr>
      <w:r>
        <w:rPr>
          <w:rFonts w:cstheme="minorHAnsi"/>
          <w:sz w:val="21"/>
          <w:szCs w:val="21"/>
        </w:rPr>
        <w:t>Intelligent transmitters can be mounted directly on 2-inch pipe or directly on a wall or dashboard.</w:t>
      </w:r>
    </w:p>
    <w:p w14:paraId="01800619">
      <w:pPr>
        <w:pStyle w:val="3"/>
        <w:spacing w:before="120" w:beforeLines="50" w:after="120" w:afterLines="50" w:line="240" w:lineRule="auto"/>
        <w:ind w:left="578" w:hanging="578"/>
        <w:rPr>
          <w:rFonts w:asciiTheme="minorHAnsi" w:hAnsiTheme="minorHAnsi" w:cstheme="minorHAnsi"/>
        </w:rPr>
      </w:pPr>
      <w:bookmarkStart w:id="16" w:name="_Toc199429741"/>
      <w:r>
        <w:rPr>
          <w:rFonts w:asciiTheme="minorHAnsi" w:hAnsiTheme="minorHAnsi" w:cstheme="minorHAnsi"/>
        </w:rPr>
        <w:t>Installation of impulse pipe</w:t>
      </w:r>
      <w:bookmarkEnd w:id="16"/>
    </w:p>
    <w:p w14:paraId="2776A1AF">
      <w:pPr>
        <w:pStyle w:val="40"/>
        <w:spacing w:after="240" w:line="240" w:lineRule="auto"/>
        <w:ind w:left="0"/>
        <w:rPr>
          <w:rFonts w:cstheme="minorHAnsi"/>
          <w:sz w:val="21"/>
          <w:szCs w:val="21"/>
        </w:rPr>
      </w:pPr>
      <w:r>
        <w:rPr>
          <w:rFonts w:cstheme="minorHAnsi"/>
          <w:sz w:val="21"/>
          <w:szCs w:val="21"/>
        </w:rPr>
        <w:t>The correct installation of the intelligent transmitter relative to the process pipeline depends on the measured medium. Intelligent transmitters measure liquids, vapors or other gases. For different measured media, the relative positions of the pressure tap, intelligent transmitter and process pipeline are different.</w:t>
      </w:r>
    </w:p>
    <w:p w14:paraId="0D257DB0">
      <w:pPr>
        <w:keepNext/>
        <w:spacing w:after="240"/>
        <w:jc w:val="center"/>
        <w:rPr>
          <w:rFonts w:cstheme="minorHAnsi"/>
        </w:rPr>
      </w:pPr>
      <w:r>
        <w:rPr>
          <w:rFonts w:cstheme="minorHAnsi"/>
        </w:rPr>
        <w:drawing>
          <wp:inline distT="0" distB="0" distL="0" distR="0">
            <wp:extent cx="3094990" cy="3156585"/>
            <wp:effectExtent l="0" t="0" r="3810" b="5715"/>
            <wp:docPr id="20" name="图片 20" descr="压力变送器引压管安装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压力变送器引压管安装示意图"/>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15356" cy="3177343"/>
                    </a:xfrm>
                    <a:prstGeom prst="rect">
                      <a:avLst/>
                    </a:prstGeom>
                    <a:noFill/>
                    <a:ln>
                      <a:noFill/>
                    </a:ln>
                  </pic:spPr>
                </pic:pic>
              </a:graphicData>
            </a:graphic>
          </wp:inline>
        </w:drawing>
      </w:r>
    </w:p>
    <w:p w14:paraId="72537003">
      <w:pPr>
        <w:pStyle w:val="12"/>
        <w:spacing w:before="120" w:after="120"/>
        <w:rPr>
          <w:rFonts w:asciiTheme="minorHAnsi" w:hAnsiTheme="minorHAnsi" w:cstheme="minorHAnsi"/>
        </w:rPr>
      </w:pPr>
      <w:bookmarkStart w:id="17" w:name="_Ref83284958"/>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w:t>
      </w:r>
      <w:bookmarkEnd w:id="17"/>
      <w:r>
        <w:rPr>
          <w:rFonts w:asciiTheme="minorHAnsi" w:hAnsiTheme="minorHAnsi" w:cstheme="minorHAnsi"/>
        </w:rPr>
        <w:t>7 Schematic diagram of pressure pipe connection</w:t>
      </w:r>
    </w:p>
    <w:p w14:paraId="05FD0596">
      <w:pPr>
        <w:spacing w:after="240"/>
        <w:jc w:val="center"/>
        <w:rPr>
          <w:rFonts w:cstheme="minorHAnsi"/>
          <w:sz w:val="18"/>
          <w:szCs w:val="18"/>
        </w:rPr>
      </w:pPr>
    </w:p>
    <w:tbl>
      <w:tblPr>
        <w:tblStyle w:val="30"/>
        <w:tblW w:w="6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134"/>
        <w:gridCol w:w="425"/>
        <w:gridCol w:w="1276"/>
        <w:gridCol w:w="425"/>
        <w:gridCol w:w="1175"/>
        <w:gridCol w:w="485"/>
        <w:gridCol w:w="1063"/>
      </w:tblGrid>
      <w:tr w14:paraId="40C2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 w:hRule="exact"/>
          <w:jc w:val="center"/>
        </w:trPr>
        <w:tc>
          <w:tcPr>
            <w:tcW w:w="426" w:type="dxa"/>
            <w:tcBorders>
              <w:bottom w:val="single" w:color="auto" w:sz="4" w:space="0"/>
            </w:tcBorders>
            <w:vAlign w:val="center"/>
          </w:tcPr>
          <w:p w14:paraId="56CC094F">
            <w:pPr>
              <w:spacing w:after="240"/>
              <w:rPr>
                <w:rFonts w:cstheme="minorHAnsi"/>
                <w:sz w:val="18"/>
                <w:szCs w:val="18"/>
              </w:rPr>
            </w:pPr>
            <w:r>
              <w:rPr>
                <w:rFonts w:cstheme="minorHAnsi"/>
                <w:sz w:val="18"/>
                <w:szCs w:val="18"/>
              </w:rPr>
              <w:t>1</w:t>
            </w:r>
          </w:p>
        </w:tc>
        <w:tc>
          <w:tcPr>
            <w:tcW w:w="1134" w:type="dxa"/>
            <w:tcBorders>
              <w:bottom w:val="single" w:color="auto" w:sz="4" w:space="0"/>
            </w:tcBorders>
            <w:vAlign w:val="center"/>
          </w:tcPr>
          <w:p w14:paraId="6C8DEFEB">
            <w:pPr>
              <w:spacing w:after="240"/>
              <w:rPr>
                <w:rFonts w:cstheme="minorHAnsi"/>
                <w:sz w:val="18"/>
                <w:szCs w:val="18"/>
              </w:rPr>
            </w:pPr>
            <w:r>
              <w:rPr>
                <w:rFonts w:cstheme="minorHAnsi"/>
                <w:sz w:val="18"/>
                <w:szCs w:val="18"/>
              </w:rPr>
              <w:t>Transmitter</w:t>
            </w:r>
          </w:p>
        </w:tc>
        <w:tc>
          <w:tcPr>
            <w:tcW w:w="425" w:type="dxa"/>
            <w:tcBorders>
              <w:bottom w:val="single" w:color="auto" w:sz="4" w:space="0"/>
            </w:tcBorders>
            <w:shd w:val="clear" w:color="auto" w:fill="E0E0E0"/>
            <w:vAlign w:val="center"/>
          </w:tcPr>
          <w:p w14:paraId="1C39EA82">
            <w:pPr>
              <w:spacing w:after="240"/>
              <w:rPr>
                <w:rFonts w:cstheme="minorHAnsi"/>
                <w:sz w:val="18"/>
                <w:szCs w:val="18"/>
              </w:rPr>
            </w:pPr>
            <w:r>
              <w:rPr>
                <w:rFonts w:cstheme="minorHAnsi"/>
                <w:sz w:val="18"/>
                <w:szCs w:val="18"/>
              </w:rPr>
              <w:t>2</w:t>
            </w:r>
          </w:p>
        </w:tc>
        <w:tc>
          <w:tcPr>
            <w:tcW w:w="1276" w:type="dxa"/>
            <w:tcBorders>
              <w:bottom w:val="single" w:color="auto" w:sz="4" w:space="0"/>
            </w:tcBorders>
            <w:shd w:val="clear" w:color="auto" w:fill="E0E0E0"/>
            <w:vAlign w:val="center"/>
          </w:tcPr>
          <w:p w14:paraId="74E6327F">
            <w:pPr>
              <w:spacing w:after="240"/>
              <w:rPr>
                <w:rFonts w:cstheme="minorHAnsi"/>
                <w:sz w:val="18"/>
                <w:szCs w:val="18"/>
              </w:rPr>
            </w:pPr>
            <w:r>
              <w:rPr>
                <w:rFonts w:cstheme="minorHAnsi"/>
                <w:sz w:val="18"/>
                <w:szCs w:val="18"/>
              </w:rPr>
              <w:t>Impulse valve</w:t>
            </w:r>
          </w:p>
        </w:tc>
        <w:tc>
          <w:tcPr>
            <w:tcW w:w="425" w:type="dxa"/>
            <w:tcBorders>
              <w:bottom w:val="single" w:color="auto" w:sz="4" w:space="0"/>
            </w:tcBorders>
            <w:vAlign w:val="center"/>
          </w:tcPr>
          <w:p w14:paraId="3E2C37F6">
            <w:pPr>
              <w:spacing w:after="240"/>
              <w:rPr>
                <w:rFonts w:cstheme="minorHAnsi"/>
                <w:sz w:val="18"/>
                <w:szCs w:val="18"/>
              </w:rPr>
            </w:pPr>
            <w:r>
              <w:rPr>
                <w:rFonts w:cstheme="minorHAnsi"/>
                <w:sz w:val="18"/>
                <w:szCs w:val="18"/>
              </w:rPr>
              <w:t>3</w:t>
            </w:r>
          </w:p>
        </w:tc>
        <w:tc>
          <w:tcPr>
            <w:tcW w:w="1175" w:type="dxa"/>
            <w:tcBorders>
              <w:bottom w:val="single" w:color="auto" w:sz="4" w:space="0"/>
            </w:tcBorders>
            <w:vAlign w:val="center"/>
          </w:tcPr>
          <w:p w14:paraId="416B9BBA">
            <w:pPr>
              <w:spacing w:after="240"/>
              <w:rPr>
                <w:rFonts w:cstheme="minorHAnsi"/>
                <w:sz w:val="18"/>
                <w:szCs w:val="18"/>
              </w:rPr>
            </w:pPr>
            <w:r>
              <w:rPr>
                <w:rFonts w:cstheme="minorHAnsi"/>
                <w:sz w:val="18"/>
                <w:szCs w:val="18"/>
              </w:rPr>
              <w:t>Impulse pipe</w:t>
            </w:r>
          </w:p>
        </w:tc>
        <w:tc>
          <w:tcPr>
            <w:tcW w:w="485" w:type="dxa"/>
            <w:tcBorders>
              <w:bottom w:val="single" w:color="auto" w:sz="4" w:space="0"/>
            </w:tcBorders>
            <w:shd w:val="clear" w:color="auto" w:fill="E0E0E0"/>
            <w:vAlign w:val="center"/>
          </w:tcPr>
          <w:p w14:paraId="584213B9">
            <w:pPr>
              <w:spacing w:after="240"/>
              <w:rPr>
                <w:rFonts w:cstheme="minorHAnsi"/>
                <w:sz w:val="18"/>
                <w:szCs w:val="18"/>
              </w:rPr>
            </w:pPr>
            <w:r>
              <w:rPr>
                <w:rFonts w:cstheme="minorHAnsi"/>
                <w:sz w:val="18"/>
                <w:szCs w:val="18"/>
              </w:rPr>
              <w:t>4</w:t>
            </w:r>
          </w:p>
        </w:tc>
        <w:tc>
          <w:tcPr>
            <w:tcW w:w="1063" w:type="dxa"/>
            <w:tcBorders>
              <w:bottom w:val="single" w:color="auto" w:sz="4" w:space="0"/>
            </w:tcBorders>
            <w:shd w:val="clear" w:color="auto" w:fill="E0E0E0"/>
            <w:vAlign w:val="center"/>
          </w:tcPr>
          <w:p w14:paraId="79FB8249">
            <w:pPr>
              <w:spacing w:after="240"/>
              <w:rPr>
                <w:rFonts w:cstheme="minorHAnsi"/>
                <w:sz w:val="18"/>
                <w:szCs w:val="18"/>
              </w:rPr>
            </w:pPr>
            <w:r>
              <w:rPr>
                <w:rFonts w:cstheme="minorHAnsi"/>
                <w:sz w:val="18"/>
                <w:szCs w:val="18"/>
              </w:rPr>
              <w:t>Pipe</w:t>
            </w:r>
          </w:p>
        </w:tc>
      </w:tr>
    </w:tbl>
    <w:p w14:paraId="7297BC44">
      <w:pPr>
        <w:spacing w:after="240"/>
        <w:jc w:val="center"/>
        <w:rPr>
          <w:rFonts w:cstheme="minorHAnsi"/>
          <w:sz w:val="18"/>
          <w:szCs w:val="18"/>
        </w:rPr>
      </w:pPr>
    </w:p>
    <w:p w14:paraId="421E7424">
      <w:pPr>
        <w:pStyle w:val="3"/>
        <w:spacing w:before="120" w:beforeLines="50" w:after="120" w:afterLines="50" w:line="240" w:lineRule="auto"/>
        <w:ind w:left="578" w:hanging="578"/>
        <w:rPr>
          <w:rFonts w:asciiTheme="minorHAnsi" w:hAnsiTheme="minorHAnsi" w:cstheme="minorHAnsi"/>
        </w:rPr>
      </w:pPr>
      <w:bookmarkStart w:id="18" w:name="_Toc199429742"/>
      <w:r>
        <w:rPr>
          <w:rFonts w:asciiTheme="minorHAnsi" w:hAnsiTheme="minorHAnsi" w:cstheme="minorHAnsi"/>
        </w:rPr>
        <w:t>Wiring</w:t>
      </w:r>
      <w:bookmarkEnd w:id="18"/>
    </w:p>
    <w:p w14:paraId="255A513C">
      <w:pPr>
        <w:pStyle w:val="4"/>
        <w:spacing w:before="120" w:beforeLines="50" w:after="120" w:afterLines="50"/>
        <w:rPr>
          <w:rFonts w:asciiTheme="minorHAnsi" w:hAnsiTheme="minorHAnsi" w:cstheme="minorHAnsi"/>
        </w:rPr>
      </w:pPr>
      <w:bookmarkStart w:id="19" w:name="_Toc199429743"/>
      <w:r>
        <w:rPr>
          <w:rFonts w:asciiTheme="minorHAnsi" w:hAnsiTheme="minorHAnsi" w:cstheme="minorHAnsi"/>
        </w:rPr>
        <w:t>Wiring of FF、PA、HART intelligent transmitter</w:t>
      </w:r>
      <w:bookmarkEnd w:id="19"/>
      <w:r>
        <w:rPr>
          <w:rFonts w:asciiTheme="minorHAnsi" w:hAnsiTheme="minorHAnsi" w:cstheme="minorHAnsi"/>
        </w:rPr>
        <w:t xml:space="preserve"> </w:t>
      </w:r>
    </w:p>
    <w:p w14:paraId="14EB4191">
      <w:pPr>
        <w:pStyle w:val="40"/>
        <w:spacing w:after="240" w:line="240" w:lineRule="auto"/>
        <w:ind w:left="0"/>
        <w:rPr>
          <w:rFonts w:cstheme="minorHAnsi"/>
          <w:sz w:val="21"/>
          <w:szCs w:val="21"/>
        </w:rPr>
      </w:pPr>
      <w:r>
        <w:rPr>
          <w:rFonts w:cstheme="minorHAnsi"/>
          <w:sz w:val="21"/>
          <w:szCs w:val="21"/>
        </w:rPr>
        <w:t>The power and signal of the intelligent transmitter share a pair of cables, which are called bus cables. HART type intelligent transmitter can choose ordinary cable, FF type and PA type intelligent transmitter are recommended to use the field bus special cable recommended by IEC61158-2. The wiring terminals of the intelligent transmitter are located on the back cover side (marked with FIELD TERMINAL), and the wiring terminal board can be seen by unscrewing the back cover.</w:t>
      </w:r>
    </w:p>
    <w:p w14:paraId="203F1831">
      <w:pPr>
        <w:pStyle w:val="40"/>
        <w:keepNext/>
        <w:spacing w:after="240" w:line="240" w:lineRule="auto"/>
        <w:rPr>
          <w:rFonts w:cstheme="minorHAnsi"/>
        </w:rPr>
      </w:pPr>
      <w:r>
        <w:rPr>
          <w:rFonts w:cstheme="minorHAnsi"/>
        </w:rPr>
        <w:object>
          <v:shape id="_x0000_i1025" o:spt="75" type="#_x0000_t75" style="height:174pt;width:178.65pt;" o:ole="t" filled="f" o:preferrelative="t" stroked="f" coordsize="21600,21600">
            <v:path/>
            <v:fill on="f" focussize="0,0"/>
            <v:stroke on="f" joinstyle="miter"/>
            <v:imagedata r:id="rId27" o:title=""/>
            <o:lock v:ext="edit" aspectratio="t"/>
            <w10:wrap type="none"/>
            <w10:anchorlock/>
          </v:shape>
          <o:OLEObject Type="Embed" ProgID="Visio.Drawing.11" ShapeID="_x0000_i1025" DrawAspect="Content" ObjectID="_1468075725" r:id="rId26">
            <o:LockedField>false</o:LockedField>
          </o:OLEObject>
        </w:object>
      </w:r>
      <w:r>
        <w:rPr>
          <w:rFonts w:cstheme="minorHAnsi"/>
        </w:rPr>
        <w:tab/>
      </w:r>
      <w:r>
        <w:rPr>
          <w:rFonts w:cstheme="minorHAnsi"/>
        </w:rPr>
        <w:tab/>
      </w:r>
      <w:r>
        <w:rPr>
          <w:rFonts w:cstheme="minorHAnsi"/>
        </w:rPr>
        <w:tab/>
      </w:r>
      <w:r>
        <w:rPr>
          <w:rFonts w:cstheme="minorHAnsi"/>
        </w:rPr>
        <w:tab/>
      </w:r>
      <w:r>
        <w:rPr>
          <w:rFonts w:cstheme="minorHAnsi"/>
        </w:rPr>
        <w:object>
          <v:shape id="_x0000_i1026" o:spt="75" type="#_x0000_t75" style="height:174pt;width:190pt;" o:ole="t" filled="f" o:preferrelative="t" stroked="f" coordsize="21600,21600">
            <v:path/>
            <v:fill on="f" focussize="0,0"/>
            <v:stroke on="f" joinstyle="miter"/>
            <v:imagedata r:id="rId29" o:title=""/>
            <o:lock v:ext="edit" aspectratio="t"/>
            <w10:wrap type="none"/>
            <w10:anchorlock/>
          </v:shape>
          <o:OLEObject Type="Embed" ProgID="Visio.Drawing.11" ShapeID="_x0000_i1026" DrawAspect="Content" ObjectID="_1468075726" r:id="rId28">
            <o:LockedField>false</o:LockedField>
          </o:OLEObject>
        </w:object>
      </w:r>
    </w:p>
    <w:p w14:paraId="2F8FD257">
      <w:pPr>
        <w:pStyle w:val="12"/>
        <w:spacing w:before="120" w:after="120"/>
        <w:rPr>
          <w:rFonts w:asciiTheme="minorHAnsi" w:hAnsiTheme="minorHAnsi" w:cstheme="minorHAnsi"/>
        </w:rPr>
      </w:pPr>
      <w:bookmarkStart w:id="20" w:name="_Ref83285019"/>
      <w:bookmarkStart w:id="21" w:name="_Ref83285201"/>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w:t>
      </w:r>
      <w:bookmarkEnd w:id="20"/>
      <w:r>
        <w:rPr>
          <w:rFonts w:asciiTheme="minorHAnsi" w:hAnsiTheme="minorHAnsi" w:cstheme="minorHAnsi"/>
        </w:rPr>
        <w:t xml:space="preserve">8 </w:t>
      </w:r>
      <w:r>
        <w:rPr>
          <w:rFonts w:asciiTheme="minorHAnsi" w:hAnsiTheme="minorHAnsi" w:cstheme="minorHAnsi"/>
          <w:szCs w:val="18"/>
        </w:rPr>
        <w:t>FF、PA</w:t>
      </w:r>
      <w:r>
        <w:rPr>
          <w:rFonts w:asciiTheme="minorHAnsi" w:hAnsiTheme="minorHAnsi" w:cstheme="minorHAnsi"/>
        </w:rPr>
        <w:t xml:space="preserve"> </w:t>
      </w:r>
      <w:r>
        <w:rPr>
          <w:rFonts w:asciiTheme="minorHAnsi" w:hAnsiTheme="minorHAnsi" w:cstheme="minorHAnsi"/>
          <w:szCs w:val="18"/>
        </w:rPr>
        <w:t>intelligent transmitter wiring diagram</w:t>
      </w:r>
      <w:r>
        <w:rPr>
          <w:rFonts w:asciiTheme="minorHAnsi" w:hAnsiTheme="minorHAnsi" w:cstheme="minorHAnsi"/>
          <w:szCs w:val="18"/>
        </w:rPr>
        <w:tab/>
      </w:r>
      <w:r>
        <w:rPr>
          <w:rFonts w:asciiTheme="minorHAnsi" w:hAnsiTheme="minorHAnsi" w:cstheme="minorHAnsi"/>
          <w:szCs w:val="18"/>
        </w:rPr>
        <w:tab/>
      </w:r>
      <w:r>
        <w:rPr>
          <w:rFonts w:asciiTheme="minorHAnsi" w:hAnsiTheme="minorHAnsi" w:cstheme="minorHAnsi"/>
          <w:szCs w:val="18"/>
        </w:rPr>
        <w:t xml:space="preserve">     </w:t>
      </w: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.9 HART intelligent transmitter wiring diagram</w:t>
      </w:r>
      <w:bookmarkEnd w:id="21"/>
    </w:p>
    <w:p w14:paraId="3B851279">
      <w:pPr>
        <w:pStyle w:val="40"/>
        <w:spacing w:after="240" w:line="240" w:lineRule="auto"/>
        <w:ind w:left="0"/>
        <w:rPr>
          <w:rFonts w:cstheme="minorHAnsi"/>
          <w:sz w:val="21"/>
          <w:szCs w:val="21"/>
        </w:rPr>
      </w:pPr>
      <w:r>
        <w:rPr>
          <w:rFonts w:cstheme="minorHAnsi"/>
          <w:sz w:val="21"/>
          <w:szCs w:val="21"/>
        </w:rPr>
        <w:t>The left terminal of the terminal board is the signal positive terminal, the right terminal is the test positive terminal, and the middle terminal is the signal negative terminal and the test negative terminal. The power is supplied to the intelligent transmitter through the signal line, and the test terminal is only available in the HART type intelligent transmitter, which is used to connect the test instrument.</w:t>
      </w:r>
    </w:p>
    <w:p w14:paraId="7B226EA4">
      <w:pPr>
        <w:pStyle w:val="40"/>
        <w:spacing w:after="240" w:line="240" w:lineRule="auto"/>
        <w:ind w:left="0"/>
        <w:rPr>
          <w:rFonts w:cstheme="minorHAnsi"/>
          <w:sz w:val="21"/>
          <w:szCs w:val="21"/>
        </w:rPr>
      </w:pPr>
      <w:r>
        <w:rPr>
          <w:rFonts w:cstheme="minorHAnsi"/>
          <w:sz w:val="21"/>
          <w:szCs w:val="21"/>
        </w:rPr>
        <w:t>The signal wire is perforated to the terminal board through the lead wire, the positive signal is connected to the terminal on the left side of the terminal board (see Figure 2.9), and the negative signal is connected to the middle terminal of the terminal board. The shielding layer of the signal line can be floating or grounded at any point in the signal loop. When connecting the test instrument for testing the analog signal of the HART type intelligent transmitter, the threading method is the same as the signal line. The difference is that the positive input line of the test instrument is connected to the wiring terminal on the right side of the HART type intelligent transmitter terminal board (see Figure 2.10). The connection of the negative input line of the test instrument is the same as that of the signal negative.</w:t>
      </w:r>
    </w:p>
    <w:p w14:paraId="72FB7CBD">
      <w:pPr>
        <w:pStyle w:val="40"/>
        <w:spacing w:after="240" w:line="240" w:lineRule="auto"/>
        <w:ind w:left="0"/>
        <w:rPr>
          <w:rFonts w:cstheme="minorHAnsi"/>
          <w:sz w:val="21"/>
          <w:szCs w:val="21"/>
        </w:rPr>
      </w:pPr>
      <w:r>
        <w:rPr>
          <w:rFonts w:cstheme="minorHAnsi"/>
          <w:b/>
          <w:bCs/>
          <w:sz w:val="21"/>
          <w:szCs w:val="21"/>
        </w:rPr>
        <w:t>Note:</w:t>
      </w:r>
      <w:r>
        <w:rPr>
          <w:rFonts w:cstheme="minorHAnsi"/>
          <w:sz w:val="21"/>
          <w:szCs w:val="21"/>
        </w:rPr>
        <w:t xml:space="preserve"> When connecting the HART type intelligent transmitter, do not connect the signal wire to the test terminal, otherwise the built-in diode will be burned. If the diode burns out, short circuit the two test terminals as an emergency.</w:t>
      </w:r>
    </w:p>
    <w:p w14:paraId="34ED65E8">
      <w:pPr>
        <w:pStyle w:val="40"/>
        <w:spacing w:after="240" w:line="240" w:lineRule="auto"/>
        <w:ind w:left="0"/>
        <w:rPr>
          <w:rFonts w:cstheme="minorHAnsi"/>
          <w:sz w:val="21"/>
          <w:szCs w:val="21"/>
        </w:rPr>
      </w:pPr>
      <w:r>
        <w:rPr>
          <w:rFonts w:cstheme="minorHAnsi"/>
          <w:sz w:val="21"/>
          <w:szCs w:val="21"/>
        </w:rPr>
        <w:t>The bus cable of the intelligent transmitter should not share the conduit or wire duct with the power lines of other devices, and should be kept away from high-power devices.</w:t>
      </w:r>
    </w:p>
    <w:p w14:paraId="126B49E1">
      <w:pPr>
        <w:pStyle w:val="4"/>
        <w:spacing w:before="120" w:beforeLines="50" w:after="120" w:afterLines="50"/>
        <w:rPr>
          <w:rFonts w:asciiTheme="minorHAnsi" w:hAnsiTheme="minorHAnsi" w:cstheme="minorHAnsi"/>
        </w:rPr>
      </w:pPr>
      <w:bookmarkStart w:id="22" w:name="_Toc199429744"/>
      <w:r>
        <w:rPr>
          <w:rFonts w:asciiTheme="minorHAnsi" w:hAnsiTheme="minorHAnsi" w:cstheme="minorHAnsi"/>
        </w:rPr>
        <w:t>Wiring of DP intelligent transmitter</w:t>
      </w:r>
      <w:bookmarkEnd w:id="22"/>
    </w:p>
    <w:p w14:paraId="38FDF2FD">
      <w:pPr>
        <w:pStyle w:val="40"/>
        <w:spacing w:after="240" w:line="240" w:lineRule="auto"/>
        <w:ind w:left="0"/>
        <w:rPr>
          <w:rFonts w:cstheme="minorHAnsi"/>
          <w:sz w:val="21"/>
          <w:szCs w:val="21"/>
        </w:rPr>
      </w:pPr>
      <w:r>
        <w:rPr>
          <w:rFonts w:cstheme="minorHAnsi"/>
          <w:sz w:val="21"/>
          <w:szCs w:val="21"/>
        </w:rPr>
        <w:t>The wiring terminals of the intelligent transmitter are located on the back cover side (marked with FIELD TERMINAL), and the wiring terminal board can be seen by unscrewing the back cover.</w:t>
      </w:r>
    </w:p>
    <w:p w14:paraId="015F9ADF">
      <w:pPr>
        <w:keepNext/>
        <w:spacing w:after="240"/>
        <w:jc w:val="center"/>
        <w:rPr>
          <w:rFonts w:cstheme="minorHAnsi"/>
        </w:rPr>
      </w:pPr>
      <w:r>
        <w:rPr>
          <w:rFonts w:cstheme="minorHAnsi"/>
        </w:rPr>
        <w:object>
          <v:shape id="_x0000_i1027" o:spt="75" type="#_x0000_t75" style="height:198.65pt;width:190pt;" o:ole="t" filled="f" o:preferrelative="t" stroked="f" coordsize="21600,21600">
            <v:path/>
            <v:fill on="f" focussize="0,0"/>
            <v:stroke on="f" joinstyle="miter"/>
            <v:imagedata r:id="rId31" o:title=""/>
            <o:lock v:ext="edit" aspectratio="t"/>
            <w10:wrap type="none"/>
            <w10:anchorlock/>
          </v:shape>
          <o:OLEObject Type="Embed" ProgID="Visio.Drawing.11" ShapeID="_x0000_i1027" DrawAspect="Content" ObjectID="_1468075727" r:id="rId30">
            <o:LockedField>false</o:LockedField>
          </o:OLEObject>
        </w:object>
      </w:r>
    </w:p>
    <w:p w14:paraId="4BC51103">
      <w:pPr>
        <w:pStyle w:val="12"/>
        <w:spacing w:before="120" w:after="120"/>
        <w:rPr>
          <w:rFonts w:asciiTheme="minorHAnsi" w:hAnsiTheme="minorHAnsi" w:cstheme="minorHAnsi"/>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图 \* ARABIC \s 1 </w:instrText>
      </w:r>
      <w:r>
        <w:rPr>
          <w:rFonts w:asciiTheme="minorHAnsi" w:hAnsiTheme="minorHAnsi" w:cstheme="minorHAnsi"/>
        </w:rPr>
        <w:fldChar w:fldCharType="separate"/>
      </w:r>
      <w:r>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cstheme="minorHAnsi"/>
          <w:szCs w:val="18"/>
        </w:rPr>
        <w:t>DP intelligent transmitter wiring diagram</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3544"/>
      </w:tblGrid>
      <w:tr w14:paraId="51BD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47" w:type="dxa"/>
            <w:shd w:val="clear" w:color="auto" w:fill="auto"/>
            <w:vAlign w:val="center"/>
          </w:tcPr>
          <w:p w14:paraId="622A7C2D">
            <w:pPr>
              <w:spacing w:after="240"/>
              <w:ind w:firstLine="180" w:firstLineChars="100"/>
              <w:jc w:val="left"/>
              <w:rPr>
                <w:rFonts w:cstheme="minorHAnsi"/>
                <w:sz w:val="18"/>
                <w:szCs w:val="18"/>
              </w:rPr>
            </w:pPr>
            <w:r>
              <w:rPr>
                <w:rFonts w:cstheme="minorHAnsi"/>
                <w:sz w:val="18"/>
                <w:szCs w:val="18"/>
              </w:rPr>
              <w:object>
                <v:shape id="_x0000_i1028" o:spt="75" type="#_x0000_t75" style="height:42pt;width:48.65pt;" o:ole="t" filled="f" o:preferrelative="t" stroked="f" coordsize="21600,21600">
                  <v:path/>
                  <v:fill on="f" focussize="0,0"/>
                  <v:stroke on="f" joinstyle="miter"/>
                  <v:imagedata r:id="rId33" o:title=""/>
                  <o:lock v:ext="edit" aspectratio="t"/>
                  <w10:wrap type="none"/>
                  <w10:anchorlock/>
                </v:shape>
                <o:OLEObject Type="Embed" ProgID="Visio.Drawing.11" ShapeID="_x0000_i1028" DrawAspect="Content" ObjectID="_1468075728" r:id="rId32">
                  <o:LockedField>false</o:LockedField>
                </o:OLEObject>
              </w:object>
            </w:r>
          </w:p>
        </w:tc>
        <w:tc>
          <w:tcPr>
            <w:tcW w:w="3544" w:type="dxa"/>
            <w:shd w:val="clear" w:color="auto" w:fill="auto"/>
            <w:vAlign w:val="center"/>
          </w:tcPr>
          <w:p w14:paraId="12EAB8B8">
            <w:pPr>
              <w:spacing w:after="240"/>
              <w:jc w:val="left"/>
              <w:rPr>
                <w:rFonts w:cstheme="minorHAnsi"/>
                <w:kern w:val="0"/>
                <w:sz w:val="18"/>
                <w:szCs w:val="18"/>
              </w:rPr>
            </w:pPr>
            <w:r>
              <w:rPr>
                <w:rFonts w:cstheme="minorHAnsi"/>
                <w:kern w:val="0"/>
                <w:sz w:val="18"/>
                <w:szCs w:val="18"/>
              </w:rPr>
              <w:t>Provide a stable DC 24V power supply for the device.</w:t>
            </w:r>
          </w:p>
        </w:tc>
      </w:tr>
      <w:tr w14:paraId="301A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shd w:val="clear" w:color="auto" w:fill="auto"/>
            <w:vAlign w:val="center"/>
          </w:tcPr>
          <w:p w14:paraId="62743C9A">
            <w:pPr>
              <w:spacing w:after="240"/>
              <w:jc w:val="center"/>
              <w:rPr>
                <w:rFonts w:cstheme="minorHAnsi"/>
                <w:sz w:val="18"/>
                <w:szCs w:val="18"/>
              </w:rPr>
            </w:pPr>
            <w:r>
              <w:rPr>
                <w:rFonts w:cstheme="minorHAnsi"/>
                <w:sz w:val="18"/>
                <w:szCs w:val="18"/>
              </w:rPr>
              <w:object>
                <v:shape id="_x0000_i1029" o:spt="75" type="#_x0000_t75" style="height:48.65pt;width:107.35pt;" o:ole="t" filled="f" o:preferrelative="t" stroked="f" coordsize="21600,21600">
                  <v:path/>
                  <v:fill on="f" focussize="0,0"/>
                  <v:stroke on="f" joinstyle="miter"/>
                  <v:imagedata r:id="rId35" o:title=""/>
                  <o:lock v:ext="edit" aspectratio="t"/>
                  <w10:wrap type="none"/>
                  <w10:anchorlock/>
                </v:shape>
                <o:OLEObject Type="Embed" ProgID="Visio.Drawing.11" ShapeID="_x0000_i1029" DrawAspect="Content" ObjectID="_1468075729" r:id="rId34">
                  <o:LockedField>false</o:LockedField>
                </o:OLEObject>
              </w:object>
            </w:r>
          </w:p>
        </w:tc>
        <w:tc>
          <w:tcPr>
            <w:tcW w:w="3544" w:type="dxa"/>
            <w:shd w:val="clear" w:color="auto" w:fill="auto"/>
            <w:vAlign w:val="center"/>
          </w:tcPr>
          <w:p w14:paraId="2045C819">
            <w:pPr>
              <w:spacing w:after="240"/>
              <w:jc w:val="left"/>
              <w:rPr>
                <w:rFonts w:cstheme="minorHAnsi"/>
                <w:kern w:val="0"/>
                <w:sz w:val="18"/>
                <w:szCs w:val="18"/>
              </w:rPr>
            </w:pPr>
            <w:r>
              <w:rPr>
                <w:rFonts w:cstheme="minorHAnsi"/>
                <w:kern w:val="0"/>
                <w:sz w:val="18"/>
                <w:szCs w:val="18"/>
              </w:rPr>
              <w:t>Provides bus signals to devices.</w:t>
            </w:r>
          </w:p>
        </w:tc>
      </w:tr>
    </w:tbl>
    <w:p w14:paraId="773CD1CE">
      <w:pPr>
        <w:pStyle w:val="40"/>
        <w:spacing w:before="120" w:beforeLines="50" w:after="120" w:afterLines="50" w:line="240" w:lineRule="auto"/>
        <w:ind w:left="0"/>
        <w:rPr>
          <w:rFonts w:cstheme="minorHAnsi"/>
          <w:sz w:val="21"/>
          <w:szCs w:val="21"/>
        </w:rPr>
      </w:pPr>
      <w:r>
        <w:rPr>
          <w:rFonts w:cstheme="minorHAnsi"/>
          <w:sz w:val="21"/>
          <w:szCs w:val="21"/>
        </w:rPr>
        <w:t>The bus cable of the intelligent transmitter should not share the conduit or wire duct with the power lines of other devices, and should be kept away from high-power devices.</w:t>
      </w:r>
    </w:p>
    <w:p w14:paraId="7349BB40">
      <w:pPr>
        <w:keepNext/>
        <w:spacing w:after="240"/>
        <w:jc w:val="center"/>
        <w:rPr>
          <w:rFonts w:cstheme="minorHAnsi"/>
        </w:rPr>
      </w:pPr>
      <w:r>
        <w:rPr>
          <w:rFonts w:cstheme="minorHAnsi"/>
        </w:rPr>
        <w:object>
          <v:shape id="_x0000_i1030" o:spt="75" type="#_x0000_t75" style="height:215.35pt;width:357.35pt;" o:ole="t" filled="f" o:preferrelative="t" stroked="f" coordsize="21600,21600">
            <v:path/>
            <v:fill on="f" focussize="0,0"/>
            <v:stroke on="f" joinstyle="miter"/>
            <v:imagedata r:id="rId37" o:title=""/>
            <o:lock v:ext="edit" aspectratio="t"/>
            <w10:wrap type="none"/>
            <w10:anchorlock/>
          </v:shape>
          <o:OLEObject Type="Embed" ProgID="Visio.Drawing.11" ShapeID="_x0000_i1030" DrawAspect="Content" ObjectID="_1468075730" r:id="rId36">
            <o:LockedField>false</o:LockedField>
          </o:OLEObject>
        </w:object>
      </w:r>
    </w:p>
    <w:p w14:paraId="6EA18A59">
      <w:pPr>
        <w:pStyle w:val="12"/>
        <w:spacing w:before="120" w:after="120"/>
        <w:rPr>
          <w:rFonts w:asciiTheme="minorHAnsi" w:hAnsiTheme="minorHAnsi" w:cstheme="minorHAnsi"/>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图 \* ARABIC \s 1 </w:instrText>
      </w:r>
      <w:r>
        <w:rPr>
          <w:rFonts w:asciiTheme="minorHAnsi" w:hAnsiTheme="minorHAnsi" w:cstheme="minorHAnsi"/>
        </w:rPr>
        <w:fldChar w:fldCharType="separate"/>
      </w:r>
      <w:r>
        <w:rPr>
          <w:rFonts w:asciiTheme="minorHAnsi" w:hAnsiTheme="minorHAnsi" w:cstheme="minorHAnsi"/>
        </w:rPr>
        <w:t>8</w:t>
      </w:r>
      <w:r>
        <w:rPr>
          <w:rFonts w:asciiTheme="minorHAnsi" w:hAnsiTheme="minorHAnsi" w:cstheme="minorHAnsi"/>
        </w:rPr>
        <w:fldChar w:fldCharType="end"/>
      </w:r>
      <w:r>
        <w:rPr>
          <w:rFonts w:asciiTheme="minorHAnsi" w:hAnsiTheme="minorHAnsi" w:cstheme="minorHAnsi"/>
        </w:rPr>
        <w:t xml:space="preserve"> DIP switch configuration</w:t>
      </w:r>
    </w:p>
    <w:p w14:paraId="46455B2A">
      <w:pPr>
        <w:pStyle w:val="40"/>
        <w:spacing w:after="240" w:line="240" w:lineRule="auto"/>
        <w:ind w:left="0"/>
        <w:rPr>
          <w:rFonts w:cstheme="minorHAnsi"/>
          <w:sz w:val="21"/>
          <w:szCs w:val="21"/>
        </w:rPr>
      </w:pPr>
      <w:r>
        <w:rPr>
          <w:rFonts w:cstheme="minorHAnsi"/>
          <w:sz w:val="21"/>
          <w:szCs w:val="21"/>
        </w:rPr>
        <w:t>When shipped from the factory, all DIP switches are "off".</w:t>
      </w:r>
    </w:p>
    <w:p w14:paraId="6DC72436">
      <w:pPr>
        <w:pStyle w:val="40"/>
        <w:spacing w:after="240" w:line="240" w:lineRule="auto"/>
        <w:ind w:left="0"/>
        <w:rPr>
          <w:rFonts w:cstheme="minorHAnsi"/>
          <w:sz w:val="21"/>
          <w:szCs w:val="21"/>
        </w:rPr>
      </w:pPr>
      <w:r>
        <w:rPr>
          <w:rFonts w:cstheme="minorHAnsi"/>
          <w:sz w:val="21"/>
          <w:szCs w:val="21"/>
        </w:rPr>
        <w:t>The functions of setting the device address and restoring the factory defaults only take effect when the device is powered on again.</w:t>
      </w:r>
    </w:p>
    <w:bookmarkEnd w:id="1"/>
    <w:bookmarkEnd w:id="2"/>
    <w:bookmarkEnd w:id="3"/>
    <w:bookmarkEnd w:id="4"/>
    <w:p w14:paraId="0BC5102D">
      <w:pPr>
        <w:pStyle w:val="3"/>
        <w:spacing w:before="120" w:beforeLines="50" w:after="120" w:afterLines="50" w:line="240" w:lineRule="auto"/>
        <w:ind w:left="578" w:hanging="578"/>
        <w:rPr>
          <w:rFonts w:asciiTheme="minorHAnsi" w:hAnsiTheme="minorHAnsi" w:cstheme="minorHAnsi"/>
        </w:rPr>
      </w:pPr>
      <w:bookmarkStart w:id="23" w:name="_Toc199429745"/>
      <w:r>
        <w:rPr>
          <w:rFonts w:asciiTheme="minorHAnsi" w:hAnsiTheme="minorHAnsi" w:cstheme="minorHAnsi"/>
        </w:rPr>
        <w:t>Re-calibration inspection</w:t>
      </w:r>
      <w:bookmarkEnd w:id="23"/>
    </w:p>
    <w:p w14:paraId="220A38D6">
      <w:pPr>
        <w:pStyle w:val="40"/>
        <w:spacing w:after="240" w:line="240" w:lineRule="auto"/>
        <w:ind w:left="0"/>
        <w:rPr>
          <w:rFonts w:cstheme="minorHAnsi"/>
          <w:sz w:val="21"/>
          <w:szCs w:val="21"/>
        </w:rPr>
      </w:pPr>
      <w:r>
        <w:rPr>
          <w:rFonts w:cstheme="minorHAnsi"/>
          <w:sz w:val="21"/>
          <w:szCs w:val="21"/>
        </w:rPr>
        <w:t>After the user gets the intelligent transmitter, it can be re-calibrated in the test room or on the installation site before it is put into use. Figure 2.13 lists the operational flow.</w:t>
      </w:r>
    </w:p>
    <w:p w14:paraId="7D331CD7">
      <w:pPr>
        <w:pStyle w:val="40"/>
        <w:keepNext/>
        <w:spacing w:after="240" w:line="240" w:lineRule="auto"/>
        <w:ind w:left="0"/>
        <w:jc w:val="center"/>
        <w:rPr>
          <w:rFonts w:cstheme="minorHAnsi"/>
        </w:rPr>
      </w:pPr>
      <w:bookmarkStart w:id="24" w:name="_Toc182881675"/>
      <w:r>
        <w:rPr>
          <w:rFonts w:cstheme="minorHAnsi"/>
        </w:rPr>
        <w:object>
          <v:shape id="_x0000_i1031" o:spt="75" type="#_x0000_t75" style="height:115.35pt;width:484pt;" o:ole="t" filled="f" o:preferrelative="t" stroked="f" coordsize="21600,21600">
            <v:path/>
            <v:fill on="f" focussize="0,0"/>
            <v:stroke on="f" joinstyle="miter"/>
            <v:imagedata r:id="rId39" o:title=""/>
            <o:lock v:ext="edit" aspectratio="t"/>
            <w10:wrap type="none"/>
            <w10:anchorlock/>
          </v:shape>
          <o:OLEObject Type="Embed" ProgID="Visio.Drawing.11" ShapeID="_x0000_i1031" DrawAspect="Content" ObjectID="_1468075731" r:id="rId38">
            <o:LockedField>false</o:LockedField>
          </o:OLEObject>
        </w:object>
      </w:r>
    </w:p>
    <w:p w14:paraId="2CE65FAA">
      <w:pPr>
        <w:pStyle w:val="12"/>
        <w:spacing w:before="120" w:after="120"/>
        <w:rPr>
          <w:rFonts w:asciiTheme="minorHAnsi" w:hAnsiTheme="minorHAnsi" w:cstheme="minorHAnsi"/>
        </w:rPr>
      </w:pPr>
      <w:bookmarkStart w:id="25" w:name="_Ref83287104"/>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图 \* ARABIC \s 1 </w:instrText>
      </w:r>
      <w:r>
        <w:rPr>
          <w:rFonts w:asciiTheme="minorHAnsi" w:hAnsiTheme="minorHAnsi" w:cstheme="minorHAnsi"/>
        </w:rPr>
        <w:fldChar w:fldCharType="separate"/>
      </w:r>
      <w:r>
        <w:rPr>
          <w:rFonts w:asciiTheme="minorHAnsi" w:hAnsiTheme="minorHAnsi" w:cstheme="minorHAnsi"/>
        </w:rPr>
        <w:t>9</w:t>
      </w:r>
      <w:r>
        <w:rPr>
          <w:rFonts w:asciiTheme="minorHAnsi" w:hAnsiTheme="minorHAnsi" w:cstheme="minorHAnsi"/>
        </w:rPr>
        <w:fldChar w:fldCharType="end"/>
      </w:r>
      <w:bookmarkEnd w:id="25"/>
      <w:r>
        <w:rPr>
          <w:rFonts w:asciiTheme="minorHAnsi" w:hAnsiTheme="minorHAnsi" w:cstheme="minorHAnsi"/>
        </w:rPr>
        <w:t xml:space="preserve"> Intelligent transmitter recalibration inspection process</w:t>
      </w:r>
    </w:p>
    <w:p w14:paraId="1CF0C477">
      <w:pPr>
        <w:pStyle w:val="40"/>
        <w:spacing w:after="240" w:line="240" w:lineRule="auto"/>
        <w:ind w:left="0"/>
        <w:rPr>
          <w:rFonts w:cstheme="minorHAnsi"/>
          <w:sz w:val="21"/>
          <w:szCs w:val="21"/>
        </w:rPr>
      </w:pPr>
      <w:r>
        <w:rPr>
          <w:rFonts w:cstheme="minorHAnsi"/>
          <w:sz w:val="21"/>
          <w:szCs w:val="21"/>
        </w:rPr>
        <w:t>The content of the intelligent transmitter re-calibration check includes: function check and pressure check; for the specific check method, please refer to the following chapters.</w:t>
      </w:r>
    </w:p>
    <w:p w14:paraId="5BADDC8D">
      <w:pPr>
        <w:pStyle w:val="3"/>
        <w:spacing w:before="120" w:beforeLines="50" w:after="120" w:afterLines="50" w:line="240" w:lineRule="auto"/>
        <w:ind w:left="578" w:hanging="578"/>
        <w:rPr>
          <w:rFonts w:asciiTheme="minorHAnsi" w:hAnsiTheme="minorHAnsi" w:cstheme="minorHAnsi"/>
        </w:rPr>
      </w:pPr>
      <w:bookmarkStart w:id="26" w:name="_Toc199429746"/>
      <w:r>
        <w:rPr>
          <w:rFonts w:asciiTheme="minorHAnsi" w:hAnsiTheme="minorHAnsi" w:cstheme="minorHAnsi"/>
        </w:rPr>
        <w:t>Installation of explosion-proof transmitter</w:t>
      </w:r>
      <w:bookmarkEnd w:id="26"/>
    </w:p>
    <w:p w14:paraId="37F2E677">
      <w:pPr>
        <w:pStyle w:val="40"/>
        <w:spacing w:after="240" w:line="240" w:lineRule="auto"/>
        <w:ind w:left="0"/>
        <w:rPr>
          <w:rFonts w:cstheme="minorHAnsi"/>
          <w:sz w:val="21"/>
          <w:szCs w:val="21"/>
        </w:rPr>
      </w:pPr>
      <w:r>
        <w:rPr>
          <w:rFonts w:cstheme="minorHAnsi"/>
          <w:sz w:val="21"/>
          <w:szCs w:val="21"/>
        </w:rPr>
        <w:t>When used in hazardous locations, the on-site installation of explosion-proof transmitters must comply with the relevant regulations of GB3836.15-2000 "Electrical Equipment for Explosive Gas Environment Part 15: Electrical Installation in Hazardous Locations (except coal and mines)".</w:t>
      </w:r>
    </w:p>
    <w:p w14:paraId="7C802384">
      <w:pPr>
        <w:pStyle w:val="40"/>
        <w:spacing w:after="240" w:line="240" w:lineRule="auto"/>
        <w:ind w:left="0"/>
        <w:rPr>
          <w:rFonts w:cstheme="minorHAnsi"/>
          <w:sz w:val="21"/>
          <w:szCs w:val="21"/>
        </w:rPr>
      </w:pPr>
      <w:r>
        <w:rPr>
          <w:rFonts w:cstheme="minorHAnsi"/>
          <w:sz w:val="21"/>
          <w:szCs w:val="21"/>
        </w:rPr>
        <w:t>Explosion-proof transmitters must be equipped with safety barriers before they can be used in hazardous locations with explosive mixtures. The type and parameters of the safety barrier are selected according to the explosion-proof parameters in the table below. The suffix "X" of the explosion-proof certificate number means that the product must be matched with an isolated safety barrier to form an intrinsically safe explosion-proof system or that each grounding point in the intrinsically safe explosion-proof system where the product is located must ensure equipotential balance.</w:t>
      </w:r>
    </w:p>
    <w:p w14:paraId="5ADF794F">
      <w:pPr>
        <w:pStyle w:val="40"/>
        <w:spacing w:after="240" w:line="240" w:lineRule="auto"/>
        <w:ind w:left="0"/>
        <w:rPr>
          <w:rFonts w:cstheme="minorHAnsi"/>
          <w:sz w:val="21"/>
          <w:szCs w:val="21"/>
        </w:rPr>
      </w:pPr>
      <w:bookmarkStart w:id="27" w:name="_Toc183334306"/>
      <w:r>
        <w:rPr>
          <w:rFonts w:cstheme="minorHAnsi"/>
          <w:sz w:val="21"/>
          <w:szCs w:val="21"/>
        </w:rPr>
        <w:t>In order to maintain the explosion-proof performance of the installed intelligent transmitter, the following items must be paid attention to during installation:</w:t>
      </w:r>
    </w:p>
    <w:p w14:paraId="4A3DBD5D">
      <w:pPr>
        <w:pStyle w:val="40"/>
        <w:numPr>
          <w:ilvl w:val="0"/>
          <w:numId w:val="8"/>
        </w:numPr>
        <w:spacing w:after="120" w:afterLines="50" w:line="240" w:lineRule="auto"/>
        <w:rPr>
          <w:rFonts w:cstheme="minorHAnsi"/>
          <w:sz w:val="21"/>
          <w:szCs w:val="21"/>
        </w:rPr>
      </w:pPr>
      <w:r>
        <w:rPr>
          <w:rFonts w:cstheme="minorHAnsi"/>
          <w:sz w:val="21"/>
          <w:szCs w:val="21"/>
        </w:rPr>
        <w:t>The housing of the intelligent transmitter must be well grounded.</w:t>
      </w:r>
    </w:p>
    <w:p w14:paraId="3D9687AE">
      <w:pPr>
        <w:pStyle w:val="40"/>
        <w:numPr>
          <w:ilvl w:val="0"/>
          <w:numId w:val="8"/>
        </w:numPr>
        <w:spacing w:after="120" w:afterLines="50" w:line="240" w:lineRule="auto"/>
        <w:rPr>
          <w:rFonts w:cstheme="minorHAnsi"/>
          <w:sz w:val="21"/>
          <w:szCs w:val="21"/>
        </w:rPr>
      </w:pPr>
      <w:r>
        <w:rPr>
          <w:rFonts w:cstheme="minorHAnsi"/>
          <w:sz w:val="21"/>
          <w:szCs w:val="21"/>
        </w:rPr>
        <w:t>The circuit of the intelligent transmitter should not be disassembled or replaced by the user.</w:t>
      </w:r>
    </w:p>
    <w:p w14:paraId="52DFF175">
      <w:pPr>
        <w:pStyle w:val="40"/>
        <w:numPr>
          <w:ilvl w:val="0"/>
          <w:numId w:val="8"/>
        </w:numPr>
        <w:spacing w:after="120" w:afterLines="50" w:line="240" w:lineRule="auto"/>
        <w:rPr>
          <w:rFonts w:cstheme="minorHAnsi"/>
          <w:sz w:val="21"/>
          <w:szCs w:val="21"/>
        </w:rPr>
      </w:pPr>
      <w:r>
        <w:rPr>
          <w:rFonts w:cstheme="minorHAnsi"/>
          <w:sz w:val="21"/>
          <w:szCs w:val="21"/>
        </w:rPr>
        <w:t>The maximum distribution parameters of the signal cable are calculated according to the selected safety barrier parameters and the explosion-proof parameters of the intelligent transmitter.</w:t>
      </w:r>
    </w:p>
    <w:p w14:paraId="743EE7C6">
      <w:pPr>
        <w:pStyle w:val="40"/>
        <w:numPr>
          <w:ilvl w:val="0"/>
          <w:numId w:val="8"/>
        </w:numPr>
        <w:spacing w:after="120" w:afterLines="50" w:line="240" w:lineRule="auto"/>
        <w:rPr>
          <w:rFonts w:cstheme="minorHAnsi"/>
          <w:sz w:val="21"/>
          <w:szCs w:val="21"/>
        </w:rPr>
      </w:pPr>
      <w:r>
        <w:rPr>
          <w:rFonts w:cstheme="minorHAnsi"/>
          <w:sz w:val="21"/>
          <w:szCs w:val="21"/>
        </w:rPr>
        <w:t>The signal cable of the intelligent transmitter must be separated from other cables, and can be shielded by steel pipes and wiring grooves.</w:t>
      </w:r>
    </w:p>
    <w:p w14:paraId="2C4E81B4">
      <w:pPr>
        <w:pStyle w:val="40"/>
        <w:numPr>
          <w:ilvl w:val="0"/>
          <w:numId w:val="8"/>
        </w:numPr>
        <w:spacing w:after="120" w:afterLines="50" w:line="240" w:lineRule="auto"/>
        <w:rPr>
          <w:rFonts w:cstheme="minorHAnsi"/>
          <w:sz w:val="21"/>
          <w:szCs w:val="21"/>
        </w:rPr>
      </w:pPr>
      <w:r>
        <w:rPr>
          <w:rFonts w:cstheme="minorHAnsi"/>
          <w:sz w:val="21"/>
          <w:szCs w:val="21"/>
        </w:rPr>
        <w:t>The shielding layer of the signal line of the intelligent transmitter can be grounded or grounded at a single point.</w:t>
      </w:r>
    </w:p>
    <w:p w14:paraId="5AD2AA16">
      <w:pPr>
        <w:pStyle w:val="40"/>
        <w:numPr>
          <w:ilvl w:val="0"/>
          <w:numId w:val="8"/>
        </w:numPr>
        <w:spacing w:after="120" w:afterLines="50" w:line="240" w:lineRule="auto"/>
        <w:rPr>
          <w:rFonts w:cstheme="minorHAnsi"/>
          <w:sz w:val="21"/>
          <w:szCs w:val="21"/>
        </w:rPr>
      </w:pPr>
      <w:r>
        <w:rPr>
          <w:rFonts w:cstheme="minorHAnsi"/>
          <w:sz w:val="21"/>
          <w:szCs w:val="21"/>
        </w:rPr>
        <w:t>The safety barrier should be installed on the rack at the exit of the safe place.</w:t>
      </w:r>
    </w:p>
    <w:p w14:paraId="5ED3E3B5">
      <w:pPr>
        <w:spacing w:after="240"/>
        <w:rPr>
          <w:rFonts w:cstheme="minorHAnsi"/>
        </w:rPr>
      </w:pPr>
    </w:p>
    <w:p w14:paraId="01D38F2B">
      <w:pPr>
        <w:spacing w:after="240"/>
        <w:rPr>
          <w:rFonts w:cstheme="minorHAnsi"/>
        </w:rPr>
        <w:sectPr>
          <w:pgSz w:w="11907" w:h="16840"/>
          <w:pgMar w:top="1554" w:right="1077" w:bottom="1134" w:left="1077" w:header="680" w:footer="680" w:gutter="0"/>
          <w:cols w:space="425" w:num="1"/>
          <w:docGrid w:linePitch="312" w:charSpace="48128"/>
        </w:sectPr>
      </w:pPr>
    </w:p>
    <w:p w14:paraId="2C281421">
      <w:pPr>
        <w:pStyle w:val="2"/>
      </w:pPr>
      <w:bookmarkStart w:id="28" w:name="_Toc199429747"/>
      <w:r>
        <w:t>Working Principle and Structure</w:t>
      </w:r>
      <w:bookmarkEnd w:id="28"/>
    </w:p>
    <w:bookmarkEnd w:id="24"/>
    <w:bookmarkEnd w:id="27"/>
    <w:p w14:paraId="1898EF9D">
      <w:pPr>
        <w:pStyle w:val="40"/>
        <w:spacing w:after="240" w:line="240" w:lineRule="auto"/>
        <w:ind w:left="0"/>
        <w:rPr>
          <w:rFonts w:cstheme="minorHAnsi"/>
          <w:sz w:val="21"/>
          <w:szCs w:val="21"/>
        </w:rPr>
      </w:pPr>
      <w:bookmarkStart w:id="29" w:name="_Toc166471618"/>
      <w:bookmarkStart w:id="30" w:name="_Toc165172487"/>
      <w:bookmarkStart w:id="31" w:name="_Toc165164071"/>
      <w:bookmarkStart w:id="32" w:name="_Toc165177449"/>
      <w:r>
        <w:rPr>
          <w:rFonts w:cstheme="minorHAnsi"/>
          <w:sz w:val="21"/>
          <w:szCs w:val="21"/>
        </w:rPr>
        <w:t>The pressure measurement principle of the intelligent transmitter is the same. They are all based on monocrystalline silicon pressure sensors, adopt advanced microcontroller and sensor digital measurement technology, and apply high-accuracy algorithms to ensure high-precision measurement of pressure signals. The communication interface of the intelligent transmitter adopts advanced HART, FF H1, PROFIBUS PA bus technology and PROFIBUS DP bus technology.</w:t>
      </w:r>
    </w:p>
    <w:p w14:paraId="3E2D184D">
      <w:pPr>
        <w:pStyle w:val="40"/>
        <w:spacing w:after="240" w:line="240" w:lineRule="auto"/>
        <w:ind w:left="0"/>
        <w:rPr>
          <w:rFonts w:cstheme="minorHAnsi"/>
          <w:sz w:val="21"/>
          <w:szCs w:val="21"/>
        </w:rPr>
      </w:pPr>
      <w:r>
        <w:rPr>
          <w:rFonts w:cstheme="minorHAnsi"/>
          <w:sz w:val="21"/>
          <w:szCs w:val="21"/>
        </w:rPr>
        <w:t>HART, FF H1, and PROFIBUS PA intelligent transmitters have the same logical structure and are composed of five parts, namely sensor, instrument card, communication card, liquid crystal display card, and port card. Refer to Figure 1.2 for the overall structure of the intelligent transmitter and Figure 3.1 for the schematic diagram of the product structure. Due to the same physical layer specifications, the FF and PA intelligent transmitters are identical in hardware; the communication cards and port cards of the FF and PA intelligent transmitters are the same as those of the HART intelligent transmitter. The card is different, but other parts are exactly the same as the corresponding parts of the HART type intelligent transmitter.</w:t>
      </w:r>
    </w:p>
    <w:p w14:paraId="630A19A3">
      <w:pPr>
        <w:keepNext/>
        <w:spacing w:after="240"/>
        <w:jc w:val="center"/>
        <w:rPr>
          <w:rFonts w:cstheme="minorHAnsi"/>
        </w:rPr>
      </w:pPr>
      <w:r>
        <w:rPr>
          <w:rFonts w:cstheme="minorHAnsi"/>
        </w:rPr>
        <w:object>
          <v:shape id="_x0000_i1032" o:spt="75" type="#_x0000_t75" style="height:108pt;width:402.65pt;" o:ole="t" filled="f" o:preferrelative="t" stroked="f" coordsize="21600,21600">
            <v:path/>
            <v:fill on="f" focussize="0,0"/>
            <v:stroke on="f" joinstyle="miter"/>
            <v:imagedata r:id="rId41" o:title=""/>
            <o:lock v:ext="edit" aspectratio="t"/>
            <w10:wrap type="none"/>
            <w10:anchorlock/>
          </v:shape>
          <o:OLEObject Type="Embed" ProgID="Visio.Drawing.11" ShapeID="_x0000_i1032" DrawAspect="Content" ObjectID="_1468075732" r:id="rId40">
            <o:LockedField>false</o:LockedField>
          </o:OLEObject>
        </w:object>
      </w:r>
    </w:p>
    <w:p w14:paraId="15866FFD">
      <w:pPr>
        <w:pStyle w:val="12"/>
        <w:spacing w:before="120" w:after="120"/>
        <w:rPr>
          <w:rFonts w:asciiTheme="minorHAnsi" w:hAnsiTheme="minorHAnsi" w:cstheme="minorHAnsi"/>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3</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图 \* ARABIC \s 1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rPr>
        <w:fldChar w:fldCharType="end"/>
      </w:r>
      <w:r>
        <w:rPr>
          <w:rFonts w:asciiTheme="minorHAnsi" w:hAnsiTheme="minorHAnsi" w:cstheme="minorHAnsi"/>
        </w:rPr>
        <w:t xml:space="preserve"> </w:t>
      </w:r>
      <w:bookmarkEnd w:id="29"/>
      <w:bookmarkEnd w:id="30"/>
      <w:bookmarkEnd w:id="31"/>
      <w:bookmarkEnd w:id="32"/>
      <w:r>
        <w:rPr>
          <w:rFonts w:asciiTheme="minorHAnsi" w:hAnsiTheme="minorHAnsi" w:cstheme="minorHAnsi"/>
          <w:szCs w:val="18"/>
        </w:rPr>
        <w:t>Product structure diagram</w:t>
      </w:r>
    </w:p>
    <w:p w14:paraId="6182F45B">
      <w:pPr>
        <w:pStyle w:val="40"/>
        <w:spacing w:after="240" w:line="240" w:lineRule="auto"/>
        <w:ind w:left="0"/>
        <w:rPr>
          <w:rFonts w:cstheme="minorHAnsi"/>
          <w:sz w:val="21"/>
          <w:szCs w:val="21"/>
        </w:rPr>
      </w:pPr>
      <w:r>
        <w:rPr>
          <w:rFonts w:cstheme="minorHAnsi"/>
          <w:sz w:val="21"/>
          <w:szCs w:val="21"/>
        </w:rPr>
        <w:t>The DP pressure transmitter hardware board is composed of 5 parts, among which the liquid crystal card and the instrument card use the existing circuit board of the pressure transmitter, which will not be described in detail.</w:t>
      </w:r>
    </w:p>
    <w:p w14:paraId="77E530C8">
      <w:pPr>
        <w:pStyle w:val="40"/>
        <w:spacing w:after="240" w:line="240" w:lineRule="auto"/>
        <w:ind w:left="0"/>
        <w:rPr>
          <w:rFonts w:cstheme="minorHAnsi"/>
          <w:sz w:val="21"/>
          <w:szCs w:val="21"/>
        </w:rPr>
      </w:pPr>
      <w:r>
        <w:rPr>
          <w:rFonts w:cstheme="minorHAnsi"/>
          <w:sz w:val="21"/>
          <w:szCs w:val="21"/>
        </w:rPr>
        <w:t>The communication card is composed of CPU, SRAM, VPC3+, EEPROM, etc. It is responsible for DP communication, data communication with the instrument card, driving liquid crystal display, and running various software algorithms.</w:t>
      </w:r>
    </w:p>
    <w:p w14:paraId="2E8D4DD0">
      <w:pPr>
        <w:pStyle w:val="40"/>
        <w:spacing w:after="240" w:line="240" w:lineRule="auto"/>
        <w:ind w:left="0"/>
        <w:rPr>
          <w:rFonts w:cstheme="minorHAnsi"/>
          <w:sz w:val="21"/>
          <w:szCs w:val="21"/>
        </w:rPr>
      </w:pPr>
      <w:r>
        <w:rPr>
          <w:rFonts w:cstheme="minorHAnsi"/>
          <w:sz w:val="21"/>
          <w:szCs w:val="21"/>
        </w:rPr>
        <w:t>The main functions of the isolation card include power conversion, respectively providing power to the communication card, instrument card, DP isolation driver, etc.; using an isolation chip to isolate the communication card from the instrument card and DP driver chip; transfer the DP address switch signal on the port card. For the communication card; there are also two dry tubes for the parameter setting of the magnetic rod.</w:t>
      </w:r>
    </w:p>
    <w:p w14:paraId="7DEEE06D">
      <w:pPr>
        <w:keepNext/>
        <w:spacing w:after="240"/>
        <w:jc w:val="center"/>
        <w:rPr>
          <w:rFonts w:cstheme="minorHAnsi"/>
        </w:rPr>
      </w:pPr>
      <w:r>
        <w:rPr>
          <w:rFonts w:cstheme="minorHAnsi"/>
        </w:rPr>
        <w:object>
          <v:shape id="_x0000_i1033" o:spt="75" type="#_x0000_t75" style="height:160.65pt;width:122pt;" o:ole="t" filled="f" o:preferrelative="t" stroked="f" coordsize="21600,21600">
            <v:path/>
            <v:fill on="f" focussize="0,0"/>
            <v:stroke on="f" joinstyle="miter"/>
            <v:imagedata r:id="rId43" o:title=""/>
            <o:lock v:ext="edit" aspectratio="t"/>
            <w10:wrap type="none"/>
            <w10:anchorlock/>
          </v:shape>
          <o:OLEObject Type="Embed" ProgID="Visio.Drawing.11" ShapeID="_x0000_i1033" DrawAspect="Content" ObjectID="_1468075733" r:id="rId42">
            <o:LockedField>false</o:LockedField>
          </o:OLEObject>
        </w:object>
      </w:r>
    </w:p>
    <w:p w14:paraId="5024BAD2">
      <w:pPr>
        <w:pStyle w:val="12"/>
        <w:spacing w:before="120" w:after="120"/>
        <w:rPr>
          <w:rFonts w:asciiTheme="minorHAnsi" w:hAnsiTheme="minorHAnsi" w:cstheme="minorHAnsi"/>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3</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图 \* ARABIC \s 1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 xml:space="preserve"> Product structure diagram</w:t>
      </w:r>
    </w:p>
    <w:p w14:paraId="2C1FE2A2">
      <w:pPr>
        <w:adjustRightInd w:val="0"/>
        <w:spacing w:after="240"/>
        <w:ind w:firstLine="360" w:firstLineChars="200"/>
        <w:jc w:val="center"/>
        <w:textAlignment w:val="baseline"/>
        <w:rPr>
          <w:rFonts w:cstheme="minorHAnsi"/>
          <w:kern w:val="0"/>
          <w:sz w:val="18"/>
          <w:szCs w:val="18"/>
        </w:rPr>
        <w:sectPr>
          <w:pgSz w:w="11907" w:h="16840"/>
          <w:pgMar w:top="1554" w:right="1077" w:bottom="1134" w:left="1077" w:header="680" w:footer="680" w:gutter="0"/>
          <w:cols w:space="425" w:num="1"/>
          <w:docGrid w:linePitch="312" w:charSpace="48128"/>
        </w:sectPr>
      </w:pPr>
    </w:p>
    <w:p w14:paraId="5E461A3F">
      <w:pPr>
        <w:pStyle w:val="2"/>
      </w:pPr>
      <w:bookmarkStart w:id="33" w:name="_Toc199429748"/>
      <w:bookmarkStart w:id="34" w:name="_Toc165164082"/>
      <w:bookmarkStart w:id="35" w:name="_Toc182881676"/>
      <w:bookmarkStart w:id="36" w:name="_Toc166471629"/>
      <w:bookmarkStart w:id="37" w:name="_Toc165172498"/>
      <w:bookmarkStart w:id="38" w:name="_Toc165177460"/>
      <w:bookmarkStart w:id="39" w:name="_Toc440269423"/>
      <w:r>
        <w:t>On-site adjustment</w:t>
      </w:r>
      <w:bookmarkEnd w:id="33"/>
    </w:p>
    <w:p w14:paraId="4269C1F9">
      <w:pPr>
        <w:pStyle w:val="3"/>
        <w:spacing w:before="120" w:beforeLines="50" w:after="120" w:afterLines="50" w:line="240" w:lineRule="auto"/>
        <w:ind w:left="578" w:hanging="578"/>
        <w:rPr>
          <w:rFonts w:asciiTheme="minorHAnsi" w:hAnsiTheme="minorHAnsi" w:cstheme="minorHAnsi"/>
        </w:rPr>
      </w:pPr>
      <w:bookmarkStart w:id="40" w:name="_Toc199429749"/>
      <w:r>
        <w:rPr>
          <w:rFonts w:asciiTheme="minorHAnsi" w:hAnsiTheme="minorHAnsi" w:cstheme="minorHAnsi"/>
        </w:rPr>
        <w:t>Operating Instructions of Magnetic Bar</w:t>
      </w:r>
      <w:bookmarkEnd w:id="40"/>
    </w:p>
    <w:p w14:paraId="6E433430">
      <w:pPr>
        <w:pStyle w:val="40"/>
        <w:spacing w:after="240" w:line="240" w:lineRule="auto"/>
        <w:ind w:left="0"/>
        <w:rPr>
          <w:rFonts w:cstheme="minorHAnsi"/>
          <w:sz w:val="21"/>
          <w:szCs w:val="21"/>
        </w:rPr>
      </w:pPr>
      <w:r>
        <w:rPr>
          <w:rFonts w:cstheme="minorHAnsi"/>
          <w:sz w:val="21"/>
          <w:szCs w:val="21"/>
        </w:rPr>
        <w:t>The intelligent transmitter can be adjusted on-site by inserting different combinations of magnetic rods into the two jacks marked "SPAN" and "ZERO" on the top of the electronic housing (below the nameplate), as shown in Figure 4.1</w:t>
      </w:r>
    </w:p>
    <w:p w14:paraId="23360143">
      <w:pPr>
        <w:keepNext/>
        <w:spacing w:after="240"/>
        <w:jc w:val="center"/>
        <w:rPr>
          <w:rFonts w:cstheme="minorHAnsi"/>
        </w:rPr>
      </w:pPr>
      <w:r>
        <w:rPr>
          <w:rFonts w:cstheme="minorHAnsi"/>
        </w:rPr>
        <w:drawing>
          <wp:inline distT="0" distB="0" distL="114300" distR="114300">
            <wp:extent cx="4502150" cy="1651000"/>
            <wp:effectExtent l="0" t="0" r="6350" b="0"/>
            <wp:docPr id="57" name="图片 5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图片1"/>
                    <pic:cNvPicPr>
                      <a:picLocks noChangeAspect="1"/>
                    </pic:cNvPicPr>
                  </pic:nvPicPr>
                  <pic:blipFill>
                    <a:blip r:embed="rId44"/>
                    <a:stretch>
                      <a:fillRect/>
                    </a:stretch>
                  </pic:blipFill>
                  <pic:spPr>
                    <a:xfrm>
                      <a:off x="0" y="0"/>
                      <a:ext cx="4502150" cy="1651000"/>
                    </a:xfrm>
                    <a:prstGeom prst="rect">
                      <a:avLst/>
                    </a:prstGeom>
                  </pic:spPr>
                </pic:pic>
              </a:graphicData>
            </a:graphic>
          </wp:inline>
        </w:drawing>
      </w:r>
    </w:p>
    <w:p w14:paraId="69DB2980">
      <w:pPr>
        <w:pStyle w:val="12"/>
        <w:spacing w:before="120" w:after="120"/>
        <w:rPr>
          <w:rFonts w:asciiTheme="minorHAnsi" w:hAnsiTheme="minorHAnsi" w:cstheme="minorHAnsi"/>
        </w:rPr>
      </w:pPr>
      <w:r>
        <w:rPr>
          <w:rFonts w:asciiTheme="minorHAnsi" w:hAnsiTheme="minorHAnsi" w:cstheme="minorHAnsi"/>
        </w:rPr>
        <w:t>Figure 4.1 Magnet jack position and LCD full position display</w:t>
      </w:r>
    </w:p>
    <w:p w14:paraId="17D3FC41">
      <w:pPr>
        <w:pStyle w:val="40"/>
        <w:spacing w:after="240" w:line="240" w:lineRule="auto"/>
        <w:ind w:left="0"/>
        <w:rPr>
          <w:rFonts w:cstheme="minorHAnsi"/>
          <w:sz w:val="21"/>
          <w:szCs w:val="21"/>
        </w:rPr>
      </w:pPr>
      <w:r>
        <w:rPr>
          <w:rFonts w:cstheme="minorHAnsi"/>
          <w:sz w:val="21"/>
          <w:szCs w:val="21"/>
        </w:rPr>
        <w:t>The following sections will use different combinations of magnet insertion to simulate four virtual keys, which will facilitate the description of field tuning.</w:t>
      </w:r>
    </w:p>
    <w:p w14:paraId="3A80FA8B">
      <w:pPr>
        <w:pStyle w:val="40"/>
        <w:spacing w:after="240" w:line="240" w:lineRule="auto"/>
        <w:ind w:left="0"/>
        <w:rPr>
          <w:rFonts w:cstheme="minorHAnsi"/>
          <w:sz w:val="21"/>
          <w:szCs w:val="21"/>
        </w:rPr>
      </w:pPr>
      <w:r>
        <w:rPr>
          <w:rFonts w:cstheme="minorHAnsi"/>
          <w:sz w:val="21"/>
          <w:szCs w:val="21"/>
        </w:rPr>
        <w:t>According to the function, the four virtual keys can be defined as the mode key ([M]), the input adjustment key ([↑], [↓]) and the confirmation key ([Enter]). The functions are as follows:</w:t>
      </w:r>
    </w:p>
    <w:p w14:paraId="0118716E">
      <w:pPr>
        <w:pStyle w:val="40"/>
        <w:numPr>
          <w:ilvl w:val="0"/>
          <w:numId w:val="9"/>
        </w:numPr>
        <w:spacing w:after="240" w:line="240" w:lineRule="auto"/>
        <w:rPr>
          <w:rFonts w:cstheme="minorHAnsi"/>
          <w:sz w:val="21"/>
          <w:szCs w:val="21"/>
        </w:rPr>
      </w:pPr>
      <w:r>
        <w:rPr>
          <w:rFonts w:cstheme="minorHAnsi"/>
          <w:sz w:val="21"/>
          <w:szCs w:val="21"/>
        </w:rPr>
        <w:t>Mode key [M]: Switch between various operable modes；</w:t>
      </w:r>
    </w:p>
    <w:p w14:paraId="21C42EA7">
      <w:pPr>
        <w:pStyle w:val="40"/>
        <w:numPr>
          <w:ilvl w:val="0"/>
          <w:numId w:val="9"/>
        </w:numPr>
        <w:spacing w:after="240" w:line="240" w:lineRule="auto"/>
        <w:rPr>
          <w:rFonts w:cstheme="minorHAnsi"/>
          <w:sz w:val="21"/>
          <w:szCs w:val="21"/>
        </w:rPr>
      </w:pPr>
      <w:r>
        <w:rPr>
          <w:rFonts w:cstheme="minorHAnsi"/>
          <w:sz w:val="21"/>
          <w:szCs w:val="21"/>
        </w:rPr>
        <w:t>Input adjustment key [↑]: Increment operation；</w:t>
      </w:r>
    </w:p>
    <w:p w14:paraId="7E3E7E27">
      <w:pPr>
        <w:pStyle w:val="40"/>
        <w:numPr>
          <w:ilvl w:val="0"/>
          <w:numId w:val="9"/>
        </w:numPr>
        <w:spacing w:after="240" w:line="240" w:lineRule="auto"/>
        <w:rPr>
          <w:rFonts w:cstheme="minorHAnsi"/>
          <w:sz w:val="21"/>
          <w:szCs w:val="21"/>
        </w:rPr>
      </w:pPr>
      <w:r>
        <w:rPr>
          <w:rFonts w:cstheme="minorHAnsi"/>
          <w:sz w:val="21"/>
          <w:szCs w:val="21"/>
        </w:rPr>
        <w:t>Input adjustment key [↓]: decrement operation；</w:t>
      </w:r>
    </w:p>
    <w:p w14:paraId="3E7AA06E">
      <w:pPr>
        <w:pStyle w:val="40"/>
        <w:numPr>
          <w:ilvl w:val="0"/>
          <w:numId w:val="9"/>
        </w:numPr>
        <w:spacing w:after="240" w:line="240" w:lineRule="auto"/>
        <w:rPr>
          <w:rFonts w:cstheme="minorHAnsi"/>
          <w:sz w:val="21"/>
          <w:szCs w:val="21"/>
        </w:rPr>
      </w:pPr>
      <w:r>
        <w:rPr>
          <w:rFonts w:cstheme="minorHAnsi"/>
          <w:sz w:val="21"/>
          <w:szCs w:val="21"/>
        </w:rPr>
        <w:t>Confirm key [Enter]: execute confirmation operation.</w:t>
      </w:r>
    </w:p>
    <w:p w14:paraId="016980BE">
      <w:pPr>
        <w:pStyle w:val="40"/>
        <w:spacing w:after="240" w:line="240" w:lineRule="auto"/>
        <w:ind w:left="0" w:firstLine="420" w:firstLineChars="200"/>
        <w:rPr>
          <w:rFonts w:cstheme="minorHAnsi"/>
          <w:sz w:val="21"/>
          <w:szCs w:val="21"/>
        </w:rPr>
      </w:pPr>
      <w:r>
        <w:rPr>
          <w:rFonts w:cstheme="minorHAnsi"/>
          <w:sz w:val="21"/>
          <w:szCs w:val="21"/>
        </w:rPr>
        <w:t>How to realize the operation of mode key, input adjustment key and confirmation key：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8"/>
        <w:gridCol w:w="1064"/>
        <w:gridCol w:w="1078"/>
        <w:gridCol w:w="3006"/>
      </w:tblGrid>
      <w:tr w14:paraId="5765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678" w:type="dxa"/>
            <w:shd w:val="clear" w:color="auto" w:fill="C0C0C0"/>
            <w:vAlign w:val="center"/>
          </w:tcPr>
          <w:p w14:paraId="477CB843">
            <w:pPr>
              <w:spacing w:after="240"/>
              <w:jc w:val="center"/>
              <w:rPr>
                <w:rFonts w:cstheme="minorHAnsi"/>
                <w:b/>
                <w:sz w:val="18"/>
                <w:szCs w:val="18"/>
              </w:rPr>
            </w:pPr>
            <w:r>
              <w:rPr>
                <w:rFonts w:cstheme="minorHAnsi"/>
                <w:b/>
                <w:sz w:val="18"/>
                <w:szCs w:val="18"/>
              </w:rPr>
              <w:t>Mode key</w:t>
            </w:r>
            <w:r>
              <w:rPr>
                <w:rFonts w:cstheme="minorHAnsi"/>
                <w:b/>
                <w:sz w:val="18"/>
                <w:szCs w:val="18"/>
                <w:vertAlign w:val="superscript"/>
              </w:rPr>
              <w:t>（1）</w:t>
            </w:r>
          </w:p>
        </w:tc>
        <w:tc>
          <w:tcPr>
            <w:tcW w:w="2142" w:type="dxa"/>
            <w:gridSpan w:val="2"/>
            <w:shd w:val="clear" w:color="auto" w:fill="C0C0C0"/>
            <w:vAlign w:val="center"/>
          </w:tcPr>
          <w:p w14:paraId="16B5C7DF">
            <w:pPr>
              <w:spacing w:after="240"/>
              <w:jc w:val="center"/>
              <w:rPr>
                <w:rFonts w:cstheme="minorHAnsi"/>
                <w:b/>
                <w:sz w:val="18"/>
                <w:szCs w:val="18"/>
              </w:rPr>
            </w:pPr>
            <w:r>
              <w:rPr>
                <w:rFonts w:cstheme="minorHAnsi"/>
                <w:b/>
                <w:sz w:val="18"/>
                <w:szCs w:val="18"/>
              </w:rPr>
              <w:t>Enter the adjustment key</w:t>
            </w:r>
            <w:r>
              <w:rPr>
                <w:rFonts w:cstheme="minorHAnsi"/>
                <w:b/>
                <w:sz w:val="18"/>
                <w:szCs w:val="18"/>
                <w:vertAlign w:val="superscript"/>
              </w:rPr>
              <w:t>（1）</w:t>
            </w:r>
          </w:p>
        </w:tc>
        <w:tc>
          <w:tcPr>
            <w:tcW w:w="3006" w:type="dxa"/>
            <w:shd w:val="clear" w:color="auto" w:fill="C0C0C0"/>
            <w:vAlign w:val="center"/>
          </w:tcPr>
          <w:p w14:paraId="56C179AC">
            <w:pPr>
              <w:spacing w:after="240"/>
              <w:jc w:val="center"/>
              <w:rPr>
                <w:rFonts w:cstheme="minorHAnsi"/>
                <w:b/>
                <w:sz w:val="18"/>
                <w:szCs w:val="18"/>
              </w:rPr>
            </w:pPr>
            <w:r>
              <w:rPr>
                <w:rFonts w:cstheme="minorHAnsi"/>
                <w:b/>
                <w:sz w:val="18"/>
                <w:szCs w:val="18"/>
              </w:rPr>
              <w:t>Enter</w:t>
            </w:r>
          </w:p>
        </w:tc>
      </w:tr>
      <w:tr w14:paraId="0DDF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678" w:type="dxa"/>
            <w:vAlign w:val="center"/>
          </w:tcPr>
          <w:p w14:paraId="6F3E0166">
            <w:pPr>
              <w:spacing w:after="240"/>
              <w:jc w:val="center"/>
              <w:rPr>
                <w:rFonts w:cstheme="minorHAnsi"/>
                <w:sz w:val="18"/>
                <w:szCs w:val="18"/>
              </w:rPr>
            </w:pPr>
            <w:r>
              <w:rPr>
                <w:rFonts w:cstheme="minorHAnsi"/>
                <w:kern w:val="0"/>
                <w:sz w:val="18"/>
                <w:szCs w:val="18"/>
              </w:rPr>
              <w:t>[</w:t>
            </w:r>
            <w:r>
              <w:rPr>
                <w:rFonts w:cstheme="minorHAnsi"/>
                <w:sz w:val="18"/>
                <w:szCs w:val="18"/>
              </w:rPr>
              <w:t>M</w:t>
            </w:r>
            <w:r>
              <w:rPr>
                <w:rFonts w:cstheme="minorHAnsi"/>
                <w:kern w:val="0"/>
                <w:sz w:val="18"/>
                <w:szCs w:val="18"/>
              </w:rPr>
              <w:t>]</w:t>
            </w:r>
          </w:p>
        </w:tc>
        <w:tc>
          <w:tcPr>
            <w:tcW w:w="1064" w:type="dxa"/>
            <w:vAlign w:val="center"/>
          </w:tcPr>
          <w:p w14:paraId="38C89ED7">
            <w:pPr>
              <w:spacing w:after="240"/>
              <w:jc w:val="center"/>
              <w:rPr>
                <w:rFonts w:cstheme="minorHAnsi"/>
                <w:sz w:val="18"/>
                <w:szCs w:val="18"/>
              </w:rPr>
            </w:pPr>
            <w:r>
              <w:rPr>
                <w:rFonts w:cstheme="minorHAnsi"/>
                <w:kern w:val="0"/>
                <w:sz w:val="18"/>
                <w:szCs w:val="18"/>
              </w:rPr>
              <w:t xml:space="preserve"> [</w:t>
            </w:r>
            <w:r>
              <w:rPr>
                <w:rFonts w:cstheme="minorHAnsi"/>
                <w:sz w:val="18"/>
                <w:szCs w:val="18"/>
              </w:rPr>
              <w:t>↓</w:t>
            </w:r>
            <w:r>
              <w:rPr>
                <w:rFonts w:cstheme="minorHAnsi"/>
                <w:kern w:val="0"/>
                <w:sz w:val="18"/>
                <w:szCs w:val="18"/>
              </w:rPr>
              <w:t>]</w:t>
            </w:r>
          </w:p>
        </w:tc>
        <w:tc>
          <w:tcPr>
            <w:tcW w:w="1078" w:type="dxa"/>
            <w:vAlign w:val="center"/>
          </w:tcPr>
          <w:p w14:paraId="03827075">
            <w:pPr>
              <w:spacing w:after="240"/>
              <w:jc w:val="center"/>
              <w:rPr>
                <w:rFonts w:cstheme="minorHAnsi"/>
                <w:sz w:val="18"/>
                <w:szCs w:val="18"/>
              </w:rPr>
            </w:pPr>
            <w:r>
              <w:rPr>
                <w:rFonts w:cstheme="minorHAnsi"/>
                <w:kern w:val="0"/>
                <w:sz w:val="18"/>
                <w:szCs w:val="18"/>
              </w:rPr>
              <w:t>[</w:t>
            </w:r>
            <w:r>
              <w:rPr>
                <w:rFonts w:cstheme="minorHAnsi"/>
                <w:sz w:val="18"/>
                <w:szCs w:val="18"/>
              </w:rPr>
              <w:t>↑</w:t>
            </w:r>
            <w:r>
              <w:rPr>
                <w:rFonts w:cstheme="minorHAnsi"/>
                <w:kern w:val="0"/>
                <w:sz w:val="18"/>
                <w:szCs w:val="18"/>
              </w:rPr>
              <w:t>]</w:t>
            </w:r>
          </w:p>
        </w:tc>
        <w:tc>
          <w:tcPr>
            <w:tcW w:w="3006" w:type="dxa"/>
            <w:vAlign w:val="center"/>
          </w:tcPr>
          <w:p w14:paraId="3E20DD85">
            <w:pPr>
              <w:spacing w:after="240"/>
              <w:jc w:val="center"/>
              <w:rPr>
                <w:rFonts w:cstheme="minorHAnsi"/>
                <w:sz w:val="18"/>
                <w:szCs w:val="18"/>
              </w:rPr>
            </w:pPr>
            <w:r>
              <w:rPr>
                <w:rFonts w:cstheme="minorHAnsi"/>
                <w:kern w:val="0"/>
                <w:sz w:val="18"/>
                <w:szCs w:val="18"/>
              </w:rPr>
              <w:t>[</w:t>
            </w:r>
            <w:r>
              <w:rPr>
                <w:rFonts w:cstheme="minorHAnsi"/>
                <w:sz w:val="18"/>
                <w:szCs w:val="18"/>
              </w:rPr>
              <w:t>Enter</w:t>
            </w:r>
            <w:r>
              <w:rPr>
                <w:rFonts w:cstheme="minorHAnsi"/>
                <w:kern w:val="0"/>
                <w:sz w:val="18"/>
                <w:szCs w:val="18"/>
              </w:rPr>
              <w:t>]</w:t>
            </w:r>
          </w:p>
        </w:tc>
      </w:tr>
      <w:tr w14:paraId="4F88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678" w:type="dxa"/>
            <w:vAlign w:val="center"/>
          </w:tcPr>
          <w:p w14:paraId="40154F0D">
            <w:pPr>
              <w:spacing w:after="240"/>
              <w:jc w:val="center"/>
              <w:rPr>
                <w:rFonts w:cstheme="minorHAnsi"/>
                <w:sz w:val="18"/>
                <w:szCs w:val="18"/>
              </w:rPr>
            </w:pPr>
            <w:r>
              <w:rPr>
                <w:rFonts w:cstheme="minorHAnsi"/>
                <w:sz w:val="18"/>
                <w:szCs w:val="18"/>
              </w:rPr>
              <w:t>Zero、Span Insert the magnets at the same time</w:t>
            </w:r>
            <w:r>
              <w:rPr>
                <w:rFonts w:cstheme="minorHAnsi"/>
                <w:sz w:val="18"/>
                <w:szCs w:val="18"/>
                <w:vertAlign w:val="superscript"/>
              </w:rPr>
              <w:t>（2）</w:t>
            </w:r>
          </w:p>
        </w:tc>
        <w:tc>
          <w:tcPr>
            <w:tcW w:w="1064" w:type="dxa"/>
            <w:vAlign w:val="center"/>
          </w:tcPr>
          <w:p w14:paraId="0C86785F">
            <w:pPr>
              <w:spacing w:after="240"/>
              <w:jc w:val="center"/>
              <w:rPr>
                <w:rFonts w:cstheme="minorHAnsi"/>
                <w:sz w:val="18"/>
                <w:szCs w:val="18"/>
              </w:rPr>
            </w:pPr>
            <w:r>
              <w:rPr>
                <w:rFonts w:cstheme="minorHAnsi"/>
                <w:sz w:val="18"/>
                <w:szCs w:val="18"/>
              </w:rPr>
              <w:t>Zero</w:t>
            </w:r>
          </w:p>
        </w:tc>
        <w:tc>
          <w:tcPr>
            <w:tcW w:w="1078" w:type="dxa"/>
            <w:vAlign w:val="center"/>
          </w:tcPr>
          <w:p w14:paraId="1DC49567">
            <w:pPr>
              <w:spacing w:after="240"/>
              <w:jc w:val="center"/>
              <w:rPr>
                <w:rFonts w:cstheme="minorHAnsi"/>
                <w:sz w:val="18"/>
                <w:szCs w:val="18"/>
              </w:rPr>
            </w:pPr>
            <w:r>
              <w:rPr>
                <w:rFonts w:cstheme="minorHAnsi"/>
                <w:sz w:val="18"/>
                <w:szCs w:val="18"/>
              </w:rPr>
              <w:t>Span</w:t>
            </w:r>
          </w:p>
        </w:tc>
        <w:tc>
          <w:tcPr>
            <w:tcW w:w="3006" w:type="dxa"/>
            <w:vAlign w:val="center"/>
          </w:tcPr>
          <w:p w14:paraId="19A44F6F">
            <w:pPr>
              <w:spacing w:after="240"/>
              <w:jc w:val="center"/>
              <w:rPr>
                <w:rFonts w:cstheme="minorHAnsi"/>
                <w:sz w:val="18"/>
                <w:szCs w:val="18"/>
              </w:rPr>
            </w:pPr>
            <w:r>
              <w:rPr>
                <w:rFonts w:cstheme="minorHAnsi"/>
                <w:sz w:val="18"/>
                <w:szCs w:val="18"/>
              </w:rPr>
              <w:t>Zero、Span After inserting for 2 seconds at the same time, remove</w:t>
            </w:r>
            <w:r>
              <w:rPr>
                <w:rFonts w:cstheme="minorHAnsi"/>
                <w:sz w:val="18"/>
                <w:szCs w:val="18"/>
                <w:vertAlign w:val="superscript"/>
              </w:rPr>
              <w:t>（2）</w:t>
            </w:r>
          </w:p>
        </w:tc>
      </w:tr>
    </w:tbl>
    <w:p w14:paraId="35249FD6">
      <w:pPr>
        <w:spacing w:before="120" w:beforeLines="50" w:after="240"/>
        <w:jc w:val="left"/>
        <w:rPr>
          <w:rFonts w:cstheme="minorHAnsi"/>
          <w:b/>
        </w:rPr>
      </w:pPr>
      <w:r>
        <w:rPr>
          <w:rFonts w:cstheme="minorHAnsi"/>
          <w:b/>
        </w:rPr>
        <w:t>Notice：</w:t>
      </w:r>
    </w:p>
    <w:p w14:paraId="5914B64C">
      <w:pPr>
        <w:pStyle w:val="40"/>
        <w:numPr>
          <w:ilvl w:val="0"/>
          <w:numId w:val="10"/>
        </w:numPr>
        <w:spacing w:after="240" w:line="240" w:lineRule="auto"/>
        <w:rPr>
          <w:rFonts w:cstheme="minorHAnsi"/>
          <w:sz w:val="21"/>
          <w:szCs w:val="21"/>
        </w:rPr>
      </w:pPr>
      <w:r>
        <w:rPr>
          <w:rFonts w:cstheme="minorHAnsi"/>
          <w:sz w:val="21"/>
          <w:szCs w:val="21"/>
        </w:rPr>
        <w:t>The mode key [M] and the input adjustment keys ([↓], [↑]) are only one key operation to insert and pull out the magnetic bar, or you can insert the magnetic bar for a long time to operate in the same way. When performing a key operation, it is recommended to plug it in for 1 second before pulling it out, otherwise the operation may not be detected. Always press the button to automatically perform a key operation every 1 second.</w:t>
      </w:r>
    </w:p>
    <w:p w14:paraId="0AA26E7C">
      <w:pPr>
        <w:pStyle w:val="40"/>
        <w:numPr>
          <w:ilvl w:val="0"/>
          <w:numId w:val="10"/>
        </w:numPr>
        <w:spacing w:after="240" w:line="240" w:lineRule="auto"/>
        <w:rPr>
          <w:rFonts w:cstheme="minorHAnsi"/>
          <w:sz w:val="21"/>
          <w:szCs w:val="21"/>
        </w:rPr>
      </w:pPr>
      <w:r>
        <w:rPr>
          <w:rFonts w:cstheme="minorHAnsi"/>
          <w:sz w:val="21"/>
          <w:szCs w:val="21"/>
        </w:rPr>
        <w:t>In order to avoid the conflict between the confirmation key and the mode key, when the confirmation operation is performed, when the progress bar reaches 100%, it indicates that the magnetic bar has been inserted for more than 2 seconds, and the confirmation operation is performed when the two magnetic bars are pulled out. If the magnetic bar is not pulled out after the progress bar reaches 100% for 3 seconds, perform the mode switching operation. The progress bar does not reach 100%, pull out the two magnetic rods, no operation.</w:t>
      </w:r>
    </w:p>
    <w:p w14:paraId="14753B9A">
      <w:pPr>
        <w:pStyle w:val="4"/>
        <w:spacing w:before="120" w:beforeLines="50" w:after="120" w:afterLines="50"/>
        <w:rPr>
          <w:rFonts w:asciiTheme="minorHAnsi" w:hAnsiTheme="minorHAnsi" w:cstheme="minorHAnsi"/>
        </w:rPr>
      </w:pPr>
      <w:bookmarkStart w:id="41" w:name="_Toc199429750"/>
      <w:r>
        <w:rPr>
          <w:rFonts w:asciiTheme="minorHAnsi" w:hAnsiTheme="minorHAnsi" w:cstheme="minorHAnsi"/>
        </w:rPr>
        <w:t>General adjustment method</w:t>
      </w:r>
      <w:bookmarkEnd w:id="41"/>
    </w:p>
    <w:p w14:paraId="707C5165">
      <w:pPr>
        <w:pStyle w:val="40"/>
        <w:spacing w:after="240" w:line="240" w:lineRule="auto"/>
        <w:ind w:left="0"/>
        <w:rPr>
          <w:rFonts w:cstheme="minorHAnsi"/>
          <w:sz w:val="21"/>
          <w:szCs w:val="21"/>
        </w:rPr>
      </w:pPr>
      <w:r>
        <w:rPr>
          <w:rFonts w:cstheme="minorHAnsi"/>
          <w:sz w:val="21"/>
          <w:szCs w:val="21"/>
        </w:rPr>
        <w:t>The following is the general adjustment method, please refer to the detailed description of each function for detailed operation.</w:t>
      </w:r>
    </w:p>
    <w:p w14:paraId="6C4B7059">
      <w:pPr>
        <w:pStyle w:val="40"/>
        <w:spacing w:after="240" w:line="240" w:lineRule="auto"/>
        <w:ind w:left="0"/>
        <w:rPr>
          <w:rFonts w:cstheme="minorHAnsi"/>
          <w:sz w:val="21"/>
          <w:szCs w:val="21"/>
        </w:rPr>
      </w:pPr>
      <w:r>
        <w:rPr>
          <w:rFonts w:cstheme="minorHAnsi"/>
          <w:sz w:val="21"/>
          <w:szCs w:val="21"/>
        </w:rPr>
        <w:t>In the measured value display mode, press the mode key [M] to switch the mode.</w:t>
      </w:r>
    </w:p>
    <w:p w14:paraId="2521EC76">
      <w:pPr>
        <w:pStyle w:val="40"/>
        <w:spacing w:after="240" w:line="240" w:lineRule="auto"/>
        <w:ind w:left="0"/>
        <w:rPr>
          <w:rFonts w:cstheme="minorHAnsi"/>
          <w:sz w:val="21"/>
          <w:szCs w:val="21"/>
        </w:rPr>
      </w:pPr>
      <w:r>
        <w:rPr>
          <w:rFonts w:cstheme="minorHAnsi"/>
          <w:sz w:val="21"/>
          <w:szCs w:val="21"/>
        </w:rPr>
        <w:t>When the mode that needs to be adjusted is displayed, take out the two magnetic rods, and the current value of the value to be adjusted in this mode will be displayed on the LCD.</w:t>
      </w:r>
    </w:p>
    <w:p w14:paraId="21793486">
      <w:pPr>
        <w:pStyle w:val="40"/>
        <w:spacing w:after="240" w:line="240" w:lineRule="auto"/>
        <w:ind w:left="0"/>
        <w:rPr>
          <w:rFonts w:cstheme="minorHAnsi"/>
          <w:sz w:val="21"/>
          <w:szCs w:val="21"/>
        </w:rPr>
      </w:pPr>
      <w:r>
        <w:rPr>
          <w:rFonts w:cstheme="minorHAnsi"/>
          <w:sz w:val="21"/>
          <w:szCs w:val="21"/>
        </w:rPr>
        <w:t>Press [↓] or [↑] to adjust, and after adjustment, press [Enter] to confirm.</w:t>
      </w:r>
    </w:p>
    <w:p w14:paraId="41E0C15C">
      <w:pPr>
        <w:pStyle w:val="40"/>
        <w:spacing w:after="240" w:line="240" w:lineRule="auto"/>
        <w:ind w:left="0"/>
        <w:rPr>
          <w:rFonts w:cstheme="minorHAnsi"/>
          <w:sz w:val="21"/>
          <w:szCs w:val="21"/>
        </w:rPr>
      </w:pPr>
      <w:r>
        <w:rPr>
          <w:rFonts w:cstheme="minorHAnsi"/>
          <w:sz w:val="21"/>
          <w:szCs w:val="21"/>
        </w:rPr>
        <w:t>Press the mode key [M] to switch back to the measured value display mode.</w:t>
      </w:r>
    </w:p>
    <w:p w14:paraId="6666C79A">
      <w:pPr>
        <w:spacing w:after="240"/>
        <w:jc w:val="left"/>
        <w:rPr>
          <w:rFonts w:cstheme="minorHAnsi"/>
        </w:rPr>
      </w:pPr>
      <w:r>
        <w:rPr>
          <w:rFonts w:cstheme="minorHAnsi"/>
          <w:b/>
        </w:rPr>
        <w:t>Notice</w:t>
      </w:r>
      <w:r>
        <w:rPr>
          <w:rFonts w:cstheme="minorHAnsi"/>
        </w:rPr>
        <w:t>：</w:t>
      </w:r>
    </w:p>
    <w:p w14:paraId="10044F57">
      <w:pPr>
        <w:pStyle w:val="40"/>
        <w:spacing w:after="240" w:line="240" w:lineRule="auto"/>
        <w:ind w:left="0"/>
        <w:jc w:val="left"/>
        <w:rPr>
          <w:rFonts w:cstheme="minorHAnsi"/>
          <w:sz w:val="21"/>
          <w:szCs w:val="21"/>
        </w:rPr>
      </w:pPr>
      <w:r>
        <w:rPr>
          <w:rFonts w:cstheme="minorHAnsi"/>
          <w:sz w:val="21"/>
          <w:szCs w:val="21"/>
        </w:rPr>
        <w:t>1、Some functions do not need to be confirmed and are saved immediately after adjustment。</w:t>
      </w:r>
    </w:p>
    <w:p w14:paraId="106481C4">
      <w:pPr>
        <w:pStyle w:val="40"/>
        <w:spacing w:after="240" w:line="240" w:lineRule="auto"/>
        <w:ind w:left="0"/>
        <w:jc w:val="left"/>
        <w:rPr>
          <w:rFonts w:cstheme="minorHAnsi"/>
          <w:sz w:val="21"/>
          <w:szCs w:val="21"/>
        </w:rPr>
      </w:pPr>
      <w:r>
        <w:rPr>
          <w:rFonts w:cstheme="minorHAnsi"/>
          <w:sz w:val="21"/>
          <w:szCs w:val="21"/>
        </w:rPr>
        <w:t>2、If there is no key operation for 1 minute (there is no magnetic rod inserted in both holes), it will automatically return to the normal display mode.</w:t>
      </w:r>
    </w:p>
    <w:p w14:paraId="7AD308C7">
      <w:pPr>
        <w:pStyle w:val="3"/>
        <w:spacing w:before="120" w:beforeLines="50" w:after="120" w:afterLines="50" w:line="240" w:lineRule="auto"/>
        <w:ind w:left="578" w:hanging="578"/>
        <w:rPr>
          <w:rFonts w:asciiTheme="minorHAnsi" w:hAnsiTheme="minorHAnsi" w:cstheme="minorHAnsi"/>
        </w:rPr>
      </w:pPr>
      <w:bookmarkStart w:id="42" w:name="_Toc199429751"/>
      <w:r>
        <w:rPr>
          <w:rFonts w:asciiTheme="minorHAnsi" w:hAnsiTheme="minorHAnsi" w:cstheme="minorHAnsi"/>
        </w:rPr>
        <w:t>On-site calibration of HART intelligent transmitter</w:t>
      </w:r>
      <w:bookmarkEnd w:id="42"/>
    </w:p>
    <w:p w14:paraId="0D04AC90">
      <w:pPr>
        <w:pStyle w:val="40"/>
        <w:spacing w:after="240" w:line="240" w:lineRule="auto"/>
        <w:ind w:left="0"/>
        <w:rPr>
          <w:rFonts w:cstheme="minorHAnsi"/>
          <w:sz w:val="21"/>
          <w:szCs w:val="21"/>
        </w:rPr>
      </w:pPr>
      <w:r>
        <w:rPr>
          <w:rFonts w:cstheme="minorHAnsi"/>
          <w:sz w:val="21"/>
          <w:szCs w:val="21"/>
        </w:rPr>
        <w:t>This section only describes the HART intelligent transmitter. The zero point, unit, range lower limit, range upper limit and other adjustment functions of the transmitter can be realized through on-site adjustment. For specific functions and key operations, see Table 4.1</w:t>
      </w:r>
    </w:p>
    <w:p w14:paraId="075CC3F1">
      <w:pPr>
        <w:pStyle w:val="12"/>
        <w:keepNext/>
        <w:spacing w:before="120" w:after="120"/>
        <w:rPr>
          <w:rFonts w:asciiTheme="minorHAnsi" w:hAnsiTheme="minorHAnsi" w:cstheme="minorHAnsi"/>
        </w:rPr>
      </w:pPr>
      <w:r>
        <w:rPr>
          <w:rFonts w:asciiTheme="minorHAnsi" w:hAnsiTheme="minorHAnsi" w:cstheme="minorHAnsi"/>
        </w:rPr>
        <w:t>Table</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表 \* ARABIC \s 1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rPr>
        <w:fldChar w:fldCharType="end"/>
      </w:r>
      <w:r>
        <w:rPr>
          <w:rFonts w:asciiTheme="minorHAnsi" w:hAnsiTheme="minorHAnsi" w:cstheme="minorHAnsi"/>
        </w:rPr>
        <w:t xml:space="preserve"> Specific functions and key operations</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691"/>
        <w:gridCol w:w="965"/>
        <w:gridCol w:w="904"/>
        <w:gridCol w:w="1024"/>
        <w:gridCol w:w="934"/>
        <w:gridCol w:w="4025"/>
      </w:tblGrid>
      <w:tr w14:paraId="70AF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15" w:type="pct"/>
            <w:vMerge w:val="restart"/>
            <w:shd w:val="clear" w:color="auto" w:fill="CCCCCC"/>
            <w:vAlign w:val="center"/>
          </w:tcPr>
          <w:p w14:paraId="0CD5ADCD">
            <w:pPr>
              <w:spacing w:after="240"/>
              <w:jc w:val="center"/>
              <w:rPr>
                <w:rFonts w:cstheme="minorHAnsi"/>
                <w:sz w:val="18"/>
                <w:szCs w:val="18"/>
              </w:rPr>
            </w:pPr>
            <w:r>
              <w:rPr>
                <w:rFonts w:cstheme="minorHAnsi"/>
                <w:sz w:val="18"/>
                <w:szCs w:val="18"/>
              </w:rPr>
              <w:t>Function</w:t>
            </w:r>
          </w:p>
        </w:tc>
        <w:tc>
          <w:tcPr>
            <w:tcW w:w="346" w:type="pct"/>
            <w:shd w:val="clear" w:color="auto" w:fill="CCCCCC"/>
            <w:vAlign w:val="center"/>
          </w:tcPr>
          <w:p w14:paraId="7C793C41">
            <w:pPr>
              <w:spacing w:after="240"/>
              <w:jc w:val="center"/>
              <w:rPr>
                <w:rFonts w:cstheme="minorHAnsi"/>
                <w:sz w:val="18"/>
                <w:szCs w:val="18"/>
              </w:rPr>
            </w:pPr>
            <w:r>
              <w:rPr>
                <w:rFonts w:cstheme="minorHAnsi"/>
                <w:sz w:val="18"/>
                <w:szCs w:val="18"/>
              </w:rPr>
              <w:t>Model</w:t>
            </w:r>
          </w:p>
        </w:tc>
        <w:tc>
          <w:tcPr>
            <w:tcW w:w="1450" w:type="pct"/>
            <w:gridSpan w:val="3"/>
            <w:shd w:val="clear" w:color="auto" w:fill="CCCCCC"/>
            <w:vAlign w:val="center"/>
          </w:tcPr>
          <w:p w14:paraId="52097EF3">
            <w:pPr>
              <w:spacing w:after="240"/>
              <w:jc w:val="center"/>
              <w:rPr>
                <w:rFonts w:cstheme="minorHAnsi"/>
                <w:sz w:val="18"/>
                <w:szCs w:val="18"/>
              </w:rPr>
            </w:pPr>
            <w:r>
              <w:rPr>
                <w:rFonts w:cstheme="minorHAnsi"/>
                <w:sz w:val="18"/>
                <w:szCs w:val="18"/>
              </w:rPr>
              <w:t>Key Function</w:t>
            </w:r>
          </w:p>
        </w:tc>
        <w:tc>
          <w:tcPr>
            <w:tcW w:w="468" w:type="pct"/>
            <w:vMerge w:val="restart"/>
            <w:shd w:val="clear" w:color="auto" w:fill="CCCCCC"/>
            <w:vAlign w:val="center"/>
          </w:tcPr>
          <w:p w14:paraId="51581B80">
            <w:pPr>
              <w:spacing w:after="240"/>
              <w:jc w:val="center"/>
              <w:rPr>
                <w:rFonts w:cstheme="minorHAnsi"/>
                <w:sz w:val="18"/>
                <w:szCs w:val="18"/>
              </w:rPr>
            </w:pPr>
            <w:r>
              <w:rPr>
                <w:rFonts w:cstheme="minorHAnsi"/>
                <w:sz w:val="18"/>
                <w:szCs w:val="18"/>
              </w:rPr>
              <w:t>Function</w:t>
            </w:r>
          </w:p>
          <w:p w14:paraId="3C23D491">
            <w:pPr>
              <w:spacing w:after="240"/>
              <w:jc w:val="center"/>
              <w:rPr>
                <w:rFonts w:cstheme="minorHAnsi"/>
                <w:sz w:val="18"/>
                <w:szCs w:val="18"/>
              </w:rPr>
            </w:pPr>
            <w:r>
              <w:rPr>
                <w:rFonts w:cstheme="minorHAnsi"/>
                <w:sz w:val="18"/>
                <w:szCs w:val="18"/>
              </w:rPr>
              <w:t>show</w:t>
            </w:r>
          </w:p>
        </w:tc>
        <w:tc>
          <w:tcPr>
            <w:tcW w:w="2017" w:type="pct"/>
            <w:vMerge w:val="restart"/>
            <w:shd w:val="clear" w:color="auto" w:fill="CCCCCC"/>
            <w:vAlign w:val="center"/>
          </w:tcPr>
          <w:p w14:paraId="459E9B10">
            <w:pPr>
              <w:spacing w:after="240"/>
              <w:jc w:val="center"/>
              <w:rPr>
                <w:rFonts w:cstheme="minorHAnsi"/>
                <w:sz w:val="18"/>
                <w:szCs w:val="18"/>
              </w:rPr>
            </w:pPr>
            <w:r>
              <w:rPr>
                <w:rFonts w:cstheme="minorHAnsi"/>
                <w:sz w:val="18"/>
                <w:szCs w:val="18"/>
              </w:rPr>
              <w:t>show, explain</w:t>
            </w:r>
          </w:p>
        </w:tc>
      </w:tr>
      <w:tr w14:paraId="7AC3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15" w:type="pct"/>
            <w:vMerge w:val="continue"/>
            <w:shd w:val="clear" w:color="auto" w:fill="CCCCCC"/>
            <w:vAlign w:val="center"/>
          </w:tcPr>
          <w:p w14:paraId="19C9D0CD">
            <w:pPr>
              <w:spacing w:after="240"/>
              <w:jc w:val="center"/>
              <w:rPr>
                <w:rFonts w:cstheme="minorHAnsi"/>
                <w:sz w:val="18"/>
                <w:szCs w:val="18"/>
              </w:rPr>
            </w:pPr>
          </w:p>
        </w:tc>
        <w:tc>
          <w:tcPr>
            <w:tcW w:w="346" w:type="pct"/>
            <w:shd w:val="clear" w:color="auto" w:fill="CCCCCC"/>
            <w:vAlign w:val="center"/>
          </w:tcPr>
          <w:p w14:paraId="6E5BFD25">
            <w:pPr>
              <w:spacing w:after="240"/>
              <w:jc w:val="center"/>
              <w:rPr>
                <w:rFonts w:cstheme="minorHAnsi"/>
                <w:sz w:val="18"/>
                <w:szCs w:val="18"/>
              </w:rPr>
            </w:pPr>
            <w:r>
              <w:rPr>
                <w:rFonts w:cstheme="minorHAnsi"/>
                <w:sz w:val="18"/>
                <w:szCs w:val="18"/>
              </w:rPr>
              <w:t>[M]</w:t>
            </w:r>
          </w:p>
        </w:tc>
        <w:tc>
          <w:tcPr>
            <w:tcW w:w="484" w:type="pct"/>
            <w:shd w:val="clear" w:color="auto" w:fill="CCCCCC"/>
            <w:vAlign w:val="center"/>
          </w:tcPr>
          <w:p w14:paraId="5A0B68E1">
            <w:pPr>
              <w:spacing w:after="240"/>
              <w:jc w:val="center"/>
              <w:rPr>
                <w:rFonts w:cstheme="minorHAnsi"/>
                <w:sz w:val="18"/>
                <w:szCs w:val="18"/>
              </w:rPr>
            </w:pPr>
            <w:r>
              <w:rPr>
                <w:rFonts w:cstheme="minorHAnsi"/>
                <w:sz w:val="18"/>
                <w:szCs w:val="18"/>
              </w:rPr>
              <w:t>[↑]</w:t>
            </w:r>
          </w:p>
        </w:tc>
        <w:tc>
          <w:tcPr>
            <w:tcW w:w="453" w:type="pct"/>
            <w:shd w:val="clear" w:color="auto" w:fill="CCCCCC"/>
            <w:vAlign w:val="center"/>
          </w:tcPr>
          <w:p w14:paraId="02C36412">
            <w:pPr>
              <w:spacing w:after="240"/>
              <w:jc w:val="center"/>
              <w:rPr>
                <w:rFonts w:cstheme="minorHAnsi"/>
                <w:sz w:val="18"/>
                <w:szCs w:val="18"/>
              </w:rPr>
            </w:pPr>
            <w:r>
              <w:rPr>
                <w:rFonts w:cstheme="minorHAnsi"/>
                <w:sz w:val="18"/>
                <w:szCs w:val="18"/>
              </w:rPr>
              <w:t>[↓]</w:t>
            </w:r>
          </w:p>
        </w:tc>
        <w:tc>
          <w:tcPr>
            <w:tcW w:w="513" w:type="pct"/>
            <w:shd w:val="clear" w:color="auto" w:fill="CCCCCC"/>
            <w:vAlign w:val="center"/>
          </w:tcPr>
          <w:p w14:paraId="1CE2C256">
            <w:pPr>
              <w:spacing w:after="240"/>
              <w:jc w:val="center"/>
              <w:rPr>
                <w:rFonts w:cstheme="minorHAnsi"/>
                <w:sz w:val="18"/>
                <w:szCs w:val="18"/>
              </w:rPr>
            </w:pPr>
            <w:r>
              <w:rPr>
                <w:rFonts w:cstheme="minorHAnsi"/>
                <w:sz w:val="18"/>
                <w:szCs w:val="18"/>
              </w:rPr>
              <w:t>[Enter]</w:t>
            </w:r>
          </w:p>
        </w:tc>
        <w:tc>
          <w:tcPr>
            <w:tcW w:w="468" w:type="pct"/>
            <w:vMerge w:val="continue"/>
            <w:shd w:val="clear" w:color="auto" w:fill="CCCCCC"/>
            <w:vAlign w:val="center"/>
          </w:tcPr>
          <w:p w14:paraId="42460EC6">
            <w:pPr>
              <w:spacing w:after="240"/>
              <w:jc w:val="center"/>
              <w:rPr>
                <w:rFonts w:cstheme="minorHAnsi"/>
                <w:sz w:val="18"/>
                <w:szCs w:val="18"/>
              </w:rPr>
            </w:pPr>
          </w:p>
        </w:tc>
        <w:tc>
          <w:tcPr>
            <w:tcW w:w="2017" w:type="pct"/>
            <w:vMerge w:val="continue"/>
            <w:shd w:val="clear" w:color="auto" w:fill="CCCCCC"/>
            <w:vAlign w:val="center"/>
          </w:tcPr>
          <w:p w14:paraId="14B18EE2">
            <w:pPr>
              <w:spacing w:after="240"/>
              <w:jc w:val="center"/>
              <w:rPr>
                <w:rFonts w:cstheme="minorHAnsi"/>
                <w:sz w:val="18"/>
                <w:szCs w:val="18"/>
              </w:rPr>
            </w:pPr>
          </w:p>
        </w:tc>
      </w:tr>
      <w:tr w14:paraId="02F2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vAlign w:val="center"/>
          </w:tcPr>
          <w:p w14:paraId="2EF4265B">
            <w:pPr>
              <w:spacing w:after="240"/>
              <w:jc w:val="center"/>
              <w:rPr>
                <w:rFonts w:cstheme="minorHAnsi"/>
                <w:sz w:val="18"/>
                <w:szCs w:val="18"/>
              </w:rPr>
            </w:pPr>
            <w:r>
              <w:rPr>
                <w:rFonts w:cstheme="minorHAnsi"/>
                <w:sz w:val="18"/>
                <w:szCs w:val="18"/>
              </w:rPr>
              <w:t>Measurement value display</w:t>
            </w:r>
          </w:p>
        </w:tc>
        <w:tc>
          <w:tcPr>
            <w:tcW w:w="346" w:type="pct"/>
            <w:vAlign w:val="center"/>
          </w:tcPr>
          <w:p w14:paraId="67704BA5">
            <w:pPr>
              <w:spacing w:after="240"/>
              <w:jc w:val="center"/>
              <w:rPr>
                <w:rFonts w:cstheme="minorHAnsi"/>
                <w:sz w:val="18"/>
                <w:szCs w:val="18"/>
              </w:rPr>
            </w:pPr>
          </w:p>
        </w:tc>
        <w:tc>
          <w:tcPr>
            <w:tcW w:w="484" w:type="pct"/>
            <w:vAlign w:val="center"/>
          </w:tcPr>
          <w:p w14:paraId="5A12E9EF">
            <w:pPr>
              <w:spacing w:after="240"/>
              <w:jc w:val="center"/>
              <w:rPr>
                <w:rFonts w:cstheme="minorHAnsi"/>
                <w:sz w:val="18"/>
                <w:szCs w:val="18"/>
              </w:rPr>
            </w:pPr>
          </w:p>
        </w:tc>
        <w:tc>
          <w:tcPr>
            <w:tcW w:w="453" w:type="pct"/>
            <w:vAlign w:val="center"/>
          </w:tcPr>
          <w:p w14:paraId="22A54C5E">
            <w:pPr>
              <w:spacing w:after="240"/>
              <w:jc w:val="center"/>
              <w:rPr>
                <w:rFonts w:cstheme="minorHAnsi"/>
                <w:sz w:val="18"/>
                <w:szCs w:val="18"/>
              </w:rPr>
            </w:pPr>
          </w:p>
        </w:tc>
        <w:tc>
          <w:tcPr>
            <w:tcW w:w="513" w:type="pct"/>
            <w:vAlign w:val="center"/>
          </w:tcPr>
          <w:p w14:paraId="3A6F841F">
            <w:pPr>
              <w:spacing w:after="240"/>
              <w:jc w:val="center"/>
              <w:rPr>
                <w:rFonts w:cstheme="minorHAnsi"/>
                <w:sz w:val="18"/>
                <w:szCs w:val="18"/>
              </w:rPr>
            </w:pPr>
          </w:p>
        </w:tc>
        <w:tc>
          <w:tcPr>
            <w:tcW w:w="468" w:type="pct"/>
            <w:vAlign w:val="center"/>
          </w:tcPr>
          <w:p w14:paraId="632C6829">
            <w:pPr>
              <w:spacing w:after="240"/>
              <w:jc w:val="center"/>
              <w:rPr>
                <w:rFonts w:cstheme="minorHAnsi"/>
                <w:sz w:val="18"/>
                <w:szCs w:val="18"/>
              </w:rPr>
            </w:pPr>
          </w:p>
        </w:tc>
        <w:tc>
          <w:tcPr>
            <w:tcW w:w="2017" w:type="pct"/>
            <w:vAlign w:val="center"/>
          </w:tcPr>
          <w:p w14:paraId="39A4D100">
            <w:pPr>
              <w:spacing w:after="240"/>
              <w:jc w:val="center"/>
              <w:rPr>
                <w:rFonts w:cstheme="minorHAnsi"/>
                <w:sz w:val="18"/>
                <w:szCs w:val="18"/>
              </w:rPr>
            </w:pPr>
            <w:r>
              <w:rPr>
                <w:rFonts w:cstheme="minorHAnsi"/>
                <w:sz w:val="18"/>
                <w:szCs w:val="18"/>
              </w:rPr>
              <w:t>Display the measured value selected in mode 11</w:t>
            </w:r>
          </w:p>
        </w:tc>
      </w:tr>
      <w:tr w14:paraId="1FE9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vAlign w:val="center"/>
          </w:tcPr>
          <w:p w14:paraId="34E00D81">
            <w:pPr>
              <w:spacing w:after="240"/>
              <w:jc w:val="center"/>
              <w:rPr>
                <w:rFonts w:cstheme="minorHAnsi"/>
                <w:sz w:val="18"/>
                <w:szCs w:val="18"/>
              </w:rPr>
            </w:pPr>
            <w:r>
              <w:rPr>
                <w:rFonts w:cstheme="minorHAnsi"/>
                <w:sz w:val="18"/>
                <w:szCs w:val="18"/>
              </w:rPr>
              <w:t>Error display</w:t>
            </w:r>
          </w:p>
        </w:tc>
        <w:tc>
          <w:tcPr>
            <w:tcW w:w="346" w:type="pct"/>
            <w:vAlign w:val="center"/>
          </w:tcPr>
          <w:p w14:paraId="1272E90E">
            <w:pPr>
              <w:spacing w:after="240"/>
              <w:jc w:val="center"/>
              <w:rPr>
                <w:rFonts w:cstheme="minorHAnsi"/>
                <w:sz w:val="18"/>
                <w:szCs w:val="18"/>
              </w:rPr>
            </w:pPr>
          </w:p>
        </w:tc>
        <w:tc>
          <w:tcPr>
            <w:tcW w:w="484" w:type="pct"/>
            <w:vAlign w:val="center"/>
          </w:tcPr>
          <w:p w14:paraId="5D638ABC">
            <w:pPr>
              <w:spacing w:after="240"/>
              <w:jc w:val="center"/>
              <w:rPr>
                <w:rFonts w:cstheme="minorHAnsi"/>
                <w:sz w:val="18"/>
                <w:szCs w:val="18"/>
              </w:rPr>
            </w:pPr>
          </w:p>
        </w:tc>
        <w:tc>
          <w:tcPr>
            <w:tcW w:w="453" w:type="pct"/>
            <w:vAlign w:val="center"/>
          </w:tcPr>
          <w:p w14:paraId="4ECE4788">
            <w:pPr>
              <w:spacing w:after="240"/>
              <w:jc w:val="center"/>
              <w:rPr>
                <w:rFonts w:cstheme="minorHAnsi"/>
                <w:sz w:val="18"/>
                <w:szCs w:val="18"/>
              </w:rPr>
            </w:pPr>
          </w:p>
        </w:tc>
        <w:tc>
          <w:tcPr>
            <w:tcW w:w="513" w:type="pct"/>
            <w:vAlign w:val="center"/>
          </w:tcPr>
          <w:p w14:paraId="5A9B0233">
            <w:pPr>
              <w:spacing w:after="240"/>
              <w:jc w:val="center"/>
              <w:rPr>
                <w:rFonts w:cstheme="minorHAnsi"/>
                <w:sz w:val="18"/>
                <w:szCs w:val="18"/>
              </w:rPr>
            </w:pPr>
          </w:p>
        </w:tc>
        <w:tc>
          <w:tcPr>
            <w:tcW w:w="468" w:type="pct"/>
            <w:vAlign w:val="center"/>
          </w:tcPr>
          <w:p w14:paraId="07B0378C">
            <w:pPr>
              <w:spacing w:after="240"/>
              <w:jc w:val="center"/>
              <w:rPr>
                <w:rFonts w:cstheme="minorHAnsi"/>
                <w:sz w:val="18"/>
                <w:szCs w:val="18"/>
              </w:rPr>
            </w:pPr>
          </w:p>
        </w:tc>
        <w:tc>
          <w:tcPr>
            <w:tcW w:w="2017" w:type="pct"/>
            <w:vAlign w:val="center"/>
          </w:tcPr>
          <w:p w14:paraId="0E4FA13F">
            <w:pPr>
              <w:spacing w:after="240"/>
              <w:jc w:val="center"/>
              <w:rPr>
                <w:rFonts w:cstheme="minorHAnsi"/>
                <w:sz w:val="18"/>
                <w:szCs w:val="18"/>
              </w:rPr>
            </w:pPr>
            <w:r>
              <w:rPr>
                <w:rFonts w:cstheme="minorHAnsi"/>
                <w:sz w:val="18"/>
                <w:szCs w:val="18"/>
              </w:rPr>
              <w:t>Mistake! When the transmitter fails, the text of the cause of the failure is displayed</w:t>
            </w:r>
          </w:p>
        </w:tc>
      </w:tr>
      <w:tr w14:paraId="49C9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vAlign w:val="center"/>
          </w:tcPr>
          <w:p w14:paraId="61DA5334">
            <w:pPr>
              <w:spacing w:after="240"/>
              <w:jc w:val="center"/>
              <w:rPr>
                <w:rFonts w:cstheme="minorHAnsi"/>
                <w:sz w:val="18"/>
                <w:szCs w:val="18"/>
              </w:rPr>
            </w:pPr>
            <w:r>
              <w:rPr>
                <w:rFonts w:cstheme="minorHAnsi"/>
                <w:sz w:val="18"/>
                <w:szCs w:val="18"/>
              </w:rPr>
              <w:t>Lower range limit</w:t>
            </w:r>
          </w:p>
        </w:tc>
        <w:tc>
          <w:tcPr>
            <w:tcW w:w="346" w:type="pct"/>
            <w:vAlign w:val="center"/>
          </w:tcPr>
          <w:p w14:paraId="0FB6E462">
            <w:pPr>
              <w:spacing w:after="240"/>
              <w:jc w:val="center"/>
              <w:rPr>
                <w:rFonts w:cstheme="minorHAnsi"/>
                <w:sz w:val="18"/>
                <w:szCs w:val="18"/>
              </w:rPr>
            </w:pPr>
            <w:r>
              <w:rPr>
                <w:rFonts w:cstheme="minorHAnsi"/>
                <w:sz w:val="18"/>
                <w:szCs w:val="18"/>
              </w:rPr>
              <w:t>03</w:t>
            </w:r>
          </w:p>
        </w:tc>
        <w:tc>
          <w:tcPr>
            <w:tcW w:w="484" w:type="pct"/>
            <w:vAlign w:val="center"/>
          </w:tcPr>
          <w:p w14:paraId="76644C0E">
            <w:pPr>
              <w:spacing w:after="240"/>
              <w:jc w:val="center"/>
              <w:rPr>
                <w:rFonts w:cstheme="minorHAnsi"/>
                <w:sz w:val="18"/>
                <w:szCs w:val="18"/>
              </w:rPr>
            </w:pPr>
            <w:r>
              <w:rPr>
                <w:rFonts w:cstheme="minorHAnsi"/>
                <w:sz w:val="18"/>
                <w:szCs w:val="18"/>
              </w:rPr>
              <w:t>——</w:t>
            </w:r>
          </w:p>
        </w:tc>
        <w:tc>
          <w:tcPr>
            <w:tcW w:w="453" w:type="pct"/>
            <w:vAlign w:val="center"/>
          </w:tcPr>
          <w:p w14:paraId="00C6A7BB">
            <w:pPr>
              <w:spacing w:after="240"/>
              <w:jc w:val="center"/>
              <w:rPr>
                <w:rFonts w:cstheme="minorHAnsi"/>
                <w:sz w:val="18"/>
                <w:szCs w:val="18"/>
              </w:rPr>
            </w:pPr>
            <w:r>
              <w:rPr>
                <w:rFonts w:cstheme="minorHAnsi"/>
                <w:sz w:val="18"/>
                <w:szCs w:val="18"/>
              </w:rPr>
              <w:t>——</w:t>
            </w:r>
          </w:p>
        </w:tc>
        <w:tc>
          <w:tcPr>
            <w:tcW w:w="513" w:type="pct"/>
            <w:vAlign w:val="center"/>
          </w:tcPr>
          <w:p w14:paraId="601D611C">
            <w:pPr>
              <w:spacing w:after="240"/>
              <w:jc w:val="center"/>
              <w:rPr>
                <w:rFonts w:cstheme="minorHAnsi"/>
                <w:sz w:val="18"/>
                <w:szCs w:val="18"/>
              </w:rPr>
            </w:pPr>
            <w:r>
              <w:rPr>
                <w:rFonts w:cstheme="minorHAnsi"/>
                <w:sz w:val="18"/>
                <w:szCs w:val="18"/>
              </w:rPr>
              <w:t>perform calibration</w:t>
            </w:r>
          </w:p>
        </w:tc>
        <w:tc>
          <w:tcPr>
            <w:tcW w:w="468" w:type="pct"/>
            <w:vAlign w:val="center"/>
          </w:tcPr>
          <w:p w14:paraId="62236782">
            <w:pPr>
              <w:spacing w:after="240"/>
              <w:jc w:val="center"/>
              <w:rPr>
                <w:rFonts w:cstheme="minorHAnsi"/>
                <w:sz w:val="18"/>
                <w:szCs w:val="18"/>
              </w:rPr>
            </w:pPr>
            <w:r>
              <w:rPr>
                <w:rFonts w:cstheme="minorHAnsi"/>
                <w:sz w:val="18"/>
                <w:szCs w:val="18"/>
              </w:rPr>
              <w:t>Fun03</w:t>
            </w:r>
          </w:p>
          <w:p w14:paraId="0346C098">
            <w:pPr>
              <w:spacing w:after="240"/>
              <w:jc w:val="center"/>
              <w:rPr>
                <w:rFonts w:cstheme="minorHAnsi"/>
                <w:sz w:val="18"/>
                <w:szCs w:val="18"/>
              </w:rPr>
            </w:pPr>
            <w:r>
              <w:rPr>
                <w:rFonts w:cstheme="minorHAnsi"/>
                <w:sz w:val="18"/>
                <w:szCs w:val="18"/>
              </w:rPr>
              <w:t>LOWER</w:t>
            </w:r>
          </w:p>
        </w:tc>
        <w:tc>
          <w:tcPr>
            <w:tcW w:w="2017" w:type="pct"/>
            <w:vAlign w:val="center"/>
          </w:tcPr>
          <w:p w14:paraId="4C573CF1">
            <w:pPr>
              <w:spacing w:after="240"/>
              <w:jc w:val="center"/>
              <w:rPr>
                <w:rFonts w:cstheme="minorHAnsi"/>
                <w:sz w:val="18"/>
                <w:szCs w:val="18"/>
              </w:rPr>
            </w:pPr>
            <w:r>
              <w:rPr>
                <w:rFonts w:cstheme="minorHAnsi"/>
                <w:sz w:val="18"/>
                <w:szCs w:val="18"/>
              </w:rPr>
              <w:t>Set the lower limit of the main variable range with the current value</w:t>
            </w:r>
          </w:p>
        </w:tc>
      </w:tr>
      <w:tr w14:paraId="66DE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vAlign w:val="center"/>
          </w:tcPr>
          <w:p w14:paraId="5DB58C5A">
            <w:pPr>
              <w:spacing w:after="240"/>
              <w:jc w:val="center"/>
              <w:rPr>
                <w:rFonts w:cstheme="minorHAnsi"/>
                <w:sz w:val="18"/>
                <w:szCs w:val="18"/>
              </w:rPr>
            </w:pPr>
            <w:r>
              <w:rPr>
                <w:rFonts w:cstheme="minorHAnsi"/>
                <w:sz w:val="18"/>
                <w:szCs w:val="18"/>
              </w:rPr>
              <w:t>Upper range limit</w:t>
            </w:r>
          </w:p>
        </w:tc>
        <w:tc>
          <w:tcPr>
            <w:tcW w:w="346" w:type="pct"/>
            <w:vAlign w:val="center"/>
          </w:tcPr>
          <w:p w14:paraId="18D64F76">
            <w:pPr>
              <w:spacing w:after="240"/>
              <w:jc w:val="center"/>
              <w:rPr>
                <w:rFonts w:cstheme="minorHAnsi"/>
                <w:sz w:val="18"/>
                <w:szCs w:val="18"/>
              </w:rPr>
            </w:pPr>
            <w:r>
              <w:rPr>
                <w:rFonts w:cstheme="minorHAnsi"/>
                <w:sz w:val="18"/>
                <w:szCs w:val="18"/>
              </w:rPr>
              <w:t>04</w:t>
            </w:r>
          </w:p>
        </w:tc>
        <w:tc>
          <w:tcPr>
            <w:tcW w:w="484" w:type="pct"/>
            <w:vAlign w:val="center"/>
          </w:tcPr>
          <w:p w14:paraId="70B31185">
            <w:pPr>
              <w:spacing w:after="240"/>
              <w:jc w:val="center"/>
              <w:rPr>
                <w:rFonts w:cstheme="minorHAnsi"/>
                <w:sz w:val="18"/>
                <w:szCs w:val="18"/>
              </w:rPr>
            </w:pPr>
            <w:r>
              <w:rPr>
                <w:rFonts w:cstheme="minorHAnsi"/>
                <w:sz w:val="18"/>
                <w:szCs w:val="18"/>
              </w:rPr>
              <w:t>——</w:t>
            </w:r>
          </w:p>
        </w:tc>
        <w:tc>
          <w:tcPr>
            <w:tcW w:w="453" w:type="pct"/>
            <w:vAlign w:val="center"/>
          </w:tcPr>
          <w:p w14:paraId="20B4093D">
            <w:pPr>
              <w:spacing w:after="240"/>
              <w:jc w:val="center"/>
              <w:rPr>
                <w:rFonts w:cstheme="minorHAnsi"/>
                <w:sz w:val="18"/>
                <w:szCs w:val="18"/>
              </w:rPr>
            </w:pPr>
            <w:r>
              <w:rPr>
                <w:rFonts w:cstheme="minorHAnsi"/>
                <w:sz w:val="18"/>
                <w:szCs w:val="18"/>
              </w:rPr>
              <w:t>——</w:t>
            </w:r>
          </w:p>
        </w:tc>
        <w:tc>
          <w:tcPr>
            <w:tcW w:w="513" w:type="pct"/>
            <w:vAlign w:val="center"/>
          </w:tcPr>
          <w:p w14:paraId="35D32E9F">
            <w:pPr>
              <w:spacing w:after="240"/>
              <w:jc w:val="center"/>
              <w:rPr>
                <w:rFonts w:cstheme="minorHAnsi"/>
                <w:sz w:val="18"/>
                <w:szCs w:val="18"/>
              </w:rPr>
            </w:pPr>
            <w:r>
              <w:rPr>
                <w:rFonts w:cstheme="minorHAnsi"/>
                <w:sz w:val="18"/>
                <w:szCs w:val="18"/>
              </w:rPr>
              <w:t>perform calibration</w:t>
            </w:r>
          </w:p>
        </w:tc>
        <w:tc>
          <w:tcPr>
            <w:tcW w:w="468" w:type="pct"/>
            <w:vAlign w:val="center"/>
          </w:tcPr>
          <w:p w14:paraId="01B04BDA">
            <w:pPr>
              <w:spacing w:after="240"/>
              <w:jc w:val="center"/>
              <w:rPr>
                <w:rFonts w:cstheme="minorHAnsi"/>
                <w:sz w:val="18"/>
                <w:szCs w:val="18"/>
              </w:rPr>
            </w:pPr>
            <w:r>
              <w:rPr>
                <w:rFonts w:cstheme="minorHAnsi"/>
                <w:sz w:val="18"/>
                <w:szCs w:val="18"/>
              </w:rPr>
              <w:t>Fun04</w:t>
            </w:r>
          </w:p>
          <w:p w14:paraId="635AA59D">
            <w:pPr>
              <w:spacing w:after="240"/>
              <w:jc w:val="center"/>
              <w:rPr>
                <w:rFonts w:cstheme="minorHAnsi"/>
                <w:sz w:val="18"/>
                <w:szCs w:val="18"/>
              </w:rPr>
            </w:pPr>
            <w:r>
              <w:rPr>
                <w:rFonts w:cstheme="minorHAnsi"/>
                <w:sz w:val="18"/>
                <w:szCs w:val="18"/>
              </w:rPr>
              <w:t>UPPER</w:t>
            </w:r>
          </w:p>
        </w:tc>
        <w:tc>
          <w:tcPr>
            <w:tcW w:w="2017" w:type="pct"/>
            <w:vAlign w:val="center"/>
          </w:tcPr>
          <w:p w14:paraId="27905374">
            <w:pPr>
              <w:spacing w:after="240"/>
              <w:jc w:val="center"/>
              <w:rPr>
                <w:rFonts w:cstheme="minorHAnsi"/>
                <w:sz w:val="18"/>
                <w:szCs w:val="18"/>
              </w:rPr>
            </w:pPr>
            <w:r>
              <w:rPr>
                <w:rFonts w:cstheme="minorHAnsi"/>
                <w:sz w:val="18"/>
                <w:szCs w:val="18"/>
              </w:rPr>
              <w:t>Set the upper limit of the main variable range with the current value</w:t>
            </w:r>
          </w:p>
        </w:tc>
      </w:tr>
      <w:tr w14:paraId="36CC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vAlign w:val="center"/>
          </w:tcPr>
          <w:p w14:paraId="77F05DBF">
            <w:pPr>
              <w:spacing w:after="240"/>
              <w:jc w:val="center"/>
              <w:rPr>
                <w:rFonts w:cstheme="minorHAnsi"/>
                <w:sz w:val="18"/>
                <w:szCs w:val="18"/>
              </w:rPr>
            </w:pPr>
            <w:r>
              <w:rPr>
                <w:rFonts w:cstheme="minorHAnsi"/>
                <w:sz w:val="18"/>
                <w:szCs w:val="18"/>
              </w:rPr>
              <w:t>Electronic damping</w:t>
            </w:r>
          </w:p>
        </w:tc>
        <w:tc>
          <w:tcPr>
            <w:tcW w:w="346" w:type="pct"/>
            <w:vAlign w:val="center"/>
          </w:tcPr>
          <w:p w14:paraId="5B4965AA">
            <w:pPr>
              <w:spacing w:after="240"/>
              <w:jc w:val="center"/>
              <w:rPr>
                <w:rFonts w:cstheme="minorHAnsi"/>
                <w:sz w:val="18"/>
                <w:szCs w:val="18"/>
              </w:rPr>
            </w:pPr>
            <w:r>
              <w:rPr>
                <w:rFonts w:cstheme="minorHAnsi"/>
                <w:sz w:val="18"/>
                <w:szCs w:val="18"/>
              </w:rPr>
              <w:t>05</w:t>
            </w:r>
          </w:p>
        </w:tc>
        <w:tc>
          <w:tcPr>
            <w:tcW w:w="484" w:type="pct"/>
            <w:vAlign w:val="center"/>
          </w:tcPr>
          <w:p w14:paraId="29CE1F93">
            <w:pPr>
              <w:spacing w:after="240"/>
              <w:jc w:val="center"/>
              <w:rPr>
                <w:rFonts w:cstheme="minorHAnsi"/>
                <w:sz w:val="18"/>
                <w:szCs w:val="18"/>
              </w:rPr>
            </w:pPr>
            <w:r>
              <w:rPr>
                <w:rFonts w:cstheme="minorHAnsi"/>
                <w:sz w:val="18"/>
                <w:szCs w:val="18"/>
              </w:rPr>
              <w:t>increment</w:t>
            </w:r>
          </w:p>
        </w:tc>
        <w:tc>
          <w:tcPr>
            <w:tcW w:w="453" w:type="pct"/>
            <w:vAlign w:val="center"/>
          </w:tcPr>
          <w:p w14:paraId="639E04B2">
            <w:pPr>
              <w:spacing w:after="240"/>
              <w:jc w:val="center"/>
              <w:rPr>
                <w:rFonts w:cstheme="minorHAnsi"/>
                <w:sz w:val="18"/>
                <w:szCs w:val="18"/>
              </w:rPr>
            </w:pPr>
            <w:r>
              <w:rPr>
                <w:rFonts w:cstheme="minorHAnsi"/>
                <w:sz w:val="18"/>
                <w:szCs w:val="18"/>
              </w:rPr>
              <w:t>Decrease</w:t>
            </w:r>
          </w:p>
        </w:tc>
        <w:tc>
          <w:tcPr>
            <w:tcW w:w="513" w:type="pct"/>
            <w:vAlign w:val="center"/>
          </w:tcPr>
          <w:p w14:paraId="402706A4">
            <w:pPr>
              <w:spacing w:after="240"/>
              <w:jc w:val="center"/>
              <w:rPr>
                <w:rFonts w:cstheme="minorHAnsi"/>
                <w:sz w:val="18"/>
                <w:szCs w:val="18"/>
              </w:rPr>
            </w:pPr>
          </w:p>
        </w:tc>
        <w:tc>
          <w:tcPr>
            <w:tcW w:w="468" w:type="pct"/>
            <w:vAlign w:val="center"/>
          </w:tcPr>
          <w:p w14:paraId="3436A396">
            <w:pPr>
              <w:spacing w:after="240"/>
              <w:jc w:val="center"/>
              <w:rPr>
                <w:rFonts w:cstheme="minorHAnsi"/>
                <w:sz w:val="18"/>
                <w:szCs w:val="18"/>
              </w:rPr>
            </w:pPr>
            <w:r>
              <w:rPr>
                <w:rFonts w:cstheme="minorHAnsi"/>
                <w:sz w:val="18"/>
                <w:szCs w:val="18"/>
              </w:rPr>
              <w:t>Fun05</w:t>
            </w:r>
          </w:p>
          <w:p w14:paraId="2F2E7B73">
            <w:pPr>
              <w:spacing w:after="240"/>
              <w:jc w:val="center"/>
              <w:rPr>
                <w:rFonts w:cstheme="minorHAnsi"/>
                <w:sz w:val="18"/>
                <w:szCs w:val="18"/>
              </w:rPr>
            </w:pPr>
            <w:r>
              <w:rPr>
                <w:rFonts w:cstheme="minorHAnsi"/>
                <w:sz w:val="18"/>
                <w:szCs w:val="18"/>
              </w:rPr>
              <w:t>DAMP</w:t>
            </w:r>
          </w:p>
        </w:tc>
        <w:tc>
          <w:tcPr>
            <w:tcW w:w="2017" w:type="pct"/>
            <w:vAlign w:val="center"/>
          </w:tcPr>
          <w:p w14:paraId="2542A8F8">
            <w:pPr>
              <w:spacing w:after="240"/>
              <w:jc w:val="center"/>
              <w:rPr>
                <w:rFonts w:cstheme="minorHAnsi"/>
                <w:sz w:val="18"/>
                <w:szCs w:val="18"/>
              </w:rPr>
            </w:pPr>
            <w:r>
              <w:rPr>
                <w:rFonts w:cstheme="minorHAnsi"/>
                <w:sz w:val="18"/>
                <w:szCs w:val="18"/>
              </w:rPr>
              <w:t>time constant in seconds</w:t>
            </w:r>
          </w:p>
          <w:p w14:paraId="095902CC">
            <w:pPr>
              <w:spacing w:after="240"/>
              <w:jc w:val="center"/>
              <w:rPr>
                <w:rFonts w:cstheme="minorHAnsi"/>
                <w:sz w:val="18"/>
                <w:szCs w:val="18"/>
              </w:rPr>
            </w:pPr>
            <w:r>
              <w:rPr>
                <w:rFonts w:cstheme="minorHAnsi"/>
                <w:sz w:val="18"/>
                <w:szCs w:val="18"/>
              </w:rPr>
              <w:t>Setting range: 0.0 to 32.0</w:t>
            </w:r>
          </w:p>
        </w:tc>
      </w:tr>
      <w:tr w14:paraId="105D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vAlign w:val="center"/>
          </w:tcPr>
          <w:p w14:paraId="6F50E7DD">
            <w:pPr>
              <w:spacing w:after="240"/>
              <w:jc w:val="center"/>
              <w:rPr>
                <w:rFonts w:cstheme="minorHAnsi"/>
                <w:sz w:val="18"/>
                <w:szCs w:val="18"/>
              </w:rPr>
            </w:pPr>
            <w:r>
              <w:rPr>
                <w:rFonts w:cstheme="minorHAnsi"/>
                <w:sz w:val="18"/>
                <w:szCs w:val="18"/>
              </w:rPr>
              <w:t>Passive lower range limit</w:t>
            </w:r>
          </w:p>
        </w:tc>
        <w:tc>
          <w:tcPr>
            <w:tcW w:w="346" w:type="pct"/>
            <w:vAlign w:val="center"/>
          </w:tcPr>
          <w:p w14:paraId="0DDBF689">
            <w:pPr>
              <w:spacing w:after="240"/>
              <w:jc w:val="center"/>
              <w:rPr>
                <w:rFonts w:cstheme="minorHAnsi"/>
                <w:sz w:val="18"/>
                <w:szCs w:val="18"/>
              </w:rPr>
            </w:pPr>
            <w:r>
              <w:rPr>
                <w:rFonts w:cstheme="minorHAnsi"/>
                <w:sz w:val="18"/>
                <w:szCs w:val="18"/>
              </w:rPr>
              <w:t>06</w:t>
            </w:r>
          </w:p>
        </w:tc>
        <w:tc>
          <w:tcPr>
            <w:tcW w:w="484" w:type="pct"/>
            <w:vAlign w:val="center"/>
          </w:tcPr>
          <w:p w14:paraId="4A8D92F3">
            <w:pPr>
              <w:spacing w:after="240"/>
              <w:jc w:val="center"/>
              <w:rPr>
                <w:rFonts w:cstheme="minorHAnsi"/>
                <w:sz w:val="18"/>
                <w:szCs w:val="18"/>
              </w:rPr>
            </w:pPr>
            <w:r>
              <w:rPr>
                <w:rFonts w:cstheme="minorHAnsi"/>
                <w:sz w:val="18"/>
                <w:szCs w:val="18"/>
              </w:rPr>
              <w:t>preset</w:t>
            </w:r>
          </w:p>
          <w:p w14:paraId="344B626C">
            <w:pPr>
              <w:spacing w:after="240"/>
              <w:jc w:val="center"/>
              <w:rPr>
                <w:rFonts w:cstheme="minorHAnsi"/>
                <w:sz w:val="18"/>
                <w:szCs w:val="18"/>
              </w:rPr>
            </w:pPr>
            <w:r>
              <w:rPr>
                <w:rFonts w:cstheme="minorHAnsi"/>
                <w:sz w:val="18"/>
                <w:szCs w:val="18"/>
              </w:rPr>
              <w:t>reduce</w:t>
            </w:r>
          </w:p>
        </w:tc>
        <w:tc>
          <w:tcPr>
            <w:tcW w:w="453" w:type="pct"/>
            <w:vAlign w:val="center"/>
          </w:tcPr>
          <w:p w14:paraId="4B0BA386">
            <w:pPr>
              <w:spacing w:after="240"/>
              <w:jc w:val="center"/>
              <w:rPr>
                <w:rFonts w:cstheme="minorHAnsi"/>
                <w:sz w:val="18"/>
                <w:szCs w:val="18"/>
              </w:rPr>
            </w:pPr>
            <w:r>
              <w:rPr>
                <w:rFonts w:cstheme="minorHAnsi"/>
                <w:sz w:val="18"/>
                <w:szCs w:val="18"/>
              </w:rPr>
              <w:t>preset</w:t>
            </w:r>
          </w:p>
          <w:p w14:paraId="188D20CD">
            <w:pPr>
              <w:spacing w:after="240"/>
              <w:jc w:val="center"/>
              <w:rPr>
                <w:rFonts w:cstheme="minorHAnsi"/>
                <w:sz w:val="18"/>
                <w:szCs w:val="18"/>
              </w:rPr>
            </w:pPr>
            <w:r>
              <w:rPr>
                <w:rFonts w:cstheme="minorHAnsi"/>
                <w:sz w:val="18"/>
                <w:szCs w:val="18"/>
              </w:rPr>
              <w:t>increase</w:t>
            </w:r>
          </w:p>
        </w:tc>
        <w:tc>
          <w:tcPr>
            <w:tcW w:w="513" w:type="pct"/>
            <w:vAlign w:val="center"/>
          </w:tcPr>
          <w:p w14:paraId="79301922">
            <w:pPr>
              <w:spacing w:after="240"/>
              <w:jc w:val="center"/>
              <w:rPr>
                <w:rFonts w:cstheme="minorHAnsi"/>
                <w:sz w:val="18"/>
                <w:szCs w:val="18"/>
              </w:rPr>
            </w:pPr>
            <w:r>
              <w:rPr>
                <w:rFonts w:cstheme="minorHAnsi"/>
                <w:sz w:val="18"/>
                <w:szCs w:val="18"/>
              </w:rPr>
              <w:t>implement</w:t>
            </w:r>
          </w:p>
        </w:tc>
        <w:tc>
          <w:tcPr>
            <w:tcW w:w="468" w:type="pct"/>
            <w:vAlign w:val="center"/>
          </w:tcPr>
          <w:p w14:paraId="45412430">
            <w:pPr>
              <w:spacing w:after="240"/>
              <w:jc w:val="center"/>
              <w:rPr>
                <w:rFonts w:cstheme="minorHAnsi"/>
                <w:sz w:val="18"/>
                <w:szCs w:val="18"/>
              </w:rPr>
            </w:pPr>
            <w:r>
              <w:rPr>
                <w:rFonts w:cstheme="minorHAnsi"/>
                <w:sz w:val="18"/>
                <w:szCs w:val="18"/>
              </w:rPr>
              <w:t>Fun06</w:t>
            </w:r>
          </w:p>
          <w:p w14:paraId="6F162292">
            <w:pPr>
              <w:spacing w:after="240"/>
              <w:jc w:val="center"/>
              <w:rPr>
                <w:rFonts w:cstheme="minorHAnsi"/>
                <w:sz w:val="18"/>
                <w:szCs w:val="18"/>
              </w:rPr>
            </w:pPr>
            <w:r>
              <w:rPr>
                <w:rFonts w:cstheme="minorHAnsi"/>
                <w:sz w:val="18"/>
                <w:szCs w:val="18"/>
              </w:rPr>
              <w:t>PVLRV</w:t>
            </w:r>
          </w:p>
        </w:tc>
        <w:tc>
          <w:tcPr>
            <w:tcW w:w="2017" w:type="pct"/>
            <w:vAlign w:val="center"/>
          </w:tcPr>
          <w:p w14:paraId="3F3932C6">
            <w:pPr>
              <w:spacing w:after="240"/>
              <w:jc w:val="center"/>
              <w:rPr>
                <w:rFonts w:cstheme="minorHAnsi"/>
                <w:sz w:val="18"/>
                <w:szCs w:val="18"/>
              </w:rPr>
            </w:pPr>
            <w:r>
              <w:rPr>
                <w:rFonts w:cstheme="minorHAnsi"/>
                <w:sz w:val="18"/>
                <w:szCs w:val="18"/>
              </w:rPr>
              <w:t>Manually set the lower limit of the primary variable range</w:t>
            </w:r>
          </w:p>
        </w:tc>
      </w:tr>
      <w:tr w14:paraId="5279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vAlign w:val="center"/>
          </w:tcPr>
          <w:p w14:paraId="76B3D8A6">
            <w:pPr>
              <w:spacing w:after="240"/>
              <w:jc w:val="center"/>
              <w:rPr>
                <w:rFonts w:cstheme="minorHAnsi"/>
                <w:sz w:val="18"/>
                <w:szCs w:val="18"/>
              </w:rPr>
            </w:pPr>
            <w:r>
              <w:rPr>
                <w:rFonts w:cstheme="minorHAnsi"/>
                <w:sz w:val="18"/>
                <w:szCs w:val="18"/>
              </w:rPr>
              <w:t>Passive range upper limit</w:t>
            </w:r>
          </w:p>
        </w:tc>
        <w:tc>
          <w:tcPr>
            <w:tcW w:w="346" w:type="pct"/>
            <w:vAlign w:val="center"/>
          </w:tcPr>
          <w:p w14:paraId="6C8B40AD">
            <w:pPr>
              <w:spacing w:after="240"/>
              <w:jc w:val="center"/>
              <w:rPr>
                <w:rFonts w:cstheme="minorHAnsi"/>
                <w:sz w:val="18"/>
                <w:szCs w:val="18"/>
              </w:rPr>
            </w:pPr>
            <w:r>
              <w:rPr>
                <w:rFonts w:cstheme="minorHAnsi"/>
                <w:sz w:val="18"/>
                <w:szCs w:val="18"/>
              </w:rPr>
              <w:t>07</w:t>
            </w:r>
          </w:p>
        </w:tc>
        <w:tc>
          <w:tcPr>
            <w:tcW w:w="484" w:type="pct"/>
            <w:vAlign w:val="center"/>
          </w:tcPr>
          <w:p w14:paraId="353D2E1A">
            <w:pPr>
              <w:spacing w:after="240"/>
              <w:jc w:val="center"/>
              <w:rPr>
                <w:rFonts w:cstheme="minorHAnsi"/>
                <w:sz w:val="18"/>
                <w:szCs w:val="18"/>
              </w:rPr>
            </w:pPr>
            <w:r>
              <w:rPr>
                <w:rFonts w:cstheme="minorHAnsi"/>
                <w:sz w:val="18"/>
                <w:szCs w:val="18"/>
              </w:rPr>
              <w:t>preset</w:t>
            </w:r>
          </w:p>
          <w:p w14:paraId="071E5BAA">
            <w:pPr>
              <w:spacing w:after="240"/>
              <w:jc w:val="center"/>
              <w:rPr>
                <w:rFonts w:cstheme="minorHAnsi"/>
                <w:sz w:val="18"/>
                <w:szCs w:val="18"/>
              </w:rPr>
            </w:pPr>
            <w:r>
              <w:rPr>
                <w:rFonts w:cstheme="minorHAnsi"/>
                <w:sz w:val="18"/>
                <w:szCs w:val="18"/>
              </w:rPr>
              <w:t>reduce</w:t>
            </w:r>
          </w:p>
        </w:tc>
        <w:tc>
          <w:tcPr>
            <w:tcW w:w="453" w:type="pct"/>
            <w:vAlign w:val="center"/>
          </w:tcPr>
          <w:p w14:paraId="32AF2F6C">
            <w:pPr>
              <w:spacing w:after="240"/>
              <w:jc w:val="center"/>
              <w:rPr>
                <w:rFonts w:cstheme="minorHAnsi"/>
                <w:sz w:val="18"/>
                <w:szCs w:val="18"/>
              </w:rPr>
            </w:pPr>
            <w:r>
              <w:rPr>
                <w:rFonts w:cstheme="minorHAnsi"/>
                <w:sz w:val="18"/>
                <w:szCs w:val="18"/>
              </w:rPr>
              <w:t>preset</w:t>
            </w:r>
          </w:p>
          <w:p w14:paraId="05BB1196">
            <w:pPr>
              <w:spacing w:after="240"/>
              <w:jc w:val="center"/>
              <w:rPr>
                <w:rFonts w:cstheme="minorHAnsi"/>
                <w:sz w:val="18"/>
                <w:szCs w:val="18"/>
              </w:rPr>
            </w:pPr>
            <w:r>
              <w:rPr>
                <w:rFonts w:cstheme="minorHAnsi"/>
                <w:sz w:val="18"/>
                <w:szCs w:val="18"/>
              </w:rPr>
              <w:t>increase</w:t>
            </w:r>
          </w:p>
        </w:tc>
        <w:tc>
          <w:tcPr>
            <w:tcW w:w="513" w:type="pct"/>
            <w:vAlign w:val="center"/>
          </w:tcPr>
          <w:p w14:paraId="749E68AD">
            <w:pPr>
              <w:spacing w:after="240"/>
              <w:jc w:val="center"/>
              <w:rPr>
                <w:rFonts w:cstheme="minorHAnsi"/>
                <w:sz w:val="18"/>
                <w:szCs w:val="18"/>
              </w:rPr>
            </w:pPr>
            <w:r>
              <w:rPr>
                <w:rFonts w:cstheme="minorHAnsi"/>
                <w:sz w:val="18"/>
                <w:szCs w:val="18"/>
              </w:rPr>
              <w:t>implement</w:t>
            </w:r>
          </w:p>
        </w:tc>
        <w:tc>
          <w:tcPr>
            <w:tcW w:w="468" w:type="pct"/>
            <w:vAlign w:val="center"/>
          </w:tcPr>
          <w:p w14:paraId="7C22B618">
            <w:pPr>
              <w:spacing w:after="240"/>
              <w:jc w:val="center"/>
              <w:rPr>
                <w:rFonts w:cstheme="minorHAnsi"/>
                <w:sz w:val="18"/>
                <w:szCs w:val="18"/>
              </w:rPr>
            </w:pPr>
            <w:r>
              <w:rPr>
                <w:rFonts w:cstheme="minorHAnsi"/>
                <w:sz w:val="18"/>
                <w:szCs w:val="18"/>
              </w:rPr>
              <w:t>Fun07</w:t>
            </w:r>
          </w:p>
          <w:p w14:paraId="5AB0C3A8">
            <w:pPr>
              <w:spacing w:after="240"/>
              <w:jc w:val="center"/>
              <w:rPr>
                <w:rFonts w:cstheme="minorHAnsi"/>
                <w:sz w:val="18"/>
                <w:szCs w:val="18"/>
              </w:rPr>
            </w:pPr>
            <w:r>
              <w:rPr>
                <w:rFonts w:cstheme="minorHAnsi"/>
                <w:sz w:val="18"/>
                <w:szCs w:val="18"/>
              </w:rPr>
              <w:t>PVURV</w:t>
            </w:r>
          </w:p>
        </w:tc>
        <w:tc>
          <w:tcPr>
            <w:tcW w:w="2017" w:type="pct"/>
            <w:vAlign w:val="center"/>
          </w:tcPr>
          <w:p w14:paraId="4A4EF77F">
            <w:pPr>
              <w:spacing w:after="240"/>
              <w:jc w:val="center"/>
              <w:rPr>
                <w:rFonts w:cstheme="minorHAnsi"/>
                <w:sz w:val="18"/>
                <w:szCs w:val="18"/>
              </w:rPr>
            </w:pPr>
            <w:r>
              <w:rPr>
                <w:rFonts w:cstheme="minorHAnsi"/>
                <w:sz w:val="18"/>
                <w:szCs w:val="18"/>
              </w:rPr>
              <w:t>Manually set the upper limit of the main variable range</w:t>
            </w:r>
          </w:p>
        </w:tc>
      </w:tr>
      <w:tr w14:paraId="3797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vAlign w:val="center"/>
          </w:tcPr>
          <w:p w14:paraId="1E00DA93">
            <w:pPr>
              <w:spacing w:after="240"/>
              <w:jc w:val="center"/>
              <w:rPr>
                <w:rFonts w:cstheme="minorHAnsi"/>
                <w:sz w:val="18"/>
                <w:szCs w:val="18"/>
              </w:rPr>
            </w:pPr>
            <w:r>
              <w:rPr>
                <w:rFonts w:cstheme="minorHAnsi"/>
                <w:sz w:val="18"/>
                <w:szCs w:val="18"/>
              </w:rPr>
              <w:t>Main variable zero</w:t>
            </w:r>
          </w:p>
        </w:tc>
        <w:tc>
          <w:tcPr>
            <w:tcW w:w="346" w:type="pct"/>
            <w:vAlign w:val="center"/>
          </w:tcPr>
          <w:p w14:paraId="21CDEE4E">
            <w:pPr>
              <w:spacing w:after="240"/>
              <w:jc w:val="center"/>
              <w:rPr>
                <w:rFonts w:cstheme="minorHAnsi"/>
                <w:sz w:val="18"/>
                <w:szCs w:val="18"/>
              </w:rPr>
            </w:pPr>
            <w:r>
              <w:rPr>
                <w:rFonts w:cstheme="minorHAnsi"/>
                <w:sz w:val="18"/>
                <w:szCs w:val="18"/>
              </w:rPr>
              <w:t>08</w:t>
            </w:r>
          </w:p>
        </w:tc>
        <w:tc>
          <w:tcPr>
            <w:tcW w:w="484" w:type="pct"/>
            <w:vAlign w:val="center"/>
          </w:tcPr>
          <w:p w14:paraId="743BE2F3">
            <w:pPr>
              <w:spacing w:after="240"/>
              <w:jc w:val="center"/>
              <w:rPr>
                <w:rFonts w:cstheme="minorHAnsi"/>
                <w:sz w:val="18"/>
                <w:szCs w:val="18"/>
              </w:rPr>
            </w:pPr>
            <w:r>
              <w:rPr>
                <w:rFonts w:cstheme="minorHAnsi"/>
                <w:sz w:val="18"/>
                <w:szCs w:val="18"/>
              </w:rPr>
              <w:t>——</w:t>
            </w:r>
          </w:p>
        </w:tc>
        <w:tc>
          <w:tcPr>
            <w:tcW w:w="453" w:type="pct"/>
            <w:vAlign w:val="center"/>
          </w:tcPr>
          <w:p w14:paraId="387E8275">
            <w:pPr>
              <w:spacing w:after="240"/>
              <w:jc w:val="center"/>
              <w:rPr>
                <w:rFonts w:cstheme="minorHAnsi"/>
                <w:sz w:val="18"/>
                <w:szCs w:val="18"/>
              </w:rPr>
            </w:pPr>
            <w:r>
              <w:rPr>
                <w:rFonts w:cstheme="minorHAnsi"/>
                <w:sz w:val="18"/>
                <w:szCs w:val="18"/>
              </w:rPr>
              <w:t>——</w:t>
            </w:r>
          </w:p>
        </w:tc>
        <w:tc>
          <w:tcPr>
            <w:tcW w:w="513" w:type="pct"/>
            <w:vAlign w:val="center"/>
          </w:tcPr>
          <w:p w14:paraId="685F97D8">
            <w:pPr>
              <w:spacing w:after="240"/>
              <w:jc w:val="center"/>
              <w:rPr>
                <w:rFonts w:cstheme="minorHAnsi"/>
                <w:sz w:val="18"/>
                <w:szCs w:val="18"/>
              </w:rPr>
            </w:pPr>
            <w:r>
              <w:rPr>
                <w:rFonts w:cstheme="minorHAnsi"/>
                <w:sz w:val="18"/>
                <w:szCs w:val="18"/>
              </w:rPr>
              <w:t>perform calibration</w:t>
            </w:r>
          </w:p>
        </w:tc>
        <w:tc>
          <w:tcPr>
            <w:tcW w:w="468" w:type="pct"/>
            <w:vAlign w:val="center"/>
          </w:tcPr>
          <w:p w14:paraId="36513567">
            <w:pPr>
              <w:spacing w:after="240"/>
              <w:jc w:val="center"/>
              <w:rPr>
                <w:rFonts w:cstheme="minorHAnsi"/>
                <w:sz w:val="18"/>
                <w:szCs w:val="18"/>
              </w:rPr>
            </w:pPr>
            <w:r>
              <w:rPr>
                <w:rFonts w:cstheme="minorHAnsi"/>
                <w:sz w:val="18"/>
                <w:szCs w:val="18"/>
              </w:rPr>
              <w:t>Fun08</w:t>
            </w:r>
          </w:p>
          <w:p w14:paraId="647A7487">
            <w:pPr>
              <w:spacing w:after="240"/>
              <w:jc w:val="center"/>
              <w:rPr>
                <w:rFonts w:cstheme="minorHAnsi"/>
                <w:sz w:val="18"/>
                <w:szCs w:val="18"/>
              </w:rPr>
            </w:pPr>
            <w:r>
              <w:rPr>
                <w:rFonts w:cstheme="minorHAnsi"/>
                <w:sz w:val="18"/>
                <w:szCs w:val="18"/>
              </w:rPr>
              <w:t>ZERO</w:t>
            </w:r>
          </w:p>
        </w:tc>
        <w:tc>
          <w:tcPr>
            <w:tcW w:w="2017" w:type="pct"/>
            <w:vAlign w:val="center"/>
          </w:tcPr>
          <w:p w14:paraId="48D53D27">
            <w:pPr>
              <w:spacing w:after="240"/>
              <w:jc w:val="center"/>
              <w:rPr>
                <w:rFonts w:cstheme="minorHAnsi"/>
                <w:sz w:val="18"/>
                <w:szCs w:val="18"/>
              </w:rPr>
            </w:pPr>
            <w:r>
              <w:rPr>
                <w:rFonts w:cstheme="minorHAnsi"/>
                <w:sz w:val="18"/>
                <w:szCs w:val="18"/>
              </w:rPr>
              <w:t>Set the main variable zero point with the current value</w:t>
            </w:r>
          </w:p>
        </w:tc>
      </w:tr>
      <w:tr w14:paraId="2FB4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vAlign w:val="center"/>
          </w:tcPr>
          <w:p w14:paraId="5888A416">
            <w:pPr>
              <w:spacing w:after="240"/>
              <w:jc w:val="center"/>
              <w:rPr>
                <w:rFonts w:cstheme="minorHAnsi"/>
                <w:sz w:val="18"/>
                <w:szCs w:val="18"/>
              </w:rPr>
            </w:pPr>
            <w:r>
              <w:rPr>
                <w:rFonts w:cstheme="minorHAnsi"/>
                <w:sz w:val="18"/>
                <w:szCs w:val="18"/>
              </w:rPr>
              <w:t>Transfer Function</w:t>
            </w:r>
          </w:p>
        </w:tc>
        <w:tc>
          <w:tcPr>
            <w:tcW w:w="346" w:type="pct"/>
            <w:vAlign w:val="center"/>
          </w:tcPr>
          <w:p w14:paraId="0D0BC393">
            <w:pPr>
              <w:spacing w:after="240"/>
              <w:jc w:val="center"/>
              <w:rPr>
                <w:rFonts w:cstheme="minorHAnsi"/>
                <w:sz w:val="18"/>
                <w:szCs w:val="18"/>
              </w:rPr>
            </w:pPr>
            <w:r>
              <w:rPr>
                <w:rFonts w:cstheme="minorHAnsi"/>
                <w:sz w:val="18"/>
                <w:szCs w:val="18"/>
              </w:rPr>
              <w:t>10</w:t>
            </w:r>
          </w:p>
        </w:tc>
        <w:tc>
          <w:tcPr>
            <w:tcW w:w="484" w:type="pct"/>
            <w:vAlign w:val="center"/>
          </w:tcPr>
          <w:p w14:paraId="175AA13E">
            <w:pPr>
              <w:spacing w:after="240"/>
              <w:jc w:val="center"/>
              <w:rPr>
                <w:rFonts w:cstheme="minorHAnsi"/>
                <w:sz w:val="18"/>
                <w:szCs w:val="18"/>
              </w:rPr>
            </w:pPr>
            <w:r>
              <w:rPr>
                <w:rFonts w:cstheme="minorHAnsi"/>
                <w:sz w:val="18"/>
                <w:szCs w:val="18"/>
              </w:rPr>
              <w:t>reduce</w:t>
            </w:r>
          </w:p>
        </w:tc>
        <w:tc>
          <w:tcPr>
            <w:tcW w:w="453" w:type="pct"/>
            <w:vAlign w:val="center"/>
          </w:tcPr>
          <w:p w14:paraId="0AE87BE7">
            <w:pPr>
              <w:spacing w:after="240"/>
              <w:jc w:val="center"/>
              <w:rPr>
                <w:rFonts w:cstheme="minorHAnsi"/>
                <w:sz w:val="18"/>
                <w:szCs w:val="18"/>
              </w:rPr>
            </w:pPr>
            <w:r>
              <w:rPr>
                <w:rFonts w:cstheme="minorHAnsi"/>
                <w:sz w:val="18"/>
                <w:szCs w:val="18"/>
              </w:rPr>
              <w:t>Increase</w:t>
            </w:r>
          </w:p>
        </w:tc>
        <w:tc>
          <w:tcPr>
            <w:tcW w:w="513" w:type="pct"/>
            <w:vAlign w:val="center"/>
          </w:tcPr>
          <w:p w14:paraId="13E5FF1F">
            <w:pPr>
              <w:spacing w:after="240"/>
              <w:jc w:val="center"/>
              <w:rPr>
                <w:rFonts w:cstheme="minorHAnsi"/>
                <w:sz w:val="18"/>
                <w:szCs w:val="18"/>
              </w:rPr>
            </w:pPr>
            <w:r>
              <w:rPr>
                <w:rFonts w:cstheme="minorHAnsi"/>
                <w:sz w:val="18"/>
                <w:szCs w:val="18"/>
              </w:rPr>
              <w:t>implement</w:t>
            </w:r>
          </w:p>
        </w:tc>
        <w:tc>
          <w:tcPr>
            <w:tcW w:w="468" w:type="pct"/>
            <w:vAlign w:val="center"/>
          </w:tcPr>
          <w:p w14:paraId="7979168F">
            <w:pPr>
              <w:spacing w:after="240"/>
              <w:jc w:val="center"/>
              <w:rPr>
                <w:rFonts w:cstheme="minorHAnsi"/>
                <w:sz w:val="18"/>
                <w:szCs w:val="18"/>
              </w:rPr>
            </w:pPr>
            <w:r>
              <w:rPr>
                <w:rFonts w:cstheme="minorHAnsi"/>
                <w:sz w:val="18"/>
                <w:szCs w:val="18"/>
              </w:rPr>
              <w:t>Fun10</w:t>
            </w:r>
          </w:p>
          <w:p w14:paraId="35636509">
            <w:pPr>
              <w:spacing w:after="240"/>
              <w:jc w:val="center"/>
              <w:rPr>
                <w:rFonts w:cstheme="minorHAnsi"/>
                <w:sz w:val="18"/>
                <w:szCs w:val="18"/>
              </w:rPr>
            </w:pPr>
            <w:r>
              <w:rPr>
                <w:rFonts w:cstheme="minorHAnsi"/>
                <w:sz w:val="18"/>
                <w:szCs w:val="18"/>
              </w:rPr>
              <w:t>FUNCT</w:t>
            </w:r>
          </w:p>
        </w:tc>
        <w:tc>
          <w:tcPr>
            <w:tcW w:w="2017" w:type="pct"/>
            <w:vAlign w:val="center"/>
          </w:tcPr>
          <w:p w14:paraId="4127D220">
            <w:pPr>
              <w:spacing w:after="240"/>
              <w:jc w:val="center"/>
              <w:rPr>
                <w:rFonts w:cstheme="minorHAnsi"/>
                <w:sz w:val="18"/>
                <w:szCs w:val="18"/>
              </w:rPr>
            </w:pPr>
            <w:r>
              <w:rPr>
                <w:rFonts w:cstheme="minorHAnsi"/>
                <w:sz w:val="18"/>
                <w:szCs w:val="18"/>
              </w:rPr>
              <w:t>Set transfer function</w:t>
            </w:r>
          </w:p>
        </w:tc>
      </w:tr>
      <w:tr w14:paraId="22B1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vAlign w:val="center"/>
          </w:tcPr>
          <w:p w14:paraId="4C700D19">
            <w:pPr>
              <w:spacing w:after="240"/>
              <w:jc w:val="center"/>
              <w:rPr>
                <w:rFonts w:cstheme="minorHAnsi"/>
                <w:sz w:val="18"/>
                <w:szCs w:val="18"/>
              </w:rPr>
            </w:pPr>
            <w:r>
              <w:rPr>
                <w:rFonts w:cstheme="minorHAnsi"/>
                <w:sz w:val="18"/>
                <w:szCs w:val="18"/>
              </w:rPr>
              <w:t>Measured value display source</w:t>
            </w:r>
          </w:p>
        </w:tc>
        <w:tc>
          <w:tcPr>
            <w:tcW w:w="346" w:type="pct"/>
            <w:vAlign w:val="center"/>
          </w:tcPr>
          <w:p w14:paraId="01B35F7D">
            <w:pPr>
              <w:spacing w:after="240"/>
              <w:jc w:val="center"/>
              <w:rPr>
                <w:rFonts w:cstheme="minorHAnsi"/>
                <w:sz w:val="18"/>
                <w:szCs w:val="18"/>
              </w:rPr>
            </w:pPr>
            <w:r>
              <w:rPr>
                <w:rFonts w:cstheme="minorHAnsi"/>
                <w:sz w:val="18"/>
                <w:szCs w:val="18"/>
              </w:rPr>
              <w:t>11</w:t>
            </w:r>
          </w:p>
        </w:tc>
        <w:tc>
          <w:tcPr>
            <w:tcW w:w="937" w:type="pct"/>
            <w:gridSpan w:val="2"/>
            <w:vAlign w:val="center"/>
          </w:tcPr>
          <w:p w14:paraId="5962E4FF">
            <w:pPr>
              <w:spacing w:after="240"/>
              <w:jc w:val="center"/>
              <w:rPr>
                <w:rFonts w:cstheme="minorHAnsi"/>
                <w:sz w:val="18"/>
                <w:szCs w:val="18"/>
              </w:rPr>
            </w:pPr>
            <w:r>
              <w:rPr>
                <w:rFonts w:cstheme="minorHAnsi"/>
                <w:sz w:val="18"/>
                <w:szCs w:val="18"/>
              </w:rPr>
              <w:t>Choose from a variety of possibilities</w:t>
            </w:r>
          </w:p>
        </w:tc>
        <w:tc>
          <w:tcPr>
            <w:tcW w:w="513" w:type="pct"/>
            <w:vAlign w:val="center"/>
          </w:tcPr>
          <w:p w14:paraId="41F7F962">
            <w:pPr>
              <w:spacing w:after="240"/>
              <w:jc w:val="center"/>
              <w:rPr>
                <w:rFonts w:cstheme="minorHAnsi"/>
                <w:sz w:val="18"/>
                <w:szCs w:val="18"/>
              </w:rPr>
            </w:pPr>
          </w:p>
        </w:tc>
        <w:tc>
          <w:tcPr>
            <w:tcW w:w="468" w:type="pct"/>
            <w:vAlign w:val="center"/>
          </w:tcPr>
          <w:p w14:paraId="612700E9">
            <w:pPr>
              <w:spacing w:after="240"/>
              <w:jc w:val="center"/>
              <w:rPr>
                <w:rFonts w:cstheme="minorHAnsi"/>
                <w:sz w:val="18"/>
                <w:szCs w:val="18"/>
              </w:rPr>
            </w:pPr>
            <w:r>
              <w:rPr>
                <w:rFonts w:cstheme="minorHAnsi"/>
                <w:sz w:val="18"/>
                <w:szCs w:val="18"/>
              </w:rPr>
              <w:t>Fun11</w:t>
            </w:r>
          </w:p>
          <w:p w14:paraId="305AE275">
            <w:pPr>
              <w:spacing w:after="240"/>
              <w:jc w:val="center"/>
              <w:rPr>
                <w:rFonts w:cstheme="minorHAnsi"/>
                <w:sz w:val="18"/>
                <w:szCs w:val="18"/>
              </w:rPr>
            </w:pPr>
            <w:r>
              <w:rPr>
                <w:rFonts w:cstheme="minorHAnsi"/>
                <w:sz w:val="18"/>
                <w:szCs w:val="18"/>
              </w:rPr>
              <w:t>DISP</w:t>
            </w:r>
          </w:p>
        </w:tc>
        <w:tc>
          <w:tcPr>
            <w:tcW w:w="2017" w:type="pct"/>
            <w:vAlign w:val="center"/>
          </w:tcPr>
          <w:p w14:paraId="29AE66FD">
            <w:pPr>
              <w:spacing w:after="240"/>
              <w:jc w:val="center"/>
              <w:rPr>
                <w:rFonts w:cstheme="minorHAnsi"/>
                <w:sz w:val="18"/>
                <w:szCs w:val="18"/>
              </w:rPr>
            </w:pPr>
            <w:r>
              <w:rPr>
                <w:rFonts w:cstheme="minorHAnsi"/>
                <w:sz w:val="18"/>
                <w:szCs w:val="18"/>
              </w:rPr>
              <w:t>Display the desired measurement result</w:t>
            </w:r>
          </w:p>
        </w:tc>
      </w:tr>
      <w:tr w14:paraId="6B86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pct"/>
            <w:vAlign w:val="center"/>
          </w:tcPr>
          <w:p w14:paraId="1AE54322">
            <w:pPr>
              <w:spacing w:after="240"/>
              <w:jc w:val="center"/>
              <w:rPr>
                <w:rFonts w:cstheme="minorHAnsi"/>
                <w:sz w:val="18"/>
                <w:szCs w:val="18"/>
              </w:rPr>
            </w:pPr>
            <w:r>
              <w:rPr>
                <w:rFonts w:cstheme="minorHAnsi"/>
                <w:sz w:val="18"/>
                <w:szCs w:val="18"/>
              </w:rPr>
              <w:t>Unit of physical quantity</w:t>
            </w:r>
          </w:p>
        </w:tc>
        <w:tc>
          <w:tcPr>
            <w:tcW w:w="346" w:type="pct"/>
            <w:vAlign w:val="center"/>
          </w:tcPr>
          <w:p w14:paraId="684D1F87">
            <w:pPr>
              <w:spacing w:after="240"/>
              <w:jc w:val="center"/>
              <w:rPr>
                <w:rFonts w:cstheme="minorHAnsi"/>
                <w:sz w:val="18"/>
                <w:szCs w:val="18"/>
              </w:rPr>
            </w:pPr>
            <w:r>
              <w:rPr>
                <w:rFonts w:cstheme="minorHAnsi"/>
                <w:sz w:val="18"/>
                <w:szCs w:val="18"/>
              </w:rPr>
              <w:t>12</w:t>
            </w:r>
          </w:p>
        </w:tc>
        <w:tc>
          <w:tcPr>
            <w:tcW w:w="937" w:type="pct"/>
            <w:gridSpan w:val="2"/>
            <w:vAlign w:val="center"/>
          </w:tcPr>
          <w:p w14:paraId="71BF7660">
            <w:pPr>
              <w:spacing w:after="240"/>
              <w:jc w:val="center"/>
              <w:rPr>
                <w:rFonts w:cstheme="minorHAnsi"/>
                <w:sz w:val="18"/>
                <w:szCs w:val="18"/>
              </w:rPr>
            </w:pPr>
            <w:r>
              <w:rPr>
                <w:rFonts w:cstheme="minorHAnsi"/>
                <w:sz w:val="18"/>
                <w:szCs w:val="18"/>
              </w:rPr>
              <w:t>choose</w:t>
            </w:r>
          </w:p>
        </w:tc>
        <w:tc>
          <w:tcPr>
            <w:tcW w:w="513" w:type="pct"/>
            <w:vAlign w:val="center"/>
          </w:tcPr>
          <w:p w14:paraId="592D3623">
            <w:pPr>
              <w:spacing w:after="240"/>
              <w:jc w:val="center"/>
              <w:rPr>
                <w:rFonts w:cstheme="minorHAnsi"/>
                <w:sz w:val="18"/>
                <w:szCs w:val="18"/>
              </w:rPr>
            </w:pPr>
          </w:p>
        </w:tc>
        <w:tc>
          <w:tcPr>
            <w:tcW w:w="468" w:type="pct"/>
            <w:vAlign w:val="center"/>
          </w:tcPr>
          <w:p w14:paraId="3682C0E5">
            <w:pPr>
              <w:spacing w:after="240"/>
              <w:jc w:val="center"/>
              <w:rPr>
                <w:rFonts w:cstheme="minorHAnsi"/>
                <w:sz w:val="18"/>
                <w:szCs w:val="18"/>
              </w:rPr>
            </w:pPr>
            <w:r>
              <w:rPr>
                <w:rFonts w:cstheme="minorHAnsi"/>
                <w:sz w:val="18"/>
                <w:szCs w:val="18"/>
              </w:rPr>
              <w:t>Fun12</w:t>
            </w:r>
          </w:p>
          <w:p w14:paraId="512EE569">
            <w:pPr>
              <w:spacing w:after="240"/>
              <w:jc w:val="center"/>
              <w:rPr>
                <w:rFonts w:cstheme="minorHAnsi"/>
                <w:sz w:val="18"/>
                <w:szCs w:val="18"/>
              </w:rPr>
            </w:pPr>
            <w:r>
              <w:rPr>
                <w:rFonts w:cstheme="minorHAnsi"/>
                <w:sz w:val="18"/>
                <w:szCs w:val="18"/>
              </w:rPr>
              <w:t>UNIT</w:t>
            </w:r>
          </w:p>
        </w:tc>
        <w:tc>
          <w:tcPr>
            <w:tcW w:w="2017" w:type="pct"/>
            <w:vAlign w:val="center"/>
          </w:tcPr>
          <w:p w14:paraId="0F23CD48">
            <w:pPr>
              <w:spacing w:after="240"/>
              <w:jc w:val="center"/>
              <w:rPr>
                <w:rFonts w:cstheme="minorHAnsi"/>
                <w:sz w:val="18"/>
                <w:szCs w:val="18"/>
              </w:rPr>
            </w:pPr>
            <w:r>
              <w:rPr>
                <w:rFonts w:cstheme="minorHAnsi"/>
                <w:sz w:val="18"/>
                <w:szCs w:val="18"/>
              </w:rPr>
              <w:t>Unit of physical quantity</w:t>
            </w:r>
          </w:p>
        </w:tc>
      </w:tr>
    </w:tbl>
    <w:p w14:paraId="33F2938D">
      <w:pPr>
        <w:pStyle w:val="40"/>
        <w:spacing w:before="120" w:beforeLines="50" w:after="240" w:line="240" w:lineRule="auto"/>
        <w:ind w:left="0"/>
        <w:rPr>
          <w:rFonts w:cstheme="minorHAnsi"/>
          <w:sz w:val="21"/>
          <w:szCs w:val="21"/>
        </w:rPr>
      </w:pPr>
      <w:r>
        <w:rPr>
          <w:rFonts w:cstheme="minorHAnsi"/>
          <w:sz w:val="21"/>
          <w:szCs w:val="21"/>
        </w:rPr>
        <w:t>After entering the field adjustment, long press the mode key [M] to switch between the above adjustment functions, as shown in Figure 4.2</w:t>
      </w:r>
    </w:p>
    <w:p w14:paraId="7C134FA0">
      <w:pPr>
        <w:keepNext/>
        <w:spacing w:after="240"/>
        <w:jc w:val="center"/>
        <w:rPr>
          <w:rFonts w:cstheme="minorHAnsi"/>
        </w:rPr>
      </w:pPr>
      <w:r>
        <w:rPr>
          <w:rFonts w:cstheme="minorHAnsi"/>
        </w:rPr>
        <w:drawing>
          <wp:inline distT="0" distB="0" distL="114300" distR="114300">
            <wp:extent cx="6134100" cy="2184400"/>
            <wp:effectExtent l="0" t="0" r="0" b="0"/>
            <wp:docPr id="58" name="图片 5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图片2"/>
                    <pic:cNvPicPr>
                      <a:picLocks noChangeAspect="1"/>
                    </pic:cNvPicPr>
                  </pic:nvPicPr>
                  <pic:blipFill>
                    <a:blip r:embed="rId45"/>
                    <a:stretch>
                      <a:fillRect/>
                    </a:stretch>
                  </pic:blipFill>
                  <pic:spPr>
                    <a:xfrm>
                      <a:off x="0" y="0"/>
                      <a:ext cx="6134100" cy="2184400"/>
                    </a:xfrm>
                    <a:prstGeom prst="rect">
                      <a:avLst/>
                    </a:prstGeom>
                  </pic:spPr>
                </pic:pic>
              </a:graphicData>
            </a:graphic>
          </wp:inline>
        </w:drawing>
      </w:r>
    </w:p>
    <w:p w14:paraId="0BE2B14D">
      <w:pPr>
        <w:pStyle w:val="12"/>
        <w:spacing w:before="120" w:after="120"/>
        <w:rPr>
          <w:rFonts w:asciiTheme="minorHAnsi" w:hAnsiTheme="minorHAnsi" w:cstheme="minorHAnsi"/>
        </w:rPr>
      </w:pPr>
      <w:r>
        <w:rPr>
          <w:rFonts w:asciiTheme="minorHAnsi" w:hAnsiTheme="minorHAnsi" w:cstheme="minorHAnsi"/>
        </w:rPr>
        <w:t>Figure</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.2 Adjustment function switch diagram</w:t>
      </w:r>
    </w:p>
    <w:p w14:paraId="12B89A56">
      <w:pPr>
        <w:pStyle w:val="40"/>
        <w:spacing w:after="240" w:line="240" w:lineRule="auto"/>
        <w:ind w:left="0"/>
        <w:rPr>
          <w:rFonts w:cstheme="minorHAnsi"/>
          <w:sz w:val="21"/>
          <w:szCs w:val="21"/>
        </w:rPr>
      </w:pPr>
      <w:r>
        <w:rPr>
          <w:rFonts w:cstheme="minorHAnsi"/>
          <w:sz w:val="21"/>
          <w:szCs w:val="21"/>
        </w:rPr>
        <w:t>In the mode switching state, the digital display area displays the function code, for example: "Fun03". The text display area displays the function description as shown in the figure above, for example: "LOWER".</w:t>
      </w:r>
    </w:p>
    <w:p w14:paraId="4F059408">
      <w:pPr>
        <w:pStyle w:val="40"/>
        <w:spacing w:after="240" w:line="240" w:lineRule="auto"/>
        <w:ind w:left="0"/>
        <w:rPr>
          <w:rFonts w:cstheme="minorHAnsi"/>
          <w:sz w:val="21"/>
          <w:szCs w:val="21"/>
        </w:rPr>
      </w:pPr>
      <w:r>
        <w:rPr>
          <w:rFonts w:cstheme="minorHAnsi"/>
          <w:sz w:val="21"/>
          <w:szCs w:val="21"/>
        </w:rPr>
        <w:t>Among them, modes 10, 11, and 12 do not need to be confirmed, and they are saved immediately after adjustment.</w:t>
      </w:r>
    </w:p>
    <w:p w14:paraId="240CD8FD">
      <w:pPr>
        <w:pStyle w:val="4"/>
        <w:spacing w:before="120" w:beforeLines="50" w:after="120" w:afterLines="50"/>
        <w:rPr>
          <w:rFonts w:asciiTheme="minorHAnsi" w:hAnsiTheme="minorHAnsi" w:cstheme="minorHAnsi"/>
        </w:rPr>
      </w:pPr>
      <w:bookmarkStart w:id="43" w:name="_Toc199429752"/>
      <w:r>
        <w:rPr>
          <w:rFonts w:asciiTheme="minorHAnsi" w:hAnsiTheme="minorHAnsi" w:cstheme="minorHAnsi"/>
        </w:rPr>
        <w:t>Measured value display</w:t>
      </w:r>
      <w:bookmarkEnd w:id="43"/>
    </w:p>
    <w:p w14:paraId="1BED32D6">
      <w:pPr>
        <w:pStyle w:val="40"/>
        <w:spacing w:after="240" w:line="240" w:lineRule="auto"/>
        <w:ind w:left="0"/>
        <w:rPr>
          <w:rFonts w:cstheme="minorHAnsi"/>
          <w:sz w:val="21"/>
          <w:szCs w:val="21"/>
        </w:rPr>
      </w:pPr>
      <w:r>
        <w:rPr>
          <w:rFonts w:cstheme="minorHAnsi"/>
          <w:sz w:val="21"/>
          <w:szCs w:val="21"/>
        </w:rPr>
        <w:t>In the measured value display function, information on the configuration of the DSP display block is displayed.</w:t>
      </w:r>
    </w:p>
    <w:p w14:paraId="75C3F5CF">
      <w:pPr>
        <w:pStyle w:val="4"/>
        <w:spacing w:before="120" w:beforeLines="50" w:after="120" w:afterLines="50"/>
        <w:rPr>
          <w:rFonts w:asciiTheme="minorHAnsi" w:hAnsiTheme="minorHAnsi" w:cstheme="minorHAnsi"/>
        </w:rPr>
      </w:pPr>
      <w:bookmarkStart w:id="44" w:name="_Toc199429753"/>
      <w:r>
        <w:rPr>
          <w:rFonts w:asciiTheme="minorHAnsi" w:hAnsiTheme="minorHAnsi" w:cstheme="minorHAnsi"/>
        </w:rPr>
        <w:t>Error display</w:t>
      </w:r>
      <w:bookmarkEnd w:id="44"/>
    </w:p>
    <w:p w14:paraId="79B9FDA2">
      <w:pPr>
        <w:pStyle w:val="40"/>
        <w:spacing w:after="240" w:line="240" w:lineRule="auto"/>
        <w:ind w:left="0"/>
        <w:rPr>
          <w:rFonts w:cstheme="minorHAnsi"/>
          <w:sz w:val="21"/>
          <w:szCs w:val="21"/>
        </w:rPr>
      </w:pPr>
      <w:r>
        <w:rPr>
          <w:rFonts w:cstheme="minorHAnsi"/>
          <w:sz w:val="21"/>
          <w:szCs w:val="21"/>
        </w:rPr>
        <w:t>Error messages may appear during local operation</w:t>
      </w:r>
    </w:p>
    <w:tbl>
      <w:tblPr>
        <w:tblStyle w:val="3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7"/>
        <w:gridCol w:w="4165"/>
      </w:tblGrid>
      <w:tr w14:paraId="0163DF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blHeader/>
          <w:jc w:val="center"/>
        </w:trPr>
        <w:tc>
          <w:tcPr>
            <w:tcW w:w="1897" w:type="dxa"/>
            <w:tcBorders>
              <w:top w:val="single" w:color="auto" w:sz="4" w:space="0"/>
              <w:left w:val="single" w:color="auto" w:sz="4" w:space="0"/>
              <w:bottom w:val="single" w:color="auto" w:sz="4" w:space="0"/>
              <w:right w:val="single" w:color="auto" w:sz="4" w:space="0"/>
            </w:tcBorders>
            <w:shd w:val="clear" w:color="auto" w:fill="CCCCCC"/>
            <w:vAlign w:val="center"/>
          </w:tcPr>
          <w:p w14:paraId="6F441E5E">
            <w:pPr>
              <w:spacing w:after="240"/>
              <w:jc w:val="center"/>
              <w:rPr>
                <w:rFonts w:cstheme="minorHAnsi"/>
                <w:sz w:val="18"/>
                <w:szCs w:val="18"/>
              </w:rPr>
            </w:pPr>
            <w:r>
              <w:rPr>
                <w:rFonts w:cstheme="minorHAnsi"/>
                <w:sz w:val="18"/>
                <w:szCs w:val="18"/>
              </w:rPr>
              <w:t>Display</w:t>
            </w:r>
          </w:p>
        </w:tc>
        <w:tc>
          <w:tcPr>
            <w:tcW w:w="4165" w:type="dxa"/>
            <w:tcBorders>
              <w:top w:val="single" w:color="auto" w:sz="4" w:space="0"/>
              <w:left w:val="single" w:color="auto" w:sz="4" w:space="0"/>
              <w:bottom w:val="single" w:color="auto" w:sz="4" w:space="0"/>
              <w:right w:val="single" w:color="auto" w:sz="4" w:space="0"/>
            </w:tcBorders>
            <w:shd w:val="clear" w:color="auto" w:fill="CCCCCC"/>
            <w:vAlign w:val="center"/>
          </w:tcPr>
          <w:p w14:paraId="234DF95B">
            <w:pPr>
              <w:spacing w:after="240"/>
              <w:jc w:val="center"/>
              <w:rPr>
                <w:rFonts w:cstheme="minorHAnsi"/>
                <w:sz w:val="18"/>
                <w:szCs w:val="18"/>
              </w:rPr>
            </w:pPr>
            <w:r>
              <w:rPr>
                <w:rFonts w:cstheme="minorHAnsi"/>
                <w:sz w:val="18"/>
                <w:szCs w:val="18"/>
              </w:rPr>
              <w:t>Explain</w:t>
            </w:r>
          </w:p>
        </w:tc>
      </w:tr>
      <w:tr w14:paraId="75F23F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897" w:type="dxa"/>
            <w:tcBorders>
              <w:top w:val="single" w:color="auto" w:sz="4" w:space="0"/>
              <w:left w:val="single" w:color="auto" w:sz="4" w:space="0"/>
              <w:bottom w:val="single" w:color="auto" w:sz="4" w:space="0"/>
            </w:tcBorders>
            <w:vAlign w:val="center"/>
          </w:tcPr>
          <w:p w14:paraId="6F8675C8">
            <w:pPr>
              <w:spacing w:after="240"/>
              <w:jc w:val="center"/>
              <w:rPr>
                <w:rFonts w:cstheme="minorHAnsi"/>
                <w:sz w:val="18"/>
                <w:szCs w:val="18"/>
              </w:rPr>
            </w:pPr>
            <w:r>
              <w:rPr>
                <w:rFonts w:cstheme="minorHAnsi"/>
                <w:sz w:val="18"/>
                <w:szCs w:val="18"/>
              </w:rPr>
              <w:t>NumEr</w:t>
            </w:r>
          </w:p>
        </w:tc>
        <w:tc>
          <w:tcPr>
            <w:tcW w:w="4165" w:type="dxa"/>
            <w:tcBorders>
              <w:top w:val="single" w:color="auto" w:sz="4" w:space="0"/>
              <w:left w:val="single" w:color="auto" w:sz="4" w:space="0"/>
              <w:bottom w:val="single" w:color="auto" w:sz="4" w:space="0"/>
              <w:right w:val="single" w:color="auto" w:sz="4" w:space="0"/>
            </w:tcBorders>
            <w:vAlign w:val="center"/>
          </w:tcPr>
          <w:p w14:paraId="14615B24">
            <w:pPr>
              <w:spacing w:after="240"/>
              <w:jc w:val="center"/>
              <w:rPr>
                <w:rFonts w:cstheme="minorHAnsi"/>
                <w:sz w:val="18"/>
                <w:szCs w:val="18"/>
              </w:rPr>
            </w:pPr>
            <w:r>
              <w:rPr>
                <w:rFonts w:cstheme="minorHAnsi"/>
                <w:sz w:val="18"/>
                <w:szCs w:val="18"/>
              </w:rPr>
              <w:t>Numerical exception</w:t>
            </w:r>
          </w:p>
        </w:tc>
      </w:tr>
      <w:tr w14:paraId="2711B1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897" w:type="dxa"/>
            <w:tcBorders>
              <w:top w:val="single" w:color="auto" w:sz="4" w:space="0"/>
              <w:left w:val="single" w:color="auto" w:sz="4" w:space="0"/>
              <w:bottom w:val="single" w:color="auto" w:sz="4" w:space="0"/>
            </w:tcBorders>
            <w:vAlign w:val="center"/>
          </w:tcPr>
          <w:p w14:paraId="69709B63">
            <w:pPr>
              <w:spacing w:after="240"/>
              <w:jc w:val="center"/>
              <w:rPr>
                <w:rFonts w:cstheme="minorHAnsi"/>
                <w:sz w:val="18"/>
                <w:szCs w:val="18"/>
              </w:rPr>
            </w:pPr>
            <w:r>
              <w:rPr>
                <w:rFonts w:cstheme="minorHAnsi"/>
                <w:sz w:val="18"/>
                <w:szCs w:val="18"/>
              </w:rPr>
              <w:t>FNErr</w:t>
            </w:r>
          </w:p>
        </w:tc>
        <w:tc>
          <w:tcPr>
            <w:tcW w:w="4165" w:type="dxa"/>
            <w:tcBorders>
              <w:top w:val="single" w:color="auto" w:sz="4" w:space="0"/>
              <w:left w:val="single" w:color="auto" w:sz="4" w:space="0"/>
              <w:bottom w:val="single" w:color="auto" w:sz="4" w:space="0"/>
              <w:right w:val="single" w:color="auto" w:sz="4" w:space="0"/>
            </w:tcBorders>
            <w:vAlign w:val="center"/>
          </w:tcPr>
          <w:p w14:paraId="200626F8">
            <w:pPr>
              <w:spacing w:after="240"/>
              <w:jc w:val="center"/>
              <w:rPr>
                <w:rFonts w:cstheme="minorHAnsi"/>
                <w:sz w:val="18"/>
                <w:szCs w:val="18"/>
              </w:rPr>
            </w:pPr>
            <w:r>
              <w:rPr>
                <w:rFonts w:cstheme="minorHAnsi"/>
                <w:sz w:val="18"/>
                <w:szCs w:val="18"/>
              </w:rPr>
              <w:t>Wrong mode number</w:t>
            </w:r>
          </w:p>
        </w:tc>
      </w:tr>
      <w:tr w14:paraId="204124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897" w:type="dxa"/>
            <w:tcBorders>
              <w:top w:val="single" w:color="auto" w:sz="4" w:space="0"/>
              <w:left w:val="single" w:color="auto" w:sz="4" w:space="0"/>
              <w:bottom w:val="single" w:color="auto" w:sz="4" w:space="0"/>
            </w:tcBorders>
            <w:vAlign w:val="center"/>
          </w:tcPr>
          <w:p w14:paraId="6CC76802">
            <w:pPr>
              <w:spacing w:after="240"/>
              <w:jc w:val="center"/>
              <w:rPr>
                <w:rFonts w:cstheme="minorHAnsi"/>
                <w:sz w:val="18"/>
                <w:szCs w:val="18"/>
              </w:rPr>
            </w:pPr>
            <w:r>
              <w:rPr>
                <w:rFonts w:cstheme="minorHAnsi"/>
                <w:sz w:val="18"/>
                <w:szCs w:val="18"/>
              </w:rPr>
              <w:t>Lock</w:t>
            </w:r>
          </w:p>
        </w:tc>
        <w:tc>
          <w:tcPr>
            <w:tcW w:w="4165" w:type="dxa"/>
            <w:tcBorders>
              <w:top w:val="single" w:color="auto" w:sz="4" w:space="0"/>
              <w:left w:val="single" w:color="auto" w:sz="4" w:space="0"/>
              <w:bottom w:val="single" w:color="auto" w:sz="4" w:space="0"/>
              <w:right w:val="single" w:color="auto" w:sz="4" w:space="0"/>
            </w:tcBorders>
            <w:vAlign w:val="center"/>
          </w:tcPr>
          <w:p w14:paraId="38EE124F">
            <w:pPr>
              <w:spacing w:after="240"/>
              <w:jc w:val="center"/>
              <w:rPr>
                <w:rFonts w:cstheme="minorHAnsi"/>
                <w:sz w:val="18"/>
                <w:szCs w:val="18"/>
              </w:rPr>
            </w:pPr>
            <w:r>
              <w:rPr>
                <w:rFonts w:cstheme="minorHAnsi"/>
                <w:sz w:val="18"/>
                <w:szCs w:val="18"/>
              </w:rPr>
              <w:t>Jumper set to configure protection</w:t>
            </w:r>
          </w:p>
        </w:tc>
      </w:tr>
    </w:tbl>
    <w:p w14:paraId="7E283790">
      <w:pPr>
        <w:pStyle w:val="4"/>
        <w:spacing w:before="120" w:beforeLines="50" w:after="120" w:afterLines="50"/>
        <w:rPr>
          <w:rFonts w:asciiTheme="minorHAnsi" w:hAnsiTheme="minorHAnsi" w:cstheme="minorHAnsi"/>
        </w:rPr>
      </w:pPr>
      <w:bookmarkStart w:id="45" w:name="_Toc199429754"/>
      <w:r>
        <w:rPr>
          <w:rFonts w:asciiTheme="minorHAnsi" w:hAnsiTheme="minorHAnsi" w:cstheme="minorHAnsi"/>
        </w:rPr>
        <w:t>Operation steps for setting the lower limit of the range - Mode 03</w:t>
      </w:r>
      <w:bookmarkEnd w:id="45"/>
    </w:p>
    <w:p w14:paraId="67E89D26">
      <w:pPr>
        <w:pStyle w:val="40"/>
        <w:spacing w:after="240" w:line="240" w:lineRule="auto"/>
        <w:ind w:left="0"/>
        <w:rPr>
          <w:rFonts w:cstheme="minorHAnsi"/>
          <w:sz w:val="21"/>
          <w:szCs w:val="21"/>
        </w:rPr>
      </w:pPr>
      <w:r>
        <w:rPr>
          <w:rFonts w:cstheme="minorHAnsi"/>
          <w:sz w:val="21"/>
          <w:szCs w:val="21"/>
        </w:rPr>
        <w:t>Set the lower limit of the primary variable range with the current pressure value. Confirm that the lower limit value of the range applied to the intelligent transmitter is stable.</w:t>
      </w:r>
    </w:p>
    <w:p w14:paraId="61E1B529">
      <w:pPr>
        <w:pStyle w:val="40"/>
        <w:spacing w:after="240" w:line="240" w:lineRule="auto"/>
        <w:ind w:left="0"/>
        <w:rPr>
          <w:rFonts w:cstheme="minorHAnsi"/>
          <w:sz w:val="21"/>
          <w:szCs w:val="21"/>
        </w:rPr>
      </w:pPr>
      <w:r>
        <w:rPr>
          <w:rFonts w:cstheme="minorHAnsi"/>
          <w:sz w:val="21"/>
          <w:szCs w:val="21"/>
        </w:rPr>
        <w:t>You can set the lower limit of the primary variable range as follows:</w:t>
      </w:r>
    </w:p>
    <w:p w14:paraId="2AEFD77D">
      <w:pPr>
        <w:pStyle w:val="40"/>
        <w:spacing w:after="240" w:line="240" w:lineRule="auto"/>
        <w:ind w:left="0"/>
        <w:rPr>
          <w:rFonts w:cstheme="minorHAnsi"/>
          <w:sz w:val="21"/>
          <w:szCs w:val="21"/>
        </w:rPr>
      </w:pPr>
      <w:r>
        <w:rPr>
          <w:rFonts w:cstheme="minorHAnsi"/>
          <w:sz w:val="21"/>
          <w:szCs w:val="21"/>
        </w:rPr>
        <w:t>− Select mode 03, the LCD will display the current value and unit of the main variable, and the down arrow will be displayed in the special symbol area, indicating that the lower limit of the range is currently being set;</w:t>
      </w:r>
    </w:p>
    <w:p w14:paraId="4E2A97F9">
      <w:pPr>
        <w:pStyle w:val="40"/>
        <w:spacing w:after="240" w:line="240" w:lineRule="auto"/>
        <w:ind w:left="0"/>
        <w:rPr>
          <w:rFonts w:cstheme="minorHAnsi"/>
          <w:sz w:val="21"/>
          <w:szCs w:val="21"/>
        </w:rPr>
      </w:pPr>
      <w:r>
        <w:rPr>
          <w:rFonts w:cstheme="minorHAnsi"/>
          <w:sz w:val="21"/>
          <w:szCs w:val="21"/>
        </w:rPr>
        <w:t>− Press the [Enter] key to set, if the setting is successful, it will display “OK”, if it is unsuccessful, it will display “Err”;</w:t>
      </w:r>
    </w:p>
    <w:p w14:paraId="531502D3">
      <w:pPr>
        <w:pStyle w:val="40"/>
        <w:spacing w:after="240" w:line="240" w:lineRule="auto"/>
        <w:ind w:left="0"/>
        <w:rPr>
          <w:rFonts w:cstheme="minorHAnsi"/>
          <w:sz w:val="21"/>
          <w:szCs w:val="21"/>
        </w:rPr>
      </w:pPr>
      <w:r>
        <w:rPr>
          <w:rFonts w:cstheme="minorHAnsi"/>
          <w:sz w:val="21"/>
          <w:szCs w:val="21"/>
        </w:rPr>
        <w:t>− Use [M] for mode switching</w:t>
      </w:r>
    </w:p>
    <w:p w14:paraId="681A2A8C">
      <w:pPr>
        <w:pStyle w:val="4"/>
        <w:spacing w:before="120" w:beforeLines="50" w:after="120" w:afterLines="50"/>
        <w:rPr>
          <w:rFonts w:asciiTheme="minorHAnsi" w:hAnsiTheme="minorHAnsi" w:cstheme="minorHAnsi"/>
        </w:rPr>
      </w:pPr>
      <w:bookmarkStart w:id="46" w:name="_Toc199429755"/>
      <w:r>
        <w:rPr>
          <w:rFonts w:asciiTheme="minorHAnsi" w:hAnsiTheme="minorHAnsi" w:cstheme="minorHAnsi"/>
        </w:rPr>
        <w:t>Operation steps for setting the upper limit of the range - Mode 04</w:t>
      </w:r>
      <w:bookmarkEnd w:id="46"/>
    </w:p>
    <w:p w14:paraId="4EDF2B27">
      <w:pPr>
        <w:pStyle w:val="40"/>
        <w:spacing w:after="240" w:line="240" w:lineRule="auto"/>
        <w:ind w:left="0"/>
        <w:rPr>
          <w:rFonts w:cstheme="minorHAnsi"/>
          <w:sz w:val="21"/>
          <w:szCs w:val="21"/>
        </w:rPr>
      </w:pPr>
      <w:r>
        <w:rPr>
          <w:rFonts w:cstheme="minorHAnsi"/>
          <w:sz w:val="21"/>
          <w:szCs w:val="21"/>
        </w:rPr>
        <w:t>Set the upper limit of the primary variable range with the current pressure value. Confirm that the upper range value applied to the intelligent transmitter is stable.</w:t>
      </w:r>
    </w:p>
    <w:p w14:paraId="62875F64">
      <w:pPr>
        <w:pStyle w:val="40"/>
        <w:spacing w:after="240" w:line="240" w:lineRule="auto"/>
        <w:ind w:left="0"/>
        <w:rPr>
          <w:rFonts w:cstheme="minorHAnsi"/>
          <w:sz w:val="21"/>
          <w:szCs w:val="21"/>
        </w:rPr>
      </w:pPr>
      <w:r>
        <w:rPr>
          <w:rFonts w:cstheme="minorHAnsi"/>
          <w:sz w:val="21"/>
          <w:szCs w:val="21"/>
        </w:rPr>
        <w:t>You can set the upper limit of the primary variable range as follows:</w:t>
      </w:r>
    </w:p>
    <w:p w14:paraId="7E637290">
      <w:pPr>
        <w:pStyle w:val="40"/>
        <w:spacing w:after="240" w:line="240" w:lineRule="auto"/>
        <w:ind w:left="0"/>
        <w:rPr>
          <w:rFonts w:cstheme="minorHAnsi"/>
          <w:sz w:val="21"/>
          <w:szCs w:val="21"/>
        </w:rPr>
      </w:pPr>
      <w:r>
        <w:rPr>
          <w:rFonts w:cstheme="minorHAnsi"/>
          <w:sz w:val="21"/>
          <w:szCs w:val="21"/>
        </w:rPr>
        <w:t>− Select mode 04, the LCD will display the current value and unit of the main variable, and the special symbol area will display the up arrow, indicating that the upper limit of the range is currently being set;</w:t>
      </w:r>
    </w:p>
    <w:p w14:paraId="482F0C74">
      <w:pPr>
        <w:pStyle w:val="40"/>
        <w:spacing w:after="240" w:line="240" w:lineRule="auto"/>
        <w:ind w:left="0"/>
        <w:rPr>
          <w:rFonts w:cstheme="minorHAnsi"/>
          <w:sz w:val="21"/>
          <w:szCs w:val="21"/>
        </w:rPr>
      </w:pPr>
      <w:r>
        <w:rPr>
          <w:rFonts w:cstheme="minorHAnsi"/>
          <w:sz w:val="21"/>
          <w:szCs w:val="21"/>
        </w:rPr>
        <w:t>− Press [Enter] key to set, if the setting is successful, it will display “OK”, if it is unsuccessful, it will display “Err”;</w:t>
      </w:r>
    </w:p>
    <w:p w14:paraId="4FFD87A5">
      <w:pPr>
        <w:pStyle w:val="40"/>
        <w:spacing w:after="240" w:line="240" w:lineRule="auto"/>
        <w:ind w:left="0"/>
        <w:rPr>
          <w:rFonts w:cstheme="minorHAnsi"/>
          <w:sz w:val="21"/>
          <w:szCs w:val="21"/>
        </w:rPr>
      </w:pPr>
      <w:r>
        <w:rPr>
          <w:rFonts w:cstheme="minorHAnsi"/>
          <w:sz w:val="21"/>
          <w:szCs w:val="21"/>
        </w:rPr>
        <w:t>− Use [M] for mode switching.</w:t>
      </w:r>
    </w:p>
    <w:p w14:paraId="4C49A60C">
      <w:pPr>
        <w:pStyle w:val="4"/>
        <w:spacing w:before="120" w:beforeLines="50" w:after="120" w:afterLines="50"/>
        <w:rPr>
          <w:rFonts w:asciiTheme="minorHAnsi" w:hAnsiTheme="minorHAnsi" w:cstheme="minorHAnsi"/>
        </w:rPr>
      </w:pPr>
      <w:bookmarkStart w:id="47" w:name="_Toc199429756"/>
      <w:r>
        <w:rPr>
          <w:rFonts w:asciiTheme="minorHAnsi" w:hAnsiTheme="minorHAnsi" w:cstheme="minorHAnsi"/>
        </w:rPr>
        <w:t>Steps to Set Electronic Damping - Mode 05</w:t>
      </w:r>
      <w:bookmarkEnd w:id="47"/>
    </w:p>
    <w:p w14:paraId="407403C9">
      <w:pPr>
        <w:pStyle w:val="40"/>
        <w:spacing w:after="240" w:line="240" w:lineRule="auto"/>
        <w:ind w:left="0"/>
        <w:rPr>
          <w:rFonts w:cstheme="minorHAnsi"/>
          <w:sz w:val="21"/>
          <w:szCs w:val="21"/>
        </w:rPr>
      </w:pPr>
      <w:r>
        <w:rPr>
          <w:rFonts w:cstheme="minorHAnsi"/>
          <w:sz w:val="21"/>
          <w:szCs w:val="21"/>
        </w:rPr>
        <w:t>Sets the time constant for electronic damping in the range 0 to 32 seconds.</w:t>
      </w:r>
    </w:p>
    <w:p w14:paraId="3DC1FF4D">
      <w:pPr>
        <w:pStyle w:val="40"/>
        <w:spacing w:after="240" w:line="240" w:lineRule="auto"/>
        <w:ind w:left="0"/>
        <w:rPr>
          <w:rFonts w:cstheme="minorHAnsi"/>
          <w:sz w:val="21"/>
          <w:szCs w:val="21"/>
        </w:rPr>
      </w:pPr>
      <w:r>
        <w:rPr>
          <w:rFonts w:cstheme="minorHAnsi"/>
          <w:sz w:val="21"/>
          <w:szCs w:val="21"/>
        </w:rPr>
        <w:t>Set up this electronic damping as follows:</w:t>
      </w:r>
    </w:p>
    <w:p w14:paraId="566BF92C">
      <w:pPr>
        <w:pStyle w:val="40"/>
        <w:spacing w:after="240" w:line="240" w:lineRule="auto"/>
        <w:ind w:left="0"/>
        <w:rPr>
          <w:rFonts w:cstheme="minorHAnsi"/>
          <w:sz w:val="21"/>
          <w:szCs w:val="21"/>
        </w:rPr>
      </w:pPr>
      <w:r>
        <w:rPr>
          <w:rFonts w:cstheme="minorHAnsi"/>
          <w:sz w:val="21"/>
          <w:szCs w:val="21"/>
        </w:rPr>
        <w:t>− Set mode 05;</w:t>
      </w:r>
    </w:p>
    <w:p w14:paraId="074302C7">
      <w:pPr>
        <w:pStyle w:val="40"/>
        <w:spacing w:after="240" w:line="240" w:lineRule="auto"/>
        <w:ind w:left="0"/>
        <w:rPr>
          <w:rFonts w:cstheme="minorHAnsi"/>
          <w:sz w:val="21"/>
          <w:szCs w:val="21"/>
        </w:rPr>
      </w:pPr>
      <w:r>
        <w:rPr>
          <w:rFonts w:cstheme="minorHAnsi"/>
          <w:sz w:val="21"/>
          <w:szCs w:val="21"/>
        </w:rPr>
        <w:t>− Use [↑] or [↓] to select damping;</w:t>
      </w:r>
    </w:p>
    <w:p w14:paraId="30CE2E16">
      <w:pPr>
        <w:pStyle w:val="40"/>
        <w:spacing w:after="240" w:line="240" w:lineRule="auto"/>
        <w:ind w:left="0"/>
        <w:rPr>
          <w:rFonts w:cstheme="minorHAnsi"/>
          <w:sz w:val="21"/>
          <w:szCs w:val="21"/>
        </w:rPr>
      </w:pPr>
      <w:r>
        <w:rPr>
          <w:rFonts w:cstheme="minorHAnsi"/>
          <w:sz w:val="21"/>
          <w:szCs w:val="21"/>
        </w:rPr>
        <w:t>− Use [M] for mode switching.</w:t>
      </w:r>
    </w:p>
    <w:p w14:paraId="70CAD8C2">
      <w:pPr>
        <w:pStyle w:val="40"/>
        <w:spacing w:after="240" w:line="240" w:lineRule="auto"/>
        <w:ind w:left="0"/>
        <w:rPr>
          <w:rFonts w:cstheme="minorHAnsi"/>
          <w:sz w:val="21"/>
          <w:szCs w:val="21"/>
        </w:rPr>
      </w:pPr>
      <w:r>
        <w:rPr>
          <w:rFonts w:cstheme="minorHAnsi"/>
          <w:sz w:val="21"/>
          <w:szCs w:val="21"/>
        </w:rPr>
        <w:t>Damping only affects the output of the analog input function block.</w:t>
      </w:r>
    </w:p>
    <w:p w14:paraId="30EA715B">
      <w:pPr>
        <w:pStyle w:val="4"/>
        <w:spacing w:before="120" w:beforeLines="50" w:after="120" w:afterLines="50"/>
        <w:rPr>
          <w:rFonts w:asciiTheme="minorHAnsi" w:hAnsiTheme="minorHAnsi" w:cstheme="minorHAnsi"/>
        </w:rPr>
      </w:pPr>
      <w:bookmarkStart w:id="48" w:name="_Toc199429757"/>
      <w:r>
        <w:rPr>
          <w:rFonts w:asciiTheme="minorHAnsi" w:hAnsiTheme="minorHAnsi" w:cstheme="minorHAnsi"/>
        </w:rPr>
        <w:t>Operation steps for passively setting the lower limit of the range - Mode 06</w:t>
      </w:r>
      <w:bookmarkEnd w:id="48"/>
    </w:p>
    <w:p w14:paraId="2D0B72AC">
      <w:pPr>
        <w:pStyle w:val="40"/>
        <w:spacing w:after="240" w:line="240" w:lineRule="auto"/>
        <w:ind w:left="0"/>
        <w:rPr>
          <w:rFonts w:cstheme="minorHAnsi"/>
          <w:sz w:val="21"/>
          <w:szCs w:val="21"/>
        </w:rPr>
      </w:pPr>
      <w:r>
        <w:rPr>
          <w:rFonts w:cstheme="minorHAnsi"/>
          <w:sz w:val="21"/>
          <w:szCs w:val="21"/>
        </w:rPr>
        <w:t>Passive range migration, set the lower limit of the main variable range.</w:t>
      </w:r>
    </w:p>
    <w:p w14:paraId="2B3AF652">
      <w:pPr>
        <w:pStyle w:val="40"/>
        <w:spacing w:after="240" w:line="240" w:lineRule="auto"/>
        <w:ind w:left="0"/>
        <w:rPr>
          <w:rFonts w:cstheme="minorHAnsi"/>
          <w:sz w:val="21"/>
          <w:szCs w:val="21"/>
        </w:rPr>
      </w:pPr>
      <w:r>
        <w:rPr>
          <w:rFonts w:cstheme="minorHAnsi"/>
          <w:sz w:val="21"/>
          <w:szCs w:val="21"/>
        </w:rPr>
        <w:t>You can set the lower limit of the primary variable range as follows:</w:t>
      </w:r>
    </w:p>
    <w:p w14:paraId="1008665C">
      <w:pPr>
        <w:pStyle w:val="40"/>
        <w:spacing w:after="240" w:line="240" w:lineRule="auto"/>
        <w:ind w:left="0"/>
        <w:rPr>
          <w:rFonts w:cstheme="minorHAnsi"/>
          <w:sz w:val="21"/>
          <w:szCs w:val="21"/>
        </w:rPr>
      </w:pPr>
      <w:r>
        <w:rPr>
          <w:rFonts w:cstheme="minorHAnsi"/>
          <w:sz w:val="21"/>
          <w:szCs w:val="21"/>
        </w:rPr>
        <w:t>− Adjust the lower limit value of the main variable range by using [↑] and [↓];</w:t>
      </w:r>
    </w:p>
    <w:p w14:paraId="2D4B7E3C">
      <w:pPr>
        <w:pStyle w:val="40"/>
        <w:spacing w:after="240" w:line="240" w:lineRule="auto"/>
        <w:ind w:left="0"/>
        <w:rPr>
          <w:rFonts w:cstheme="minorHAnsi"/>
          <w:sz w:val="21"/>
          <w:szCs w:val="21"/>
        </w:rPr>
      </w:pPr>
      <w:r>
        <w:rPr>
          <w:rFonts w:cstheme="minorHAnsi"/>
          <w:sz w:val="21"/>
          <w:szCs w:val="21"/>
        </w:rPr>
        <w:t>− Press the [Enter] key to set, if the setting is successful, it will display “OK”, if it is unsuccessful, it will display “Err”;</w:t>
      </w:r>
    </w:p>
    <w:p w14:paraId="4436A115">
      <w:pPr>
        <w:pStyle w:val="40"/>
        <w:spacing w:after="240" w:line="240" w:lineRule="auto"/>
        <w:ind w:left="0"/>
        <w:rPr>
          <w:rFonts w:cstheme="minorHAnsi"/>
          <w:sz w:val="21"/>
          <w:szCs w:val="21"/>
        </w:rPr>
      </w:pPr>
      <w:r>
        <w:rPr>
          <w:rFonts w:cstheme="minorHAnsi"/>
          <w:sz w:val="21"/>
          <w:szCs w:val="21"/>
        </w:rPr>
        <w:t>− Use [M] for mode switching.</w:t>
      </w:r>
    </w:p>
    <w:p w14:paraId="7ECE81EF">
      <w:pPr>
        <w:pStyle w:val="4"/>
        <w:spacing w:before="120" w:beforeLines="50" w:after="120" w:afterLines="50"/>
        <w:rPr>
          <w:rFonts w:asciiTheme="minorHAnsi" w:hAnsiTheme="minorHAnsi" w:cstheme="minorHAnsi"/>
        </w:rPr>
      </w:pPr>
      <w:bookmarkStart w:id="49" w:name="_Toc199429758"/>
      <w:r>
        <w:rPr>
          <w:rFonts w:asciiTheme="minorHAnsi" w:hAnsiTheme="minorHAnsi" w:cstheme="minorHAnsi"/>
        </w:rPr>
        <w:t>Operation steps for passive setting of upper range limit - Mode 07</w:t>
      </w:r>
      <w:bookmarkEnd w:id="49"/>
    </w:p>
    <w:p w14:paraId="535BAFD3">
      <w:pPr>
        <w:pStyle w:val="40"/>
        <w:spacing w:after="240" w:line="240" w:lineRule="auto"/>
        <w:ind w:left="0"/>
        <w:rPr>
          <w:rFonts w:cstheme="minorHAnsi"/>
          <w:sz w:val="21"/>
          <w:szCs w:val="21"/>
        </w:rPr>
      </w:pPr>
      <w:r>
        <w:rPr>
          <w:rFonts w:cstheme="minorHAnsi"/>
          <w:sz w:val="21"/>
          <w:szCs w:val="21"/>
        </w:rPr>
        <w:t>Passive range migration, set the upper limit of the main variable range.</w:t>
      </w:r>
    </w:p>
    <w:p w14:paraId="7F75112F">
      <w:pPr>
        <w:pStyle w:val="40"/>
        <w:spacing w:after="240" w:line="240" w:lineRule="auto"/>
        <w:ind w:left="0"/>
        <w:rPr>
          <w:rFonts w:cstheme="minorHAnsi"/>
          <w:sz w:val="21"/>
          <w:szCs w:val="21"/>
        </w:rPr>
      </w:pPr>
      <w:r>
        <w:rPr>
          <w:rFonts w:cstheme="minorHAnsi"/>
          <w:sz w:val="21"/>
          <w:szCs w:val="21"/>
        </w:rPr>
        <w:t>You can set the upper limit of the primary variable range as follows:</w:t>
      </w:r>
    </w:p>
    <w:p w14:paraId="4921289E">
      <w:pPr>
        <w:pStyle w:val="40"/>
        <w:spacing w:after="240" w:line="240" w:lineRule="auto"/>
        <w:ind w:left="0"/>
        <w:rPr>
          <w:rFonts w:cstheme="minorHAnsi"/>
          <w:sz w:val="21"/>
          <w:szCs w:val="21"/>
        </w:rPr>
      </w:pPr>
      <w:r>
        <w:rPr>
          <w:rFonts w:cstheme="minorHAnsi"/>
          <w:sz w:val="21"/>
          <w:szCs w:val="21"/>
        </w:rPr>
        <w:t>− Adjust the lower limit value of the main variable range by using [↑] and [↓];</w:t>
      </w:r>
    </w:p>
    <w:p w14:paraId="182008A6">
      <w:pPr>
        <w:pStyle w:val="40"/>
        <w:spacing w:after="240" w:line="240" w:lineRule="auto"/>
        <w:ind w:left="0"/>
        <w:rPr>
          <w:rFonts w:cstheme="minorHAnsi"/>
          <w:sz w:val="21"/>
          <w:szCs w:val="21"/>
        </w:rPr>
      </w:pPr>
      <w:r>
        <w:rPr>
          <w:rFonts w:cstheme="minorHAnsi"/>
          <w:sz w:val="21"/>
          <w:szCs w:val="21"/>
        </w:rPr>
        <w:t>− Press [Enter] key to set, if the setting is successful, it will display “OK”, if it is unsuccessful, it will display “Err”;</w:t>
      </w:r>
    </w:p>
    <w:p w14:paraId="1FF87437">
      <w:pPr>
        <w:pStyle w:val="40"/>
        <w:spacing w:after="240" w:line="240" w:lineRule="auto"/>
        <w:ind w:left="0"/>
        <w:rPr>
          <w:rFonts w:cstheme="minorHAnsi"/>
          <w:sz w:val="21"/>
          <w:szCs w:val="21"/>
        </w:rPr>
      </w:pPr>
      <w:r>
        <w:rPr>
          <w:rFonts w:cstheme="minorHAnsi"/>
          <w:sz w:val="21"/>
          <w:szCs w:val="21"/>
        </w:rPr>
        <w:t>− Use [M] for mode switching</w:t>
      </w:r>
    </w:p>
    <w:p w14:paraId="198F2665">
      <w:pPr>
        <w:pStyle w:val="4"/>
        <w:spacing w:before="120" w:beforeLines="50" w:after="120" w:afterLines="50"/>
        <w:rPr>
          <w:rFonts w:asciiTheme="minorHAnsi" w:hAnsiTheme="minorHAnsi" w:cstheme="minorHAnsi"/>
        </w:rPr>
      </w:pPr>
      <w:bookmarkStart w:id="50" w:name="_Toc199429759"/>
      <w:r>
        <w:rPr>
          <w:rFonts w:asciiTheme="minorHAnsi" w:hAnsiTheme="minorHAnsi" w:cstheme="minorHAnsi"/>
        </w:rPr>
        <w:t>Set the main variable zero operation steps - Mode 08</w:t>
      </w:r>
      <w:bookmarkEnd w:id="50"/>
    </w:p>
    <w:p w14:paraId="23C09DF3">
      <w:pPr>
        <w:pStyle w:val="40"/>
        <w:spacing w:after="240" w:line="240" w:lineRule="auto"/>
        <w:ind w:left="0"/>
        <w:rPr>
          <w:rFonts w:cstheme="minorHAnsi"/>
          <w:sz w:val="21"/>
          <w:szCs w:val="21"/>
        </w:rPr>
      </w:pPr>
      <w:r>
        <w:rPr>
          <w:rFonts w:cstheme="minorHAnsi"/>
          <w:sz w:val="21"/>
          <w:szCs w:val="21"/>
        </w:rPr>
        <w:t>Set the primary variable zero point with the current pressure value. When the transmitter is installed and ready for operation, external influences such as the installation location, ambient temperature or allowable pressure associated with the installation (such as a water column in the pressure line leading to the transmitter) may cause the initial The zero point moves.</w:t>
      </w:r>
    </w:p>
    <w:p w14:paraId="2F784207">
      <w:pPr>
        <w:pStyle w:val="40"/>
        <w:spacing w:after="240" w:line="240" w:lineRule="auto"/>
        <w:ind w:left="0"/>
        <w:rPr>
          <w:rFonts w:cstheme="minorHAnsi"/>
          <w:sz w:val="21"/>
          <w:szCs w:val="21"/>
        </w:rPr>
      </w:pPr>
      <w:r>
        <w:rPr>
          <w:rFonts w:cstheme="minorHAnsi"/>
          <w:sz w:val="21"/>
          <w:szCs w:val="21"/>
        </w:rPr>
        <w:t>Zero calibration can be performed as follows:</w:t>
      </w:r>
    </w:p>
    <w:p w14:paraId="3389DCB6">
      <w:pPr>
        <w:pStyle w:val="40"/>
        <w:spacing w:after="240" w:line="240" w:lineRule="auto"/>
        <w:ind w:left="0"/>
        <w:rPr>
          <w:rFonts w:cstheme="minorHAnsi"/>
          <w:sz w:val="21"/>
          <w:szCs w:val="21"/>
        </w:rPr>
      </w:pPr>
      <w:r>
        <w:rPr>
          <w:rFonts w:cstheme="minorHAnsi"/>
          <w:sz w:val="21"/>
          <w:szCs w:val="21"/>
        </w:rPr>
        <w:t>− create a pressure scale;</w:t>
      </w:r>
    </w:p>
    <w:p w14:paraId="4AE5079C">
      <w:pPr>
        <w:pStyle w:val="40"/>
        <w:spacing w:after="240" w:line="240" w:lineRule="auto"/>
        <w:ind w:left="0"/>
        <w:rPr>
          <w:rFonts w:cstheme="minorHAnsi"/>
          <w:sz w:val="21"/>
          <w:szCs w:val="21"/>
        </w:rPr>
      </w:pPr>
      <w:r>
        <w:rPr>
          <w:rFonts w:cstheme="minorHAnsi"/>
          <w:sz w:val="21"/>
          <w:szCs w:val="21"/>
        </w:rPr>
        <w:t>− set mode 08;</w:t>
      </w:r>
    </w:p>
    <w:p w14:paraId="4F61CF2D">
      <w:pPr>
        <w:pStyle w:val="40"/>
        <w:spacing w:after="240" w:line="240" w:lineRule="auto"/>
        <w:ind w:left="0"/>
        <w:rPr>
          <w:rFonts w:cstheme="minorHAnsi"/>
          <w:sz w:val="21"/>
          <w:szCs w:val="21"/>
        </w:rPr>
      </w:pPr>
      <w:r>
        <w:rPr>
          <w:rFonts w:cstheme="minorHAnsi"/>
          <w:sz w:val="21"/>
          <w:szCs w:val="21"/>
        </w:rPr>
        <w:t>− Press [Enter] key to set, “OK” will be displayed if successful, and “Err” will be displayed if unsuccessful;</w:t>
      </w:r>
    </w:p>
    <w:p w14:paraId="7655D393">
      <w:pPr>
        <w:pStyle w:val="40"/>
        <w:spacing w:after="240" w:line="240" w:lineRule="auto"/>
        <w:ind w:left="0"/>
        <w:rPr>
          <w:rFonts w:cstheme="minorHAnsi"/>
          <w:sz w:val="21"/>
          <w:szCs w:val="21"/>
        </w:rPr>
      </w:pPr>
      <w:r>
        <w:rPr>
          <w:rFonts w:cstheme="minorHAnsi"/>
          <w:sz w:val="21"/>
          <w:szCs w:val="21"/>
        </w:rPr>
        <w:t>− After the setting is successful, use [M] to switch the mode;</w:t>
      </w:r>
    </w:p>
    <w:p w14:paraId="55A2B3A0">
      <w:pPr>
        <w:pStyle w:val="40"/>
        <w:spacing w:after="240" w:line="240" w:lineRule="auto"/>
        <w:ind w:left="0"/>
        <w:rPr>
          <w:rFonts w:cstheme="minorHAnsi"/>
          <w:sz w:val="21"/>
          <w:szCs w:val="21"/>
        </w:rPr>
      </w:pPr>
      <w:r>
        <w:rPr>
          <w:rFonts w:cstheme="minorHAnsi"/>
          <w:sz w:val="21"/>
          <w:szCs w:val="21"/>
        </w:rPr>
        <w:t>Switches back to the measured value display mode, the value 0 appears in the display area</w:t>
      </w:r>
    </w:p>
    <w:p w14:paraId="5DD1D977">
      <w:pPr>
        <w:pStyle w:val="4"/>
        <w:spacing w:before="120" w:beforeLines="50" w:after="120" w:afterLines="50"/>
        <w:rPr>
          <w:rFonts w:asciiTheme="minorHAnsi" w:hAnsiTheme="minorHAnsi" w:cstheme="minorHAnsi"/>
        </w:rPr>
      </w:pPr>
      <w:bookmarkStart w:id="51" w:name="_Toc199429760"/>
      <w:r>
        <w:rPr>
          <w:rFonts w:asciiTheme="minorHAnsi" w:hAnsiTheme="minorHAnsi" w:cstheme="minorHAnsi"/>
        </w:rPr>
        <w:t>Steps to Set Transfer Function - Mode 10</w:t>
      </w:r>
      <w:bookmarkEnd w:id="51"/>
    </w:p>
    <w:p w14:paraId="569089FD">
      <w:pPr>
        <w:pStyle w:val="40"/>
        <w:spacing w:after="240" w:line="240" w:lineRule="auto"/>
        <w:ind w:left="0"/>
        <w:rPr>
          <w:rFonts w:cstheme="minorHAnsi"/>
          <w:sz w:val="21"/>
          <w:szCs w:val="21"/>
        </w:rPr>
      </w:pPr>
      <w:r>
        <w:rPr>
          <w:rFonts w:cstheme="minorHAnsi"/>
          <w:sz w:val="21"/>
          <w:szCs w:val="21"/>
        </w:rPr>
        <w:t>Set the current output method (transfer function).</w:t>
      </w:r>
    </w:p>
    <w:p w14:paraId="020A8E00">
      <w:pPr>
        <w:pStyle w:val="40"/>
        <w:spacing w:after="240" w:line="240" w:lineRule="auto"/>
        <w:ind w:left="0"/>
        <w:rPr>
          <w:rFonts w:cstheme="minorHAnsi"/>
          <w:sz w:val="21"/>
          <w:szCs w:val="21"/>
        </w:rPr>
      </w:pPr>
      <w:r>
        <w:rPr>
          <w:rFonts w:cstheme="minorHAnsi"/>
          <w:sz w:val="21"/>
          <w:szCs w:val="21"/>
        </w:rPr>
        <w:t>You can set the transfer function as follows:</w:t>
      </w:r>
    </w:p>
    <w:p w14:paraId="69F6365E">
      <w:pPr>
        <w:pStyle w:val="40"/>
        <w:spacing w:after="240" w:line="240" w:lineRule="auto"/>
        <w:ind w:left="0"/>
        <w:rPr>
          <w:rFonts w:cstheme="minorHAnsi"/>
          <w:sz w:val="21"/>
          <w:szCs w:val="21"/>
        </w:rPr>
      </w:pPr>
      <w:r>
        <w:rPr>
          <w:rFonts w:cstheme="minorHAnsi"/>
          <w:sz w:val="21"/>
          <w:szCs w:val="21"/>
        </w:rPr>
        <w:t>− Select mode 10, the LCD will display the current transfer function type;</w:t>
      </w:r>
    </w:p>
    <w:p w14:paraId="25909FF9">
      <w:pPr>
        <w:pStyle w:val="40"/>
        <w:spacing w:after="240" w:line="240" w:lineRule="auto"/>
        <w:ind w:left="0"/>
        <w:rPr>
          <w:rFonts w:cstheme="minorHAnsi"/>
          <w:sz w:val="21"/>
          <w:szCs w:val="21"/>
        </w:rPr>
      </w:pPr>
      <w:r>
        <w:rPr>
          <w:rFonts w:cstheme="minorHAnsi"/>
          <w:sz w:val="21"/>
          <w:szCs w:val="21"/>
        </w:rPr>
        <w:t>− Select the transfer function type by using [↑] and [↓];</w:t>
      </w:r>
    </w:p>
    <w:p w14:paraId="3855EC8C">
      <w:pPr>
        <w:pStyle w:val="40"/>
        <w:spacing w:after="240" w:line="240" w:lineRule="auto"/>
        <w:ind w:left="0"/>
        <w:rPr>
          <w:rFonts w:cstheme="minorHAnsi"/>
          <w:sz w:val="21"/>
          <w:szCs w:val="21"/>
        </w:rPr>
      </w:pPr>
      <w:r>
        <w:rPr>
          <w:rFonts w:cstheme="minorHAnsi"/>
          <w:sz w:val="21"/>
          <w:szCs w:val="21"/>
        </w:rPr>
        <w:t>− Use [M] for mode switching</w:t>
      </w:r>
    </w:p>
    <w:p w14:paraId="53608F93">
      <w:pPr>
        <w:pStyle w:val="4"/>
        <w:spacing w:before="120" w:beforeLines="50" w:after="120" w:afterLines="50"/>
        <w:rPr>
          <w:rFonts w:asciiTheme="minorHAnsi" w:hAnsiTheme="minorHAnsi" w:cstheme="minorHAnsi"/>
        </w:rPr>
      </w:pPr>
      <w:bookmarkStart w:id="52" w:name="_Toc199429761"/>
      <w:r>
        <w:rPr>
          <w:rFonts w:asciiTheme="minorHAnsi" w:hAnsiTheme="minorHAnsi" w:cstheme="minorHAnsi"/>
        </w:rPr>
        <w:t>Steps for setting the measurement value display type - Mode 11</w:t>
      </w:r>
      <w:bookmarkEnd w:id="52"/>
    </w:p>
    <w:p w14:paraId="3A70D6A4">
      <w:pPr>
        <w:pStyle w:val="40"/>
        <w:spacing w:after="240" w:line="240" w:lineRule="auto"/>
        <w:ind w:left="0"/>
        <w:rPr>
          <w:rFonts w:cstheme="minorHAnsi"/>
          <w:sz w:val="21"/>
          <w:szCs w:val="21"/>
        </w:rPr>
      </w:pPr>
      <w:r>
        <w:rPr>
          <w:rFonts w:cstheme="minorHAnsi"/>
          <w:sz w:val="21"/>
          <w:szCs w:val="21"/>
        </w:rPr>
        <w:t>In this mode, you can select the value that will be displayed.</w:t>
      </w:r>
    </w:p>
    <w:p w14:paraId="15E71C0F">
      <w:pPr>
        <w:pStyle w:val="40"/>
        <w:spacing w:after="240" w:line="240" w:lineRule="auto"/>
        <w:ind w:left="0"/>
        <w:rPr>
          <w:rFonts w:cstheme="minorHAnsi"/>
          <w:sz w:val="21"/>
          <w:szCs w:val="21"/>
        </w:rPr>
      </w:pPr>
      <w:r>
        <w:rPr>
          <w:rFonts w:cstheme="minorHAnsi"/>
          <w:sz w:val="21"/>
          <w:szCs w:val="21"/>
        </w:rPr>
        <w:t>Select the source of the measured value as follows:</w:t>
      </w:r>
    </w:p>
    <w:p w14:paraId="5E2C340E">
      <w:pPr>
        <w:pStyle w:val="40"/>
        <w:spacing w:after="240" w:line="240" w:lineRule="auto"/>
        <w:ind w:left="0"/>
        <w:rPr>
          <w:rFonts w:cstheme="minorHAnsi"/>
          <w:sz w:val="21"/>
          <w:szCs w:val="21"/>
        </w:rPr>
      </w:pPr>
      <w:r>
        <w:rPr>
          <w:rFonts w:cstheme="minorHAnsi"/>
          <w:sz w:val="21"/>
          <w:szCs w:val="21"/>
        </w:rPr>
        <w:t>− Select mode 11, the value and description of the current display source will be displayed on the LCD;</w:t>
      </w:r>
    </w:p>
    <w:p w14:paraId="60D5D74C">
      <w:pPr>
        <w:pStyle w:val="40"/>
        <w:spacing w:after="240" w:line="240" w:lineRule="auto"/>
        <w:ind w:left="0"/>
        <w:rPr>
          <w:rFonts w:cstheme="minorHAnsi"/>
          <w:sz w:val="21"/>
          <w:szCs w:val="21"/>
        </w:rPr>
      </w:pPr>
      <w:r>
        <w:rPr>
          <w:rFonts w:cstheme="minorHAnsi"/>
          <w:sz w:val="21"/>
          <w:szCs w:val="21"/>
        </w:rPr>
        <w:t>− by using [↑] and [↓] to select the source of the measured value display;</w:t>
      </w:r>
    </w:p>
    <w:p w14:paraId="06B17320">
      <w:pPr>
        <w:pStyle w:val="40"/>
        <w:spacing w:after="240" w:line="240" w:lineRule="auto"/>
        <w:ind w:left="0"/>
        <w:rPr>
          <w:rFonts w:cstheme="minorHAnsi"/>
          <w:sz w:val="21"/>
          <w:szCs w:val="21"/>
        </w:rPr>
      </w:pPr>
      <w:r>
        <w:rPr>
          <w:rFonts w:cstheme="minorHAnsi"/>
          <w:sz w:val="21"/>
          <w:szCs w:val="21"/>
        </w:rPr>
        <w:t>− Use [M] for mode switching.</w:t>
      </w:r>
    </w:p>
    <w:p w14:paraId="609A5768">
      <w:pPr>
        <w:pStyle w:val="40"/>
        <w:spacing w:after="240" w:line="240" w:lineRule="auto"/>
        <w:ind w:left="0"/>
        <w:rPr>
          <w:rFonts w:cstheme="minorHAnsi"/>
          <w:sz w:val="21"/>
          <w:szCs w:val="21"/>
        </w:rPr>
      </w:pPr>
      <w:r>
        <w:rPr>
          <w:rFonts w:cstheme="minorHAnsi"/>
          <w:sz w:val="21"/>
          <w:szCs w:val="21"/>
        </w:rPr>
        <w:t>The supported measurement value display sources are given in the table below</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18"/>
        <w:gridCol w:w="1360"/>
      </w:tblGrid>
      <w:tr w14:paraId="393F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618" w:type="dxa"/>
            <w:shd w:val="clear" w:color="auto" w:fill="CCCCCC"/>
            <w:vAlign w:val="center"/>
          </w:tcPr>
          <w:p w14:paraId="1C18273F">
            <w:pPr>
              <w:pStyle w:val="40"/>
              <w:spacing w:after="240" w:line="240" w:lineRule="auto"/>
              <w:ind w:left="0"/>
              <w:rPr>
                <w:rFonts w:cstheme="minorHAnsi"/>
                <w:sz w:val="18"/>
                <w:szCs w:val="18"/>
              </w:rPr>
            </w:pPr>
            <w:r>
              <w:rPr>
                <w:rFonts w:cstheme="minorHAnsi"/>
                <w:sz w:val="18"/>
                <w:szCs w:val="18"/>
              </w:rPr>
              <w:t>Measurement value display type</w:t>
            </w:r>
          </w:p>
        </w:tc>
        <w:tc>
          <w:tcPr>
            <w:tcW w:w="0" w:type="auto"/>
            <w:shd w:val="clear" w:color="auto" w:fill="CCCCCC"/>
            <w:vAlign w:val="center"/>
          </w:tcPr>
          <w:p w14:paraId="65A65607">
            <w:pPr>
              <w:pStyle w:val="40"/>
              <w:spacing w:after="240" w:line="240" w:lineRule="auto"/>
              <w:ind w:left="0"/>
              <w:rPr>
                <w:rFonts w:cstheme="minorHAnsi"/>
                <w:sz w:val="18"/>
                <w:szCs w:val="18"/>
              </w:rPr>
            </w:pPr>
            <w:r>
              <w:rPr>
                <w:rFonts w:cstheme="minorHAnsi"/>
                <w:sz w:val="18"/>
                <w:szCs w:val="18"/>
              </w:rPr>
              <w:t>LCD description</w:t>
            </w:r>
          </w:p>
        </w:tc>
      </w:tr>
      <w:tr w14:paraId="2714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618" w:type="dxa"/>
            <w:vAlign w:val="center"/>
          </w:tcPr>
          <w:p w14:paraId="4BDE5629">
            <w:pPr>
              <w:pStyle w:val="40"/>
              <w:spacing w:after="240" w:line="240" w:lineRule="auto"/>
              <w:ind w:left="0"/>
              <w:rPr>
                <w:rFonts w:cstheme="minorHAnsi"/>
                <w:sz w:val="18"/>
                <w:szCs w:val="18"/>
              </w:rPr>
            </w:pPr>
            <w:r>
              <w:rPr>
                <w:rFonts w:cstheme="minorHAnsi"/>
                <w:sz w:val="18"/>
                <w:szCs w:val="18"/>
              </w:rPr>
              <w:t>[0]main variable output</w:t>
            </w:r>
          </w:p>
        </w:tc>
        <w:tc>
          <w:tcPr>
            <w:tcW w:w="0" w:type="auto"/>
            <w:vAlign w:val="center"/>
          </w:tcPr>
          <w:p w14:paraId="2B9C5277">
            <w:pPr>
              <w:pStyle w:val="40"/>
              <w:spacing w:after="240" w:line="240" w:lineRule="auto"/>
              <w:ind w:left="0"/>
              <w:jc w:val="center"/>
              <w:rPr>
                <w:rFonts w:cstheme="minorHAnsi"/>
                <w:sz w:val="18"/>
                <w:szCs w:val="18"/>
              </w:rPr>
            </w:pPr>
            <w:r>
              <w:rPr>
                <w:rFonts w:cstheme="minorHAnsi"/>
                <w:sz w:val="18"/>
                <w:szCs w:val="18"/>
              </w:rPr>
              <w:t>PV</w:t>
            </w:r>
          </w:p>
        </w:tc>
      </w:tr>
      <w:tr w14:paraId="2F05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618" w:type="dxa"/>
            <w:vAlign w:val="center"/>
          </w:tcPr>
          <w:p w14:paraId="545EFCC6">
            <w:pPr>
              <w:pStyle w:val="40"/>
              <w:spacing w:after="240" w:line="240" w:lineRule="auto"/>
              <w:ind w:left="0"/>
              <w:rPr>
                <w:rFonts w:cstheme="minorHAnsi"/>
                <w:sz w:val="18"/>
                <w:szCs w:val="18"/>
              </w:rPr>
            </w:pPr>
            <w:r>
              <w:rPr>
                <w:rFonts w:cstheme="minorHAnsi"/>
                <w:sz w:val="18"/>
                <w:szCs w:val="18"/>
              </w:rPr>
              <w:t>[1]second variable output</w:t>
            </w:r>
          </w:p>
        </w:tc>
        <w:tc>
          <w:tcPr>
            <w:tcW w:w="0" w:type="auto"/>
            <w:vAlign w:val="center"/>
          </w:tcPr>
          <w:p w14:paraId="5B142613">
            <w:pPr>
              <w:pStyle w:val="40"/>
              <w:spacing w:after="240" w:line="240" w:lineRule="auto"/>
              <w:ind w:left="0"/>
              <w:jc w:val="center"/>
              <w:rPr>
                <w:rFonts w:cstheme="minorHAnsi"/>
                <w:sz w:val="18"/>
                <w:szCs w:val="18"/>
              </w:rPr>
            </w:pPr>
            <w:r>
              <w:rPr>
                <w:rFonts w:cstheme="minorHAnsi"/>
                <w:sz w:val="18"/>
                <w:szCs w:val="18"/>
              </w:rPr>
              <w:t>SV</w:t>
            </w:r>
          </w:p>
        </w:tc>
      </w:tr>
      <w:tr w14:paraId="2641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618" w:type="dxa"/>
            <w:vAlign w:val="center"/>
          </w:tcPr>
          <w:p w14:paraId="013A09EC">
            <w:pPr>
              <w:pStyle w:val="40"/>
              <w:spacing w:after="240" w:line="240" w:lineRule="auto"/>
              <w:ind w:left="0"/>
              <w:rPr>
                <w:rFonts w:cstheme="minorHAnsi"/>
                <w:sz w:val="18"/>
                <w:szCs w:val="18"/>
              </w:rPr>
            </w:pPr>
            <w:r>
              <w:rPr>
                <w:rFonts w:cstheme="minorHAnsi"/>
                <w:sz w:val="18"/>
                <w:szCs w:val="18"/>
              </w:rPr>
              <w:t>[2]Main variable current output</w:t>
            </w:r>
          </w:p>
        </w:tc>
        <w:tc>
          <w:tcPr>
            <w:tcW w:w="0" w:type="auto"/>
            <w:vAlign w:val="center"/>
          </w:tcPr>
          <w:p w14:paraId="2A9B6366">
            <w:pPr>
              <w:pStyle w:val="40"/>
              <w:spacing w:after="240" w:line="240" w:lineRule="auto"/>
              <w:ind w:left="0"/>
              <w:jc w:val="center"/>
              <w:rPr>
                <w:rFonts w:cstheme="minorHAnsi"/>
                <w:sz w:val="18"/>
                <w:szCs w:val="18"/>
              </w:rPr>
            </w:pPr>
            <w:r>
              <w:rPr>
                <w:rFonts w:cstheme="minorHAnsi"/>
                <w:sz w:val="18"/>
                <w:szCs w:val="18"/>
              </w:rPr>
              <w:t>CU</w:t>
            </w:r>
          </w:p>
        </w:tc>
      </w:tr>
      <w:tr w14:paraId="0861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618" w:type="dxa"/>
            <w:vAlign w:val="center"/>
          </w:tcPr>
          <w:p w14:paraId="2923F388">
            <w:pPr>
              <w:pStyle w:val="40"/>
              <w:spacing w:after="240" w:line="240" w:lineRule="auto"/>
              <w:ind w:left="0"/>
              <w:rPr>
                <w:rFonts w:cstheme="minorHAnsi"/>
                <w:sz w:val="18"/>
                <w:szCs w:val="18"/>
              </w:rPr>
            </w:pPr>
            <w:r>
              <w:rPr>
                <w:rFonts w:cstheme="minorHAnsi"/>
                <w:sz w:val="18"/>
                <w:szCs w:val="18"/>
              </w:rPr>
              <w:t>[3]Primary variable percentage output</w:t>
            </w:r>
          </w:p>
        </w:tc>
        <w:tc>
          <w:tcPr>
            <w:tcW w:w="0" w:type="auto"/>
            <w:vAlign w:val="center"/>
          </w:tcPr>
          <w:p w14:paraId="63427A7D">
            <w:pPr>
              <w:pStyle w:val="40"/>
              <w:spacing w:after="240" w:line="240" w:lineRule="auto"/>
              <w:ind w:left="0"/>
              <w:jc w:val="center"/>
              <w:rPr>
                <w:rFonts w:cstheme="minorHAnsi"/>
                <w:sz w:val="18"/>
                <w:szCs w:val="18"/>
              </w:rPr>
            </w:pPr>
            <w:r>
              <w:rPr>
                <w:rFonts w:cstheme="minorHAnsi"/>
                <w:sz w:val="18"/>
                <w:szCs w:val="18"/>
              </w:rPr>
              <w:t>PN</w:t>
            </w:r>
          </w:p>
        </w:tc>
      </w:tr>
      <w:tr w14:paraId="4484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618" w:type="dxa"/>
            <w:vAlign w:val="center"/>
          </w:tcPr>
          <w:p w14:paraId="31BE83B2">
            <w:pPr>
              <w:pStyle w:val="40"/>
              <w:spacing w:after="240" w:line="240" w:lineRule="auto"/>
              <w:ind w:left="0"/>
              <w:rPr>
                <w:rFonts w:cstheme="minorHAnsi"/>
                <w:sz w:val="18"/>
                <w:szCs w:val="18"/>
              </w:rPr>
            </w:pPr>
            <w:r>
              <w:rPr>
                <w:rFonts w:cstheme="minorHAnsi"/>
                <w:sz w:val="18"/>
                <w:szCs w:val="18"/>
              </w:rPr>
              <w:t>[4]Main variable, current value loop output</w:t>
            </w:r>
          </w:p>
        </w:tc>
        <w:tc>
          <w:tcPr>
            <w:tcW w:w="0" w:type="auto"/>
            <w:vAlign w:val="center"/>
          </w:tcPr>
          <w:p w14:paraId="74CF01C7">
            <w:pPr>
              <w:pStyle w:val="40"/>
              <w:spacing w:after="240" w:line="240" w:lineRule="auto"/>
              <w:ind w:left="0"/>
              <w:jc w:val="center"/>
              <w:rPr>
                <w:rFonts w:cstheme="minorHAnsi"/>
                <w:sz w:val="18"/>
                <w:szCs w:val="18"/>
              </w:rPr>
            </w:pPr>
            <w:r>
              <w:rPr>
                <w:rFonts w:cstheme="minorHAnsi"/>
                <w:sz w:val="18"/>
                <w:szCs w:val="18"/>
              </w:rPr>
              <w:t>LOOP</w:t>
            </w:r>
          </w:p>
        </w:tc>
      </w:tr>
      <w:tr w14:paraId="4673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618" w:type="dxa"/>
            <w:vAlign w:val="center"/>
          </w:tcPr>
          <w:p w14:paraId="1BB4E89E">
            <w:pPr>
              <w:pStyle w:val="40"/>
              <w:spacing w:after="240" w:line="240" w:lineRule="auto"/>
              <w:ind w:left="0"/>
              <w:rPr>
                <w:rFonts w:cstheme="minorHAnsi"/>
                <w:sz w:val="18"/>
                <w:szCs w:val="18"/>
              </w:rPr>
            </w:pPr>
            <w:r>
              <w:rPr>
                <w:rFonts w:cstheme="minorHAnsi"/>
                <w:sz w:val="18"/>
                <w:szCs w:val="18"/>
              </w:rPr>
              <w:t>[5]Custom</w:t>
            </w:r>
          </w:p>
        </w:tc>
        <w:tc>
          <w:tcPr>
            <w:tcW w:w="0" w:type="auto"/>
            <w:vAlign w:val="center"/>
          </w:tcPr>
          <w:p w14:paraId="064CAC1A">
            <w:pPr>
              <w:pStyle w:val="40"/>
              <w:spacing w:after="240" w:line="240" w:lineRule="auto"/>
              <w:ind w:left="0"/>
              <w:jc w:val="center"/>
              <w:rPr>
                <w:rFonts w:cstheme="minorHAnsi"/>
                <w:sz w:val="18"/>
                <w:szCs w:val="18"/>
              </w:rPr>
            </w:pPr>
            <w:r>
              <w:rPr>
                <w:rFonts w:cstheme="minorHAnsi"/>
                <w:sz w:val="18"/>
                <w:szCs w:val="18"/>
              </w:rPr>
              <w:t>USER</w:t>
            </w:r>
          </w:p>
        </w:tc>
      </w:tr>
    </w:tbl>
    <w:p w14:paraId="45A64E0C">
      <w:pPr>
        <w:pStyle w:val="4"/>
        <w:spacing w:before="120" w:beforeLines="50" w:after="120" w:afterLines="50"/>
        <w:rPr>
          <w:rFonts w:asciiTheme="minorHAnsi" w:hAnsiTheme="minorHAnsi" w:cstheme="minorHAnsi"/>
        </w:rPr>
      </w:pPr>
      <w:bookmarkStart w:id="53" w:name="_Toc199429762"/>
      <w:r>
        <w:rPr>
          <w:rFonts w:asciiTheme="minorHAnsi" w:hAnsiTheme="minorHAnsi" w:cstheme="minorHAnsi"/>
        </w:rPr>
        <w:t>Steps to Set Primary Variable Units - Mode 12</w:t>
      </w:r>
      <w:bookmarkEnd w:id="53"/>
    </w:p>
    <w:p w14:paraId="180D00B2">
      <w:pPr>
        <w:pStyle w:val="40"/>
        <w:spacing w:after="240" w:line="240" w:lineRule="auto"/>
        <w:ind w:left="0"/>
        <w:rPr>
          <w:rFonts w:cstheme="minorHAnsi"/>
          <w:sz w:val="21"/>
          <w:szCs w:val="21"/>
        </w:rPr>
      </w:pPr>
      <w:r>
        <w:rPr>
          <w:rFonts w:cstheme="minorHAnsi"/>
          <w:sz w:val="21"/>
          <w:szCs w:val="21"/>
        </w:rPr>
        <w:t>In mode 12, you can change the unit of the host variable.</w:t>
      </w:r>
    </w:p>
    <w:p w14:paraId="45E07A71">
      <w:pPr>
        <w:pStyle w:val="40"/>
        <w:spacing w:after="240" w:line="240" w:lineRule="auto"/>
        <w:ind w:left="0"/>
        <w:rPr>
          <w:rFonts w:cstheme="minorHAnsi"/>
          <w:sz w:val="21"/>
          <w:szCs w:val="21"/>
        </w:rPr>
      </w:pPr>
      <w:r>
        <w:rPr>
          <w:rFonts w:cstheme="minorHAnsi"/>
          <w:sz w:val="21"/>
          <w:szCs w:val="21"/>
        </w:rPr>
        <w:t>Set the primary variable units as follows:</w:t>
      </w:r>
    </w:p>
    <w:p w14:paraId="4FC6095B">
      <w:pPr>
        <w:pStyle w:val="40"/>
        <w:spacing w:after="240" w:line="240" w:lineRule="auto"/>
        <w:ind w:left="0"/>
        <w:rPr>
          <w:rFonts w:cstheme="minorHAnsi"/>
          <w:sz w:val="21"/>
          <w:szCs w:val="21"/>
        </w:rPr>
      </w:pPr>
      <w:r>
        <w:rPr>
          <w:rFonts w:cstheme="minorHAnsi"/>
          <w:sz w:val="21"/>
          <w:szCs w:val="21"/>
        </w:rPr>
        <w:t>− Select mode 12, the current unit identifier and description will be displayed on the LCD;</w:t>
      </w:r>
    </w:p>
    <w:p w14:paraId="7B61CCC2">
      <w:pPr>
        <w:pStyle w:val="40"/>
        <w:spacing w:after="240" w:line="240" w:lineRule="auto"/>
        <w:ind w:left="0"/>
        <w:rPr>
          <w:rFonts w:cstheme="minorHAnsi"/>
          <w:sz w:val="21"/>
          <w:szCs w:val="21"/>
        </w:rPr>
      </w:pPr>
      <w:r>
        <w:rPr>
          <w:rFonts w:cstheme="minorHAnsi"/>
          <w:sz w:val="21"/>
          <w:szCs w:val="21"/>
        </w:rPr>
        <w:t>− Select a unit by using [↑] and [↓];</w:t>
      </w:r>
    </w:p>
    <w:p w14:paraId="71F93379">
      <w:pPr>
        <w:pStyle w:val="40"/>
        <w:spacing w:after="240" w:line="240" w:lineRule="auto"/>
        <w:ind w:left="0"/>
        <w:rPr>
          <w:rFonts w:cstheme="minorHAnsi"/>
          <w:sz w:val="21"/>
          <w:szCs w:val="21"/>
        </w:rPr>
      </w:pPr>
      <w:r>
        <w:rPr>
          <w:rFonts w:cstheme="minorHAnsi"/>
          <w:sz w:val="21"/>
          <w:szCs w:val="21"/>
        </w:rPr>
        <w:t>− Use [M] for mode switching</w:t>
      </w:r>
    </w:p>
    <w:p w14:paraId="003892AF">
      <w:pPr>
        <w:pStyle w:val="3"/>
        <w:spacing w:before="120" w:beforeLines="50" w:after="120" w:afterLines="50" w:line="240" w:lineRule="auto"/>
        <w:ind w:left="578" w:hanging="578"/>
        <w:rPr>
          <w:rFonts w:asciiTheme="minorHAnsi" w:hAnsiTheme="minorHAnsi" w:cstheme="minorHAnsi"/>
        </w:rPr>
      </w:pPr>
      <w:bookmarkStart w:id="54" w:name="_Toc199429763"/>
      <w:r>
        <w:rPr>
          <w:rFonts w:asciiTheme="minorHAnsi" w:hAnsiTheme="minorHAnsi" w:cstheme="minorHAnsi"/>
        </w:rPr>
        <w:t>Field calibration of FF type intelligent transmitter</w:t>
      </w:r>
      <w:bookmarkEnd w:id="54"/>
    </w:p>
    <w:p w14:paraId="15600271">
      <w:pPr>
        <w:pStyle w:val="40"/>
        <w:spacing w:after="240" w:line="240" w:lineRule="auto"/>
        <w:ind w:left="0"/>
        <w:rPr>
          <w:rFonts w:cstheme="minorHAnsi"/>
          <w:sz w:val="21"/>
          <w:szCs w:val="21"/>
        </w:rPr>
      </w:pPr>
      <w:r>
        <w:rPr>
          <w:rFonts w:cstheme="minorHAnsi"/>
          <w:sz w:val="21"/>
          <w:szCs w:val="21"/>
        </w:rPr>
        <w:t>This section only describes the FF type intelligent transmitter. Through on-site adjustment, the adjustment function of the lower limit of the transmitter range, the upper limit of the range and the zero point of the main variable can be realized. For specific functions and key operations, see Table 4.2。</w:t>
      </w:r>
    </w:p>
    <w:p w14:paraId="1F4A6BBE">
      <w:pPr>
        <w:pStyle w:val="12"/>
        <w:keepNext/>
        <w:spacing w:before="120" w:after="120"/>
        <w:rPr>
          <w:rFonts w:asciiTheme="minorHAnsi" w:hAnsiTheme="minorHAnsi" w:cstheme="minorHAnsi"/>
        </w:rPr>
      </w:pPr>
      <w:r>
        <w:rPr>
          <w:rFonts w:asciiTheme="minorHAnsi" w:hAnsiTheme="minorHAnsi" w:cstheme="minorHAnsi"/>
        </w:rPr>
        <w:t>Table</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表 \* ARABIC \s 1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 xml:space="preserve"> Specific functions and key operations</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966"/>
        <w:gridCol w:w="1012"/>
        <w:gridCol w:w="1020"/>
        <w:gridCol w:w="1014"/>
        <w:gridCol w:w="994"/>
        <w:gridCol w:w="3709"/>
      </w:tblGrid>
      <w:tr w14:paraId="486A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31" w:type="pct"/>
            <w:vMerge w:val="restart"/>
            <w:shd w:val="clear" w:color="auto" w:fill="CCCCCC"/>
            <w:vAlign w:val="center"/>
          </w:tcPr>
          <w:p w14:paraId="05140CD5">
            <w:pPr>
              <w:spacing w:after="240"/>
              <w:jc w:val="center"/>
              <w:rPr>
                <w:rFonts w:cstheme="minorHAnsi"/>
                <w:sz w:val="18"/>
                <w:szCs w:val="18"/>
              </w:rPr>
            </w:pPr>
            <w:r>
              <w:rPr>
                <w:rFonts w:cstheme="minorHAnsi"/>
                <w:sz w:val="18"/>
                <w:szCs w:val="18"/>
              </w:rPr>
              <w:t>Function</w:t>
            </w:r>
          </w:p>
        </w:tc>
        <w:tc>
          <w:tcPr>
            <w:tcW w:w="486" w:type="pct"/>
            <w:shd w:val="clear" w:color="auto" w:fill="CCCCCC"/>
            <w:vAlign w:val="center"/>
          </w:tcPr>
          <w:p w14:paraId="6D3D04E5">
            <w:pPr>
              <w:spacing w:after="240"/>
              <w:jc w:val="center"/>
              <w:rPr>
                <w:rFonts w:cstheme="minorHAnsi"/>
                <w:sz w:val="18"/>
                <w:szCs w:val="18"/>
              </w:rPr>
            </w:pPr>
            <w:r>
              <w:rPr>
                <w:rFonts w:cstheme="minorHAnsi"/>
                <w:sz w:val="18"/>
                <w:szCs w:val="18"/>
              </w:rPr>
              <w:t>Model</w:t>
            </w:r>
          </w:p>
        </w:tc>
        <w:tc>
          <w:tcPr>
            <w:tcW w:w="1521" w:type="pct"/>
            <w:gridSpan w:val="3"/>
            <w:shd w:val="clear" w:color="auto" w:fill="CCCCCC"/>
            <w:vAlign w:val="center"/>
          </w:tcPr>
          <w:p w14:paraId="58F1A3E6">
            <w:pPr>
              <w:spacing w:after="240"/>
              <w:jc w:val="center"/>
              <w:rPr>
                <w:rFonts w:cstheme="minorHAnsi"/>
                <w:sz w:val="18"/>
                <w:szCs w:val="18"/>
              </w:rPr>
            </w:pPr>
            <w:r>
              <w:rPr>
                <w:rFonts w:cstheme="minorHAnsi"/>
                <w:sz w:val="18"/>
                <w:szCs w:val="18"/>
              </w:rPr>
              <w:t>Key Function</w:t>
            </w:r>
          </w:p>
        </w:tc>
        <w:tc>
          <w:tcPr>
            <w:tcW w:w="500" w:type="pct"/>
            <w:vMerge w:val="restart"/>
            <w:shd w:val="clear" w:color="auto" w:fill="CCCCCC"/>
            <w:vAlign w:val="center"/>
          </w:tcPr>
          <w:p w14:paraId="49299F2C">
            <w:pPr>
              <w:spacing w:after="240"/>
              <w:jc w:val="center"/>
              <w:rPr>
                <w:rFonts w:cstheme="minorHAnsi"/>
                <w:sz w:val="18"/>
                <w:szCs w:val="18"/>
              </w:rPr>
            </w:pPr>
            <w:r>
              <w:rPr>
                <w:rFonts w:cstheme="minorHAnsi"/>
                <w:sz w:val="18"/>
                <w:szCs w:val="18"/>
              </w:rPr>
              <w:t>Function</w:t>
            </w:r>
          </w:p>
          <w:p w14:paraId="5CCC350C">
            <w:pPr>
              <w:spacing w:after="240"/>
              <w:jc w:val="center"/>
              <w:rPr>
                <w:rFonts w:cstheme="minorHAnsi"/>
                <w:sz w:val="18"/>
                <w:szCs w:val="18"/>
              </w:rPr>
            </w:pPr>
            <w:r>
              <w:rPr>
                <w:rFonts w:cstheme="minorHAnsi"/>
                <w:sz w:val="18"/>
                <w:szCs w:val="18"/>
              </w:rPr>
              <w:t>show</w:t>
            </w:r>
          </w:p>
        </w:tc>
        <w:tc>
          <w:tcPr>
            <w:tcW w:w="1862" w:type="pct"/>
            <w:vMerge w:val="restart"/>
            <w:shd w:val="clear" w:color="auto" w:fill="CCCCCC"/>
            <w:vAlign w:val="center"/>
          </w:tcPr>
          <w:p w14:paraId="211BF3F0">
            <w:pPr>
              <w:spacing w:after="240"/>
              <w:jc w:val="center"/>
              <w:rPr>
                <w:rFonts w:cstheme="minorHAnsi"/>
                <w:sz w:val="18"/>
                <w:szCs w:val="18"/>
              </w:rPr>
            </w:pPr>
            <w:r>
              <w:rPr>
                <w:rFonts w:cstheme="minorHAnsi"/>
                <w:sz w:val="18"/>
                <w:szCs w:val="18"/>
              </w:rPr>
              <w:t>Show, explain</w:t>
            </w:r>
          </w:p>
        </w:tc>
      </w:tr>
      <w:tr w14:paraId="710C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31" w:type="pct"/>
            <w:vMerge w:val="continue"/>
            <w:shd w:val="clear" w:color="auto" w:fill="CCCCCC"/>
            <w:vAlign w:val="center"/>
          </w:tcPr>
          <w:p w14:paraId="273D0C55">
            <w:pPr>
              <w:spacing w:after="240"/>
              <w:jc w:val="center"/>
              <w:rPr>
                <w:rFonts w:cstheme="minorHAnsi"/>
                <w:sz w:val="18"/>
                <w:szCs w:val="18"/>
              </w:rPr>
            </w:pPr>
          </w:p>
        </w:tc>
        <w:tc>
          <w:tcPr>
            <w:tcW w:w="486" w:type="pct"/>
            <w:shd w:val="clear" w:color="auto" w:fill="CCCCCC"/>
            <w:vAlign w:val="center"/>
          </w:tcPr>
          <w:p w14:paraId="6C0EDA10">
            <w:pPr>
              <w:spacing w:after="240"/>
              <w:jc w:val="center"/>
              <w:rPr>
                <w:rFonts w:cstheme="minorHAnsi"/>
                <w:sz w:val="18"/>
                <w:szCs w:val="18"/>
              </w:rPr>
            </w:pPr>
            <w:r>
              <w:rPr>
                <w:rFonts w:cstheme="minorHAnsi"/>
                <w:sz w:val="18"/>
                <w:szCs w:val="18"/>
              </w:rPr>
              <w:t>[M]</w:t>
            </w:r>
          </w:p>
        </w:tc>
        <w:tc>
          <w:tcPr>
            <w:tcW w:w="509" w:type="pct"/>
            <w:shd w:val="clear" w:color="auto" w:fill="CCCCCC"/>
            <w:vAlign w:val="center"/>
          </w:tcPr>
          <w:p w14:paraId="10D09911">
            <w:pPr>
              <w:spacing w:after="240"/>
              <w:jc w:val="center"/>
              <w:rPr>
                <w:rFonts w:cstheme="minorHAnsi"/>
                <w:sz w:val="18"/>
                <w:szCs w:val="18"/>
              </w:rPr>
            </w:pPr>
            <w:r>
              <w:rPr>
                <w:rFonts w:cstheme="minorHAnsi"/>
                <w:sz w:val="18"/>
                <w:szCs w:val="18"/>
              </w:rPr>
              <w:t>[↑]</w:t>
            </w:r>
          </w:p>
        </w:tc>
        <w:tc>
          <w:tcPr>
            <w:tcW w:w="513" w:type="pct"/>
            <w:shd w:val="clear" w:color="auto" w:fill="CCCCCC"/>
            <w:vAlign w:val="center"/>
          </w:tcPr>
          <w:p w14:paraId="2D8CE164">
            <w:pPr>
              <w:spacing w:after="240"/>
              <w:jc w:val="center"/>
              <w:rPr>
                <w:rFonts w:cstheme="minorHAnsi"/>
                <w:sz w:val="18"/>
                <w:szCs w:val="18"/>
              </w:rPr>
            </w:pPr>
            <w:r>
              <w:rPr>
                <w:rFonts w:cstheme="minorHAnsi"/>
                <w:sz w:val="18"/>
                <w:szCs w:val="18"/>
              </w:rPr>
              <w:t>[↓]</w:t>
            </w:r>
          </w:p>
        </w:tc>
        <w:tc>
          <w:tcPr>
            <w:tcW w:w="499" w:type="pct"/>
            <w:shd w:val="clear" w:color="auto" w:fill="CCCCCC"/>
            <w:vAlign w:val="center"/>
          </w:tcPr>
          <w:p w14:paraId="10AF865C">
            <w:pPr>
              <w:spacing w:after="240"/>
              <w:jc w:val="center"/>
              <w:rPr>
                <w:rFonts w:cstheme="minorHAnsi"/>
                <w:sz w:val="18"/>
                <w:szCs w:val="18"/>
              </w:rPr>
            </w:pPr>
            <w:r>
              <w:rPr>
                <w:rFonts w:cstheme="minorHAnsi"/>
                <w:sz w:val="18"/>
                <w:szCs w:val="18"/>
              </w:rPr>
              <w:t>[Enter]</w:t>
            </w:r>
          </w:p>
        </w:tc>
        <w:tc>
          <w:tcPr>
            <w:tcW w:w="500" w:type="pct"/>
            <w:vMerge w:val="continue"/>
            <w:shd w:val="clear" w:color="auto" w:fill="CCCCCC"/>
            <w:vAlign w:val="center"/>
          </w:tcPr>
          <w:p w14:paraId="38C22069">
            <w:pPr>
              <w:spacing w:after="240"/>
              <w:jc w:val="center"/>
              <w:rPr>
                <w:rFonts w:cstheme="minorHAnsi"/>
                <w:sz w:val="18"/>
                <w:szCs w:val="18"/>
              </w:rPr>
            </w:pPr>
          </w:p>
        </w:tc>
        <w:tc>
          <w:tcPr>
            <w:tcW w:w="1862" w:type="pct"/>
            <w:vMerge w:val="continue"/>
            <w:shd w:val="clear" w:color="auto" w:fill="CCCCCC"/>
            <w:vAlign w:val="center"/>
          </w:tcPr>
          <w:p w14:paraId="0A621D56">
            <w:pPr>
              <w:spacing w:after="240"/>
              <w:jc w:val="center"/>
              <w:rPr>
                <w:rFonts w:cstheme="minorHAnsi"/>
                <w:sz w:val="18"/>
                <w:szCs w:val="18"/>
              </w:rPr>
            </w:pPr>
          </w:p>
        </w:tc>
      </w:tr>
      <w:tr w14:paraId="3479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pct"/>
            <w:vAlign w:val="center"/>
          </w:tcPr>
          <w:p w14:paraId="7951E5B4">
            <w:pPr>
              <w:spacing w:after="240"/>
              <w:jc w:val="center"/>
              <w:rPr>
                <w:rFonts w:cstheme="minorHAnsi"/>
                <w:sz w:val="18"/>
                <w:szCs w:val="18"/>
              </w:rPr>
            </w:pPr>
            <w:r>
              <w:rPr>
                <w:rFonts w:cstheme="minorHAnsi"/>
                <w:sz w:val="18"/>
                <w:szCs w:val="18"/>
              </w:rPr>
              <w:t>Measurement value display</w:t>
            </w:r>
          </w:p>
        </w:tc>
        <w:tc>
          <w:tcPr>
            <w:tcW w:w="486" w:type="pct"/>
            <w:vAlign w:val="center"/>
          </w:tcPr>
          <w:p w14:paraId="55E616D0">
            <w:pPr>
              <w:spacing w:after="240"/>
              <w:jc w:val="center"/>
              <w:rPr>
                <w:rFonts w:cstheme="minorHAnsi"/>
                <w:sz w:val="18"/>
                <w:szCs w:val="18"/>
              </w:rPr>
            </w:pPr>
          </w:p>
        </w:tc>
        <w:tc>
          <w:tcPr>
            <w:tcW w:w="509" w:type="pct"/>
            <w:vAlign w:val="center"/>
          </w:tcPr>
          <w:p w14:paraId="7705FD1B">
            <w:pPr>
              <w:spacing w:after="240"/>
              <w:jc w:val="center"/>
              <w:rPr>
                <w:rFonts w:cstheme="minorHAnsi"/>
                <w:sz w:val="18"/>
                <w:szCs w:val="18"/>
              </w:rPr>
            </w:pPr>
          </w:p>
        </w:tc>
        <w:tc>
          <w:tcPr>
            <w:tcW w:w="513" w:type="pct"/>
            <w:vAlign w:val="center"/>
          </w:tcPr>
          <w:p w14:paraId="3BCBE2F4">
            <w:pPr>
              <w:spacing w:after="240"/>
              <w:jc w:val="center"/>
              <w:rPr>
                <w:rFonts w:cstheme="minorHAnsi"/>
                <w:sz w:val="18"/>
                <w:szCs w:val="18"/>
              </w:rPr>
            </w:pPr>
          </w:p>
        </w:tc>
        <w:tc>
          <w:tcPr>
            <w:tcW w:w="499" w:type="pct"/>
            <w:vAlign w:val="center"/>
          </w:tcPr>
          <w:p w14:paraId="17CE8515">
            <w:pPr>
              <w:spacing w:after="240"/>
              <w:jc w:val="center"/>
              <w:rPr>
                <w:rFonts w:cstheme="minorHAnsi"/>
                <w:sz w:val="18"/>
                <w:szCs w:val="18"/>
              </w:rPr>
            </w:pPr>
          </w:p>
        </w:tc>
        <w:tc>
          <w:tcPr>
            <w:tcW w:w="500" w:type="pct"/>
            <w:vAlign w:val="center"/>
          </w:tcPr>
          <w:p w14:paraId="68D43352">
            <w:pPr>
              <w:spacing w:after="240"/>
              <w:jc w:val="center"/>
              <w:rPr>
                <w:rFonts w:cstheme="minorHAnsi"/>
                <w:sz w:val="18"/>
                <w:szCs w:val="18"/>
              </w:rPr>
            </w:pPr>
          </w:p>
        </w:tc>
        <w:tc>
          <w:tcPr>
            <w:tcW w:w="1862" w:type="pct"/>
            <w:vAlign w:val="center"/>
          </w:tcPr>
          <w:p w14:paraId="2FC1AF93">
            <w:pPr>
              <w:spacing w:after="240"/>
              <w:jc w:val="center"/>
              <w:rPr>
                <w:rFonts w:cstheme="minorHAnsi"/>
                <w:sz w:val="18"/>
                <w:szCs w:val="18"/>
              </w:rPr>
            </w:pPr>
            <w:r>
              <w:rPr>
                <w:rFonts w:cstheme="minorHAnsi"/>
                <w:sz w:val="18"/>
                <w:szCs w:val="18"/>
              </w:rPr>
              <w:t>Displays information about the DSP display block configuration</w:t>
            </w:r>
          </w:p>
        </w:tc>
      </w:tr>
      <w:tr w14:paraId="6253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pct"/>
            <w:vAlign w:val="center"/>
          </w:tcPr>
          <w:p w14:paraId="3122AF12">
            <w:pPr>
              <w:spacing w:after="240"/>
              <w:jc w:val="center"/>
              <w:rPr>
                <w:rFonts w:cstheme="minorHAnsi"/>
                <w:sz w:val="18"/>
                <w:szCs w:val="18"/>
              </w:rPr>
            </w:pPr>
            <w:r>
              <w:rPr>
                <w:rFonts w:cstheme="minorHAnsi"/>
                <w:sz w:val="18"/>
                <w:szCs w:val="18"/>
              </w:rPr>
              <w:t>Error display</w:t>
            </w:r>
          </w:p>
        </w:tc>
        <w:tc>
          <w:tcPr>
            <w:tcW w:w="486" w:type="pct"/>
            <w:vAlign w:val="center"/>
          </w:tcPr>
          <w:p w14:paraId="1AA30621">
            <w:pPr>
              <w:spacing w:after="240"/>
              <w:jc w:val="center"/>
              <w:rPr>
                <w:rFonts w:cstheme="minorHAnsi"/>
                <w:sz w:val="18"/>
                <w:szCs w:val="18"/>
              </w:rPr>
            </w:pPr>
          </w:p>
        </w:tc>
        <w:tc>
          <w:tcPr>
            <w:tcW w:w="509" w:type="pct"/>
            <w:vAlign w:val="center"/>
          </w:tcPr>
          <w:p w14:paraId="7B2EE97D">
            <w:pPr>
              <w:spacing w:after="240"/>
              <w:jc w:val="center"/>
              <w:rPr>
                <w:rFonts w:cstheme="minorHAnsi"/>
                <w:sz w:val="18"/>
                <w:szCs w:val="18"/>
              </w:rPr>
            </w:pPr>
          </w:p>
        </w:tc>
        <w:tc>
          <w:tcPr>
            <w:tcW w:w="513" w:type="pct"/>
            <w:vAlign w:val="center"/>
          </w:tcPr>
          <w:p w14:paraId="51C067E1">
            <w:pPr>
              <w:spacing w:after="240"/>
              <w:jc w:val="center"/>
              <w:rPr>
                <w:rFonts w:cstheme="minorHAnsi"/>
                <w:sz w:val="18"/>
                <w:szCs w:val="18"/>
              </w:rPr>
            </w:pPr>
          </w:p>
        </w:tc>
        <w:tc>
          <w:tcPr>
            <w:tcW w:w="499" w:type="pct"/>
            <w:vAlign w:val="center"/>
          </w:tcPr>
          <w:p w14:paraId="5D5E0C29">
            <w:pPr>
              <w:spacing w:after="240"/>
              <w:jc w:val="center"/>
              <w:rPr>
                <w:rFonts w:cstheme="minorHAnsi"/>
                <w:sz w:val="18"/>
                <w:szCs w:val="18"/>
              </w:rPr>
            </w:pPr>
          </w:p>
        </w:tc>
        <w:tc>
          <w:tcPr>
            <w:tcW w:w="500" w:type="pct"/>
            <w:vAlign w:val="center"/>
          </w:tcPr>
          <w:p w14:paraId="7C057089">
            <w:pPr>
              <w:spacing w:after="240"/>
              <w:jc w:val="center"/>
              <w:rPr>
                <w:rFonts w:cstheme="minorHAnsi"/>
                <w:sz w:val="18"/>
                <w:szCs w:val="18"/>
              </w:rPr>
            </w:pPr>
          </w:p>
        </w:tc>
        <w:tc>
          <w:tcPr>
            <w:tcW w:w="1862" w:type="pct"/>
            <w:vAlign w:val="center"/>
          </w:tcPr>
          <w:p w14:paraId="77BB2A55">
            <w:pPr>
              <w:spacing w:after="240"/>
              <w:jc w:val="center"/>
              <w:rPr>
                <w:rFonts w:cstheme="minorHAnsi"/>
                <w:sz w:val="18"/>
                <w:szCs w:val="18"/>
              </w:rPr>
            </w:pPr>
            <w:r>
              <w:rPr>
                <w:rFonts w:cstheme="minorHAnsi"/>
                <w:sz w:val="18"/>
                <w:szCs w:val="18"/>
              </w:rPr>
              <w:t>Mistake! When the transmitter fails, the text of the cause of the failure is displayed</w:t>
            </w:r>
          </w:p>
        </w:tc>
      </w:tr>
      <w:tr w14:paraId="65DD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pct"/>
            <w:vAlign w:val="center"/>
          </w:tcPr>
          <w:p w14:paraId="49E0EC39">
            <w:pPr>
              <w:spacing w:after="240"/>
              <w:jc w:val="center"/>
              <w:rPr>
                <w:rFonts w:cstheme="minorHAnsi"/>
                <w:sz w:val="18"/>
                <w:szCs w:val="18"/>
              </w:rPr>
            </w:pPr>
            <w:r>
              <w:rPr>
                <w:rFonts w:cstheme="minorHAnsi"/>
                <w:sz w:val="18"/>
                <w:szCs w:val="18"/>
              </w:rPr>
              <w:t>Main variable zero</w:t>
            </w:r>
          </w:p>
        </w:tc>
        <w:tc>
          <w:tcPr>
            <w:tcW w:w="486" w:type="pct"/>
            <w:vAlign w:val="center"/>
          </w:tcPr>
          <w:p w14:paraId="54D32052">
            <w:pPr>
              <w:spacing w:after="240"/>
              <w:jc w:val="center"/>
              <w:rPr>
                <w:rFonts w:cstheme="minorHAnsi"/>
                <w:sz w:val="18"/>
                <w:szCs w:val="18"/>
              </w:rPr>
            </w:pPr>
            <w:r>
              <w:rPr>
                <w:rFonts w:cstheme="minorHAnsi"/>
                <w:sz w:val="18"/>
                <w:szCs w:val="18"/>
              </w:rPr>
              <w:t>15</w:t>
            </w:r>
          </w:p>
        </w:tc>
        <w:tc>
          <w:tcPr>
            <w:tcW w:w="509" w:type="pct"/>
            <w:vAlign w:val="center"/>
          </w:tcPr>
          <w:p w14:paraId="428BCCEB">
            <w:pPr>
              <w:spacing w:after="240"/>
              <w:jc w:val="center"/>
              <w:rPr>
                <w:rFonts w:cstheme="minorHAnsi"/>
                <w:sz w:val="18"/>
                <w:szCs w:val="18"/>
              </w:rPr>
            </w:pPr>
            <w:r>
              <w:rPr>
                <w:rFonts w:cstheme="minorHAnsi"/>
                <w:sz w:val="18"/>
                <w:szCs w:val="18"/>
              </w:rPr>
              <w:t>——</w:t>
            </w:r>
          </w:p>
        </w:tc>
        <w:tc>
          <w:tcPr>
            <w:tcW w:w="513" w:type="pct"/>
            <w:vAlign w:val="center"/>
          </w:tcPr>
          <w:p w14:paraId="08413921">
            <w:pPr>
              <w:spacing w:after="240"/>
              <w:jc w:val="center"/>
              <w:rPr>
                <w:rFonts w:cstheme="minorHAnsi"/>
                <w:sz w:val="18"/>
                <w:szCs w:val="18"/>
              </w:rPr>
            </w:pPr>
            <w:r>
              <w:rPr>
                <w:rFonts w:cstheme="minorHAnsi"/>
                <w:sz w:val="18"/>
                <w:szCs w:val="18"/>
              </w:rPr>
              <w:t>——</w:t>
            </w:r>
          </w:p>
        </w:tc>
        <w:tc>
          <w:tcPr>
            <w:tcW w:w="499" w:type="pct"/>
            <w:vAlign w:val="center"/>
          </w:tcPr>
          <w:p w14:paraId="49394DBA">
            <w:pPr>
              <w:spacing w:after="240"/>
              <w:jc w:val="center"/>
              <w:rPr>
                <w:rFonts w:cstheme="minorHAnsi"/>
                <w:sz w:val="18"/>
                <w:szCs w:val="18"/>
              </w:rPr>
            </w:pPr>
            <w:r>
              <w:rPr>
                <w:rFonts w:cstheme="minorHAnsi"/>
                <w:sz w:val="18"/>
                <w:szCs w:val="18"/>
              </w:rPr>
              <w:t>implement</w:t>
            </w:r>
          </w:p>
          <w:p w14:paraId="3667AEE3">
            <w:pPr>
              <w:spacing w:after="240"/>
              <w:jc w:val="center"/>
              <w:rPr>
                <w:rFonts w:cstheme="minorHAnsi"/>
                <w:sz w:val="18"/>
                <w:szCs w:val="18"/>
              </w:rPr>
            </w:pPr>
            <w:r>
              <w:rPr>
                <w:rFonts w:cstheme="minorHAnsi"/>
                <w:sz w:val="18"/>
                <w:szCs w:val="18"/>
              </w:rPr>
              <w:t>calibration</w:t>
            </w:r>
          </w:p>
        </w:tc>
        <w:tc>
          <w:tcPr>
            <w:tcW w:w="500" w:type="pct"/>
            <w:vAlign w:val="center"/>
          </w:tcPr>
          <w:p w14:paraId="42AD1DE5">
            <w:pPr>
              <w:spacing w:after="240"/>
              <w:jc w:val="center"/>
              <w:rPr>
                <w:rFonts w:cstheme="minorHAnsi"/>
                <w:sz w:val="18"/>
                <w:szCs w:val="18"/>
              </w:rPr>
            </w:pPr>
            <w:r>
              <w:rPr>
                <w:rFonts w:cstheme="minorHAnsi"/>
                <w:sz w:val="18"/>
                <w:szCs w:val="18"/>
              </w:rPr>
              <w:t>Fun15</w:t>
            </w:r>
          </w:p>
          <w:p w14:paraId="0660B575">
            <w:pPr>
              <w:spacing w:after="240"/>
              <w:jc w:val="center"/>
              <w:rPr>
                <w:rFonts w:cstheme="minorHAnsi"/>
                <w:sz w:val="18"/>
                <w:szCs w:val="18"/>
              </w:rPr>
            </w:pPr>
            <w:r>
              <w:rPr>
                <w:rFonts w:cstheme="minorHAnsi"/>
                <w:sz w:val="18"/>
                <w:szCs w:val="18"/>
              </w:rPr>
              <w:t>ZERO</w:t>
            </w:r>
          </w:p>
        </w:tc>
        <w:tc>
          <w:tcPr>
            <w:tcW w:w="1862" w:type="pct"/>
            <w:vAlign w:val="center"/>
          </w:tcPr>
          <w:p w14:paraId="471E061F">
            <w:pPr>
              <w:spacing w:after="240"/>
              <w:jc w:val="center"/>
              <w:rPr>
                <w:rFonts w:cstheme="minorHAnsi"/>
                <w:sz w:val="18"/>
                <w:szCs w:val="18"/>
              </w:rPr>
            </w:pPr>
            <w:r>
              <w:rPr>
                <w:rFonts w:cstheme="minorHAnsi"/>
                <w:sz w:val="18"/>
                <w:szCs w:val="18"/>
              </w:rPr>
              <w:t>Empty the pressure, differential pressure, flow, liquid level transmitters, and vacuum the absolute pressure transmitters, and the unit of measurement is the pressure unit</w:t>
            </w:r>
          </w:p>
        </w:tc>
      </w:tr>
      <w:tr w14:paraId="0AAA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pct"/>
            <w:vAlign w:val="center"/>
          </w:tcPr>
          <w:p w14:paraId="03F8F39D">
            <w:pPr>
              <w:spacing w:after="240"/>
              <w:jc w:val="center"/>
              <w:rPr>
                <w:rFonts w:cstheme="minorHAnsi"/>
                <w:sz w:val="18"/>
                <w:szCs w:val="18"/>
              </w:rPr>
            </w:pPr>
            <w:r>
              <w:rPr>
                <w:rFonts w:cstheme="minorHAnsi"/>
                <w:sz w:val="18"/>
                <w:szCs w:val="18"/>
              </w:rPr>
              <w:t>Lower range limit</w:t>
            </w:r>
          </w:p>
        </w:tc>
        <w:tc>
          <w:tcPr>
            <w:tcW w:w="486" w:type="pct"/>
            <w:vAlign w:val="center"/>
          </w:tcPr>
          <w:p w14:paraId="00A67D3F">
            <w:pPr>
              <w:spacing w:after="240"/>
              <w:jc w:val="center"/>
              <w:rPr>
                <w:rFonts w:cstheme="minorHAnsi"/>
                <w:sz w:val="18"/>
                <w:szCs w:val="18"/>
              </w:rPr>
            </w:pPr>
            <w:r>
              <w:rPr>
                <w:rFonts w:cstheme="minorHAnsi"/>
                <w:sz w:val="18"/>
                <w:szCs w:val="18"/>
              </w:rPr>
              <w:t>16</w:t>
            </w:r>
          </w:p>
        </w:tc>
        <w:tc>
          <w:tcPr>
            <w:tcW w:w="509" w:type="pct"/>
            <w:vAlign w:val="center"/>
          </w:tcPr>
          <w:p w14:paraId="0E1F77A3">
            <w:pPr>
              <w:spacing w:after="240"/>
              <w:jc w:val="center"/>
              <w:rPr>
                <w:rFonts w:cstheme="minorHAnsi"/>
                <w:sz w:val="18"/>
                <w:szCs w:val="18"/>
              </w:rPr>
            </w:pPr>
            <w:r>
              <w:rPr>
                <w:rFonts w:cstheme="minorHAnsi"/>
                <w:sz w:val="18"/>
                <w:szCs w:val="18"/>
              </w:rPr>
              <w:t>Default increase</w:t>
            </w:r>
          </w:p>
        </w:tc>
        <w:tc>
          <w:tcPr>
            <w:tcW w:w="513" w:type="pct"/>
            <w:vAlign w:val="center"/>
          </w:tcPr>
          <w:p w14:paraId="683D5FF6">
            <w:pPr>
              <w:spacing w:after="240"/>
              <w:jc w:val="center"/>
              <w:rPr>
                <w:rFonts w:cstheme="minorHAnsi"/>
                <w:sz w:val="18"/>
                <w:szCs w:val="18"/>
              </w:rPr>
            </w:pPr>
            <w:r>
              <w:rPr>
                <w:rFonts w:cstheme="minorHAnsi"/>
                <w:sz w:val="18"/>
                <w:szCs w:val="18"/>
              </w:rPr>
              <w:t>Preset reduction</w:t>
            </w:r>
          </w:p>
        </w:tc>
        <w:tc>
          <w:tcPr>
            <w:tcW w:w="499" w:type="pct"/>
            <w:vAlign w:val="center"/>
          </w:tcPr>
          <w:p w14:paraId="15974B1B">
            <w:pPr>
              <w:spacing w:after="240"/>
              <w:jc w:val="center"/>
              <w:rPr>
                <w:rFonts w:cstheme="minorHAnsi"/>
                <w:sz w:val="18"/>
                <w:szCs w:val="18"/>
              </w:rPr>
            </w:pPr>
            <w:r>
              <w:rPr>
                <w:rFonts w:cstheme="minorHAnsi"/>
                <w:sz w:val="18"/>
                <w:szCs w:val="18"/>
              </w:rPr>
              <w:t>implement</w:t>
            </w:r>
          </w:p>
        </w:tc>
        <w:tc>
          <w:tcPr>
            <w:tcW w:w="500" w:type="pct"/>
            <w:vAlign w:val="center"/>
          </w:tcPr>
          <w:p w14:paraId="682907CC">
            <w:pPr>
              <w:spacing w:after="240"/>
              <w:jc w:val="center"/>
              <w:rPr>
                <w:rFonts w:cstheme="minorHAnsi"/>
                <w:sz w:val="18"/>
                <w:szCs w:val="18"/>
              </w:rPr>
            </w:pPr>
            <w:r>
              <w:rPr>
                <w:rFonts w:cstheme="minorHAnsi"/>
                <w:sz w:val="18"/>
                <w:szCs w:val="18"/>
              </w:rPr>
              <w:t>Fun16</w:t>
            </w:r>
          </w:p>
          <w:p w14:paraId="091D17C5">
            <w:pPr>
              <w:spacing w:after="240"/>
              <w:jc w:val="center"/>
              <w:rPr>
                <w:rFonts w:cstheme="minorHAnsi"/>
                <w:sz w:val="18"/>
                <w:szCs w:val="18"/>
              </w:rPr>
            </w:pPr>
            <w:r>
              <w:rPr>
                <w:rFonts w:cstheme="minorHAnsi"/>
                <w:sz w:val="18"/>
                <w:szCs w:val="18"/>
              </w:rPr>
              <w:t>LOWER</w:t>
            </w:r>
          </w:p>
        </w:tc>
        <w:tc>
          <w:tcPr>
            <w:tcW w:w="1862" w:type="pct"/>
            <w:vAlign w:val="center"/>
          </w:tcPr>
          <w:p w14:paraId="3C25A14E">
            <w:pPr>
              <w:spacing w:after="240"/>
              <w:jc w:val="center"/>
              <w:rPr>
                <w:rFonts w:cstheme="minorHAnsi"/>
                <w:sz w:val="18"/>
                <w:szCs w:val="18"/>
              </w:rPr>
            </w:pPr>
            <w:r>
              <w:rPr>
                <w:rFonts w:cstheme="minorHAnsi"/>
                <w:sz w:val="18"/>
                <w:szCs w:val="18"/>
              </w:rPr>
              <w:t>Adjust the lower limit of the characteristic curve</w:t>
            </w:r>
          </w:p>
        </w:tc>
      </w:tr>
      <w:tr w14:paraId="183C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pct"/>
            <w:vAlign w:val="center"/>
          </w:tcPr>
          <w:p w14:paraId="37861F29">
            <w:pPr>
              <w:spacing w:after="240"/>
              <w:jc w:val="center"/>
              <w:rPr>
                <w:rFonts w:cstheme="minorHAnsi"/>
                <w:sz w:val="18"/>
                <w:szCs w:val="18"/>
              </w:rPr>
            </w:pPr>
            <w:r>
              <w:rPr>
                <w:rFonts w:cstheme="minorHAnsi"/>
                <w:sz w:val="18"/>
                <w:szCs w:val="18"/>
              </w:rPr>
              <w:t>Upper range limit</w:t>
            </w:r>
          </w:p>
        </w:tc>
        <w:tc>
          <w:tcPr>
            <w:tcW w:w="486" w:type="pct"/>
            <w:vAlign w:val="center"/>
          </w:tcPr>
          <w:p w14:paraId="2F662BB5">
            <w:pPr>
              <w:spacing w:after="240"/>
              <w:jc w:val="center"/>
              <w:rPr>
                <w:rFonts w:cstheme="minorHAnsi"/>
                <w:sz w:val="18"/>
                <w:szCs w:val="18"/>
              </w:rPr>
            </w:pPr>
            <w:r>
              <w:rPr>
                <w:rFonts w:cstheme="minorHAnsi"/>
                <w:sz w:val="18"/>
                <w:szCs w:val="18"/>
              </w:rPr>
              <w:t>17</w:t>
            </w:r>
          </w:p>
        </w:tc>
        <w:tc>
          <w:tcPr>
            <w:tcW w:w="509" w:type="pct"/>
            <w:vAlign w:val="center"/>
          </w:tcPr>
          <w:p w14:paraId="7DA780FD">
            <w:pPr>
              <w:spacing w:after="240"/>
              <w:jc w:val="center"/>
              <w:rPr>
                <w:rFonts w:cstheme="minorHAnsi"/>
                <w:sz w:val="18"/>
                <w:szCs w:val="18"/>
              </w:rPr>
            </w:pPr>
            <w:r>
              <w:rPr>
                <w:rFonts w:cstheme="minorHAnsi"/>
                <w:sz w:val="18"/>
                <w:szCs w:val="18"/>
              </w:rPr>
              <w:t>Default increase</w:t>
            </w:r>
          </w:p>
        </w:tc>
        <w:tc>
          <w:tcPr>
            <w:tcW w:w="513" w:type="pct"/>
            <w:vAlign w:val="center"/>
          </w:tcPr>
          <w:p w14:paraId="1E0C59A1">
            <w:pPr>
              <w:spacing w:after="240"/>
              <w:jc w:val="center"/>
              <w:rPr>
                <w:rFonts w:cstheme="minorHAnsi"/>
                <w:sz w:val="18"/>
                <w:szCs w:val="18"/>
              </w:rPr>
            </w:pPr>
            <w:r>
              <w:rPr>
                <w:rFonts w:cstheme="minorHAnsi"/>
                <w:sz w:val="18"/>
                <w:szCs w:val="18"/>
              </w:rPr>
              <w:t>Preset reduction</w:t>
            </w:r>
          </w:p>
        </w:tc>
        <w:tc>
          <w:tcPr>
            <w:tcW w:w="499" w:type="pct"/>
            <w:vAlign w:val="center"/>
          </w:tcPr>
          <w:p w14:paraId="5AD748BB">
            <w:pPr>
              <w:spacing w:after="240"/>
              <w:jc w:val="center"/>
              <w:rPr>
                <w:rFonts w:cstheme="minorHAnsi"/>
                <w:sz w:val="18"/>
                <w:szCs w:val="18"/>
              </w:rPr>
            </w:pPr>
            <w:r>
              <w:rPr>
                <w:rFonts w:cstheme="minorHAnsi"/>
                <w:sz w:val="18"/>
                <w:szCs w:val="18"/>
              </w:rPr>
              <w:t>implement</w:t>
            </w:r>
          </w:p>
        </w:tc>
        <w:tc>
          <w:tcPr>
            <w:tcW w:w="500" w:type="pct"/>
            <w:vAlign w:val="center"/>
          </w:tcPr>
          <w:p w14:paraId="100E2692">
            <w:pPr>
              <w:spacing w:after="240"/>
              <w:jc w:val="center"/>
              <w:rPr>
                <w:rFonts w:cstheme="minorHAnsi"/>
                <w:sz w:val="18"/>
                <w:szCs w:val="18"/>
              </w:rPr>
            </w:pPr>
            <w:r>
              <w:rPr>
                <w:rFonts w:cstheme="minorHAnsi"/>
                <w:sz w:val="18"/>
                <w:szCs w:val="18"/>
              </w:rPr>
              <w:t>Fun17</w:t>
            </w:r>
          </w:p>
          <w:p w14:paraId="09EA7374">
            <w:pPr>
              <w:spacing w:after="240"/>
              <w:jc w:val="center"/>
              <w:rPr>
                <w:rFonts w:cstheme="minorHAnsi"/>
                <w:sz w:val="18"/>
                <w:szCs w:val="18"/>
              </w:rPr>
            </w:pPr>
            <w:r>
              <w:rPr>
                <w:rFonts w:cstheme="minorHAnsi"/>
                <w:sz w:val="18"/>
                <w:szCs w:val="18"/>
              </w:rPr>
              <w:t>UPPER</w:t>
            </w:r>
          </w:p>
        </w:tc>
        <w:tc>
          <w:tcPr>
            <w:tcW w:w="1862" w:type="pct"/>
            <w:vAlign w:val="center"/>
          </w:tcPr>
          <w:p w14:paraId="025BD667">
            <w:pPr>
              <w:spacing w:after="240"/>
              <w:jc w:val="center"/>
              <w:rPr>
                <w:rFonts w:cstheme="minorHAnsi"/>
                <w:sz w:val="18"/>
                <w:szCs w:val="18"/>
              </w:rPr>
            </w:pPr>
            <w:r>
              <w:rPr>
                <w:rFonts w:cstheme="minorHAnsi"/>
                <w:sz w:val="18"/>
                <w:szCs w:val="18"/>
              </w:rPr>
              <w:t>Adjust the upper limit of the characteristic curve</w:t>
            </w:r>
          </w:p>
        </w:tc>
      </w:tr>
    </w:tbl>
    <w:p w14:paraId="70E31601">
      <w:pPr>
        <w:pStyle w:val="40"/>
        <w:spacing w:before="120" w:beforeLines="50" w:after="240" w:line="240" w:lineRule="auto"/>
        <w:ind w:left="0"/>
        <w:rPr>
          <w:rFonts w:cstheme="minorHAnsi"/>
          <w:sz w:val="21"/>
          <w:szCs w:val="21"/>
        </w:rPr>
      </w:pPr>
      <w:r>
        <w:rPr>
          <w:rFonts w:cstheme="minorHAnsi"/>
          <w:sz w:val="21"/>
          <w:szCs w:val="21"/>
        </w:rPr>
        <w:t>After entering the field adjustment, long press the mode key [M] to switch between the above adjustment functions, as shown in Figure 4.3</w:t>
      </w:r>
    </w:p>
    <w:p w14:paraId="52D010DC">
      <w:pPr>
        <w:keepNext/>
        <w:spacing w:after="240"/>
        <w:jc w:val="center"/>
        <w:rPr>
          <w:rFonts w:cstheme="minorHAnsi"/>
        </w:rPr>
      </w:pPr>
      <w:r>
        <w:rPr>
          <w:rFonts w:cstheme="minorHAnsi"/>
        </w:rPr>
        <w:drawing>
          <wp:inline distT="0" distB="0" distL="114300" distR="114300">
            <wp:extent cx="5683250" cy="1206500"/>
            <wp:effectExtent l="0" t="0" r="0" b="0"/>
            <wp:docPr id="59" name="图片 5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图片3"/>
                    <pic:cNvPicPr>
                      <a:picLocks noChangeAspect="1"/>
                    </pic:cNvPicPr>
                  </pic:nvPicPr>
                  <pic:blipFill>
                    <a:blip r:embed="rId46"/>
                    <a:stretch>
                      <a:fillRect/>
                    </a:stretch>
                  </pic:blipFill>
                  <pic:spPr>
                    <a:xfrm>
                      <a:off x="0" y="0"/>
                      <a:ext cx="5683250" cy="1206500"/>
                    </a:xfrm>
                    <a:prstGeom prst="rect">
                      <a:avLst/>
                    </a:prstGeom>
                  </pic:spPr>
                </pic:pic>
              </a:graphicData>
            </a:graphic>
          </wp:inline>
        </w:drawing>
      </w:r>
    </w:p>
    <w:p w14:paraId="1323A25D">
      <w:pPr>
        <w:pStyle w:val="12"/>
        <w:spacing w:before="120" w:after="120"/>
        <w:rPr>
          <w:rFonts w:asciiTheme="minorHAnsi" w:hAnsiTheme="minorHAnsi" w:cstheme="minorHAnsi"/>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.3 Adjustment function switch diagram</w:t>
      </w:r>
    </w:p>
    <w:p w14:paraId="5918867A">
      <w:pPr>
        <w:pStyle w:val="4"/>
        <w:spacing w:before="120" w:beforeLines="50" w:after="120" w:afterLines="50"/>
        <w:rPr>
          <w:rFonts w:asciiTheme="minorHAnsi" w:hAnsiTheme="minorHAnsi" w:cstheme="minorHAnsi"/>
        </w:rPr>
      </w:pPr>
      <w:bookmarkStart w:id="55" w:name="_Toc199429764"/>
      <w:r>
        <w:rPr>
          <w:rFonts w:asciiTheme="minorHAnsi" w:hAnsiTheme="minorHAnsi" w:cstheme="minorHAnsi"/>
        </w:rPr>
        <w:t>Measurement value display</w:t>
      </w:r>
      <w:bookmarkEnd w:id="55"/>
    </w:p>
    <w:p w14:paraId="1CEBD51B">
      <w:pPr>
        <w:pStyle w:val="40"/>
        <w:spacing w:after="240" w:line="240" w:lineRule="auto"/>
        <w:ind w:left="0"/>
        <w:rPr>
          <w:rFonts w:cstheme="minorHAnsi"/>
          <w:sz w:val="21"/>
          <w:szCs w:val="21"/>
        </w:rPr>
      </w:pPr>
      <w:r>
        <w:rPr>
          <w:rFonts w:cstheme="minorHAnsi"/>
          <w:sz w:val="21"/>
          <w:szCs w:val="21"/>
        </w:rPr>
        <w:t>In the measured value display function, information about the configuration of the DSP display block is displayed.</w:t>
      </w:r>
    </w:p>
    <w:p w14:paraId="1E5B3E09">
      <w:pPr>
        <w:pStyle w:val="4"/>
        <w:spacing w:before="120" w:beforeLines="50" w:after="120" w:afterLines="50"/>
        <w:rPr>
          <w:rFonts w:asciiTheme="minorHAnsi" w:hAnsiTheme="minorHAnsi" w:cstheme="minorHAnsi"/>
        </w:rPr>
      </w:pPr>
      <w:bookmarkStart w:id="56" w:name="_Toc199429765"/>
      <w:r>
        <w:rPr>
          <w:rFonts w:asciiTheme="minorHAnsi" w:hAnsiTheme="minorHAnsi" w:cstheme="minorHAnsi"/>
        </w:rPr>
        <w:t>Error display</w:t>
      </w:r>
      <w:bookmarkEnd w:id="56"/>
    </w:p>
    <w:p w14:paraId="2D678EDA">
      <w:pPr>
        <w:pStyle w:val="40"/>
        <w:spacing w:after="240" w:line="240" w:lineRule="auto"/>
        <w:ind w:left="0"/>
        <w:rPr>
          <w:rFonts w:cstheme="minorHAnsi"/>
          <w:sz w:val="21"/>
          <w:szCs w:val="21"/>
        </w:rPr>
      </w:pPr>
      <w:r>
        <w:rPr>
          <w:rFonts w:cstheme="minorHAnsi"/>
          <w:sz w:val="21"/>
          <w:szCs w:val="21"/>
        </w:rPr>
        <w:t>Error messages may appear during local operation.</w:t>
      </w:r>
    </w:p>
    <w:tbl>
      <w:tblPr>
        <w:tblStyle w:val="3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7"/>
        <w:gridCol w:w="4165"/>
      </w:tblGrid>
      <w:tr w14:paraId="5FC506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blHeader/>
          <w:jc w:val="center"/>
        </w:trPr>
        <w:tc>
          <w:tcPr>
            <w:tcW w:w="1897" w:type="dxa"/>
            <w:tcBorders>
              <w:top w:val="single" w:color="auto" w:sz="4" w:space="0"/>
              <w:left w:val="single" w:color="auto" w:sz="4" w:space="0"/>
              <w:bottom w:val="single" w:color="auto" w:sz="4" w:space="0"/>
              <w:right w:val="single" w:color="auto" w:sz="4" w:space="0"/>
            </w:tcBorders>
            <w:shd w:val="clear" w:color="auto" w:fill="CCCCCC"/>
            <w:vAlign w:val="center"/>
          </w:tcPr>
          <w:p w14:paraId="78E001C8">
            <w:pPr>
              <w:spacing w:after="240"/>
              <w:jc w:val="center"/>
              <w:rPr>
                <w:rFonts w:cstheme="minorHAnsi"/>
                <w:sz w:val="18"/>
                <w:szCs w:val="18"/>
              </w:rPr>
            </w:pPr>
            <w:r>
              <w:rPr>
                <w:rFonts w:cstheme="minorHAnsi"/>
                <w:sz w:val="18"/>
                <w:szCs w:val="18"/>
              </w:rPr>
              <w:t>Show</w:t>
            </w:r>
          </w:p>
        </w:tc>
        <w:tc>
          <w:tcPr>
            <w:tcW w:w="4165" w:type="dxa"/>
            <w:tcBorders>
              <w:top w:val="single" w:color="auto" w:sz="4" w:space="0"/>
              <w:left w:val="single" w:color="auto" w:sz="4" w:space="0"/>
              <w:bottom w:val="single" w:color="auto" w:sz="4" w:space="0"/>
              <w:right w:val="single" w:color="auto" w:sz="4" w:space="0"/>
            </w:tcBorders>
            <w:shd w:val="clear" w:color="auto" w:fill="CCCCCC"/>
            <w:vAlign w:val="center"/>
          </w:tcPr>
          <w:p w14:paraId="44B14586">
            <w:pPr>
              <w:spacing w:after="240"/>
              <w:jc w:val="center"/>
              <w:rPr>
                <w:rFonts w:cstheme="minorHAnsi"/>
                <w:sz w:val="18"/>
                <w:szCs w:val="18"/>
              </w:rPr>
            </w:pPr>
            <w:r>
              <w:rPr>
                <w:rFonts w:cstheme="minorHAnsi"/>
                <w:sz w:val="18"/>
                <w:szCs w:val="18"/>
              </w:rPr>
              <w:t>Explain</w:t>
            </w:r>
          </w:p>
        </w:tc>
      </w:tr>
      <w:tr w14:paraId="367BD5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897" w:type="dxa"/>
            <w:tcBorders>
              <w:top w:val="single" w:color="auto" w:sz="4" w:space="0"/>
              <w:left w:val="single" w:color="auto" w:sz="4" w:space="0"/>
              <w:bottom w:val="single" w:color="auto" w:sz="4" w:space="0"/>
            </w:tcBorders>
            <w:vAlign w:val="center"/>
          </w:tcPr>
          <w:p w14:paraId="24A51651">
            <w:pPr>
              <w:spacing w:after="240"/>
              <w:jc w:val="center"/>
              <w:rPr>
                <w:rFonts w:cstheme="minorHAnsi"/>
                <w:sz w:val="18"/>
                <w:szCs w:val="18"/>
              </w:rPr>
            </w:pPr>
            <w:r>
              <w:rPr>
                <w:rFonts w:cstheme="minorHAnsi"/>
                <w:sz w:val="18"/>
                <w:szCs w:val="18"/>
              </w:rPr>
              <w:t>NumEr</w:t>
            </w:r>
          </w:p>
        </w:tc>
        <w:tc>
          <w:tcPr>
            <w:tcW w:w="4165" w:type="dxa"/>
            <w:tcBorders>
              <w:top w:val="single" w:color="auto" w:sz="4" w:space="0"/>
              <w:left w:val="single" w:color="auto" w:sz="4" w:space="0"/>
              <w:bottom w:val="single" w:color="auto" w:sz="4" w:space="0"/>
              <w:right w:val="single" w:color="auto" w:sz="4" w:space="0"/>
            </w:tcBorders>
            <w:vAlign w:val="center"/>
          </w:tcPr>
          <w:p w14:paraId="6C55E695">
            <w:pPr>
              <w:spacing w:after="240"/>
              <w:jc w:val="center"/>
              <w:rPr>
                <w:rFonts w:cstheme="minorHAnsi"/>
                <w:sz w:val="18"/>
                <w:szCs w:val="18"/>
              </w:rPr>
            </w:pPr>
            <w:r>
              <w:rPr>
                <w:rFonts w:cstheme="minorHAnsi"/>
                <w:sz w:val="18"/>
                <w:szCs w:val="18"/>
              </w:rPr>
              <w:t>Numerical exception</w:t>
            </w:r>
          </w:p>
        </w:tc>
      </w:tr>
      <w:tr w14:paraId="4C436F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897" w:type="dxa"/>
            <w:tcBorders>
              <w:top w:val="single" w:color="auto" w:sz="4" w:space="0"/>
              <w:left w:val="single" w:color="auto" w:sz="4" w:space="0"/>
              <w:bottom w:val="single" w:color="auto" w:sz="4" w:space="0"/>
            </w:tcBorders>
            <w:vAlign w:val="center"/>
          </w:tcPr>
          <w:p w14:paraId="47A9DF97">
            <w:pPr>
              <w:spacing w:after="240"/>
              <w:jc w:val="center"/>
              <w:rPr>
                <w:rFonts w:cstheme="minorHAnsi"/>
                <w:sz w:val="18"/>
                <w:szCs w:val="18"/>
              </w:rPr>
            </w:pPr>
            <w:r>
              <w:rPr>
                <w:rFonts w:cstheme="minorHAnsi"/>
                <w:sz w:val="18"/>
                <w:szCs w:val="18"/>
              </w:rPr>
              <w:t>FNErr</w:t>
            </w:r>
          </w:p>
        </w:tc>
        <w:tc>
          <w:tcPr>
            <w:tcW w:w="4165" w:type="dxa"/>
            <w:tcBorders>
              <w:top w:val="single" w:color="auto" w:sz="4" w:space="0"/>
              <w:left w:val="single" w:color="auto" w:sz="4" w:space="0"/>
              <w:bottom w:val="single" w:color="auto" w:sz="4" w:space="0"/>
              <w:right w:val="single" w:color="auto" w:sz="4" w:space="0"/>
            </w:tcBorders>
            <w:vAlign w:val="center"/>
          </w:tcPr>
          <w:p w14:paraId="5AF38BB4">
            <w:pPr>
              <w:spacing w:after="240"/>
              <w:jc w:val="center"/>
              <w:rPr>
                <w:rFonts w:cstheme="minorHAnsi"/>
                <w:sz w:val="18"/>
                <w:szCs w:val="18"/>
              </w:rPr>
            </w:pPr>
            <w:r>
              <w:rPr>
                <w:rFonts w:cstheme="minorHAnsi"/>
                <w:sz w:val="18"/>
                <w:szCs w:val="18"/>
              </w:rPr>
              <w:t>Wrong mode number</w:t>
            </w:r>
          </w:p>
        </w:tc>
      </w:tr>
      <w:tr w14:paraId="6F6DDD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897" w:type="dxa"/>
            <w:tcBorders>
              <w:top w:val="single" w:color="auto" w:sz="4" w:space="0"/>
              <w:left w:val="single" w:color="auto" w:sz="4" w:space="0"/>
              <w:bottom w:val="single" w:color="auto" w:sz="4" w:space="0"/>
            </w:tcBorders>
            <w:vAlign w:val="center"/>
          </w:tcPr>
          <w:p w14:paraId="520C012F">
            <w:pPr>
              <w:spacing w:after="240"/>
              <w:jc w:val="center"/>
              <w:rPr>
                <w:rFonts w:cstheme="minorHAnsi"/>
                <w:sz w:val="18"/>
                <w:szCs w:val="18"/>
              </w:rPr>
            </w:pPr>
            <w:r>
              <w:rPr>
                <w:rFonts w:cstheme="minorHAnsi"/>
                <w:sz w:val="18"/>
                <w:szCs w:val="18"/>
              </w:rPr>
              <w:t>Lock</w:t>
            </w:r>
          </w:p>
        </w:tc>
        <w:tc>
          <w:tcPr>
            <w:tcW w:w="4165" w:type="dxa"/>
            <w:tcBorders>
              <w:top w:val="single" w:color="auto" w:sz="4" w:space="0"/>
              <w:left w:val="single" w:color="auto" w:sz="4" w:space="0"/>
              <w:bottom w:val="single" w:color="auto" w:sz="4" w:space="0"/>
              <w:right w:val="single" w:color="auto" w:sz="4" w:space="0"/>
            </w:tcBorders>
            <w:vAlign w:val="center"/>
          </w:tcPr>
          <w:p w14:paraId="319655FF">
            <w:pPr>
              <w:spacing w:after="240"/>
              <w:jc w:val="center"/>
              <w:rPr>
                <w:rFonts w:cstheme="minorHAnsi"/>
                <w:sz w:val="18"/>
                <w:szCs w:val="18"/>
              </w:rPr>
            </w:pPr>
            <w:r>
              <w:rPr>
                <w:rFonts w:cstheme="minorHAnsi"/>
                <w:sz w:val="18"/>
                <w:szCs w:val="18"/>
              </w:rPr>
              <w:t>Jumper set to configure protection</w:t>
            </w:r>
          </w:p>
        </w:tc>
      </w:tr>
    </w:tbl>
    <w:p w14:paraId="64C4EA4C">
      <w:pPr>
        <w:pStyle w:val="4"/>
        <w:spacing w:before="120" w:beforeLines="50" w:after="120" w:afterLines="50"/>
        <w:rPr>
          <w:rFonts w:asciiTheme="minorHAnsi" w:hAnsiTheme="minorHAnsi" w:cstheme="minorHAnsi"/>
        </w:rPr>
      </w:pPr>
      <w:bookmarkStart w:id="57" w:name="_Toc199429766"/>
      <w:r>
        <w:rPr>
          <w:rFonts w:asciiTheme="minorHAnsi" w:hAnsiTheme="minorHAnsi" w:cstheme="minorHAnsi"/>
        </w:rPr>
        <w:t>Operation steps for setting the main variable zero point - Mode 15</w:t>
      </w:r>
      <w:bookmarkEnd w:id="57"/>
    </w:p>
    <w:p w14:paraId="715D4B96">
      <w:pPr>
        <w:pStyle w:val="40"/>
        <w:spacing w:after="240" w:line="240" w:lineRule="auto"/>
        <w:ind w:left="0"/>
        <w:rPr>
          <w:rFonts w:cstheme="minorHAnsi"/>
          <w:sz w:val="21"/>
          <w:szCs w:val="21"/>
        </w:rPr>
      </w:pPr>
      <w:r>
        <w:rPr>
          <w:rFonts w:cstheme="minorHAnsi"/>
          <w:sz w:val="21"/>
          <w:szCs w:val="21"/>
        </w:rPr>
        <w:t>When the transmitter is installed and ready for operation, external influences such as the installation location, ambient temperature or allowable pressure associated with the installation (such as a water column in the pressure line leading to the transmitter) may cause the initial The zero point moves.</w:t>
      </w:r>
    </w:p>
    <w:p w14:paraId="23299B80">
      <w:pPr>
        <w:pStyle w:val="40"/>
        <w:spacing w:after="240" w:line="240" w:lineRule="auto"/>
        <w:ind w:left="0"/>
        <w:rPr>
          <w:rFonts w:cstheme="minorHAnsi"/>
          <w:sz w:val="21"/>
          <w:szCs w:val="21"/>
        </w:rPr>
      </w:pPr>
      <w:r>
        <w:rPr>
          <w:rFonts w:cstheme="minorHAnsi"/>
          <w:sz w:val="21"/>
          <w:szCs w:val="21"/>
        </w:rPr>
        <w:t>Zero calibration can be performed as follows:</w:t>
      </w:r>
    </w:p>
    <w:p w14:paraId="0E3F4775">
      <w:pPr>
        <w:pStyle w:val="40"/>
        <w:spacing w:after="240" w:line="240" w:lineRule="auto"/>
        <w:ind w:left="0"/>
        <w:rPr>
          <w:rFonts w:cstheme="minorHAnsi"/>
          <w:sz w:val="21"/>
          <w:szCs w:val="21"/>
        </w:rPr>
      </w:pPr>
      <w:r>
        <w:rPr>
          <w:rFonts w:cstheme="minorHAnsi"/>
          <w:sz w:val="21"/>
          <w:szCs w:val="21"/>
        </w:rPr>
        <w:t>− create a pressure scale;</w:t>
      </w:r>
    </w:p>
    <w:p w14:paraId="2CA511B2">
      <w:pPr>
        <w:pStyle w:val="40"/>
        <w:spacing w:after="240" w:line="240" w:lineRule="auto"/>
        <w:ind w:left="0"/>
        <w:rPr>
          <w:rFonts w:cstheme="minorHAnsi"/>
          <w:sz w:val="21"/>
          <w:szCs w:val="21"/>
        </w:rPr>
      </w:pPr>
      <w:r>
        <w:rPr>
          <w:rFonts w:cstheme="minorHAnsi"/>
          <w:sz w:val="21"/>
          <w:szCs w:val="21"/>
        </w:rPr>
        <w:t>− set mode 15;</w:t>
      </w:r>
    </w:p>
    <w:p w14:paraId="53A4AA5C">
      <w:pPr>
        <w:pStyle w:val="40"/>
        <w:spacing w:after="240" w:line="240" w:lineRule="auto"/>
        <w:ind w:left="0"/>
        <w:rPr>
          <w:rFonts w:cstheme="minorHAnsi"/>
          <w:sz w:val="21"/>
          <w:szCs w:val="21"/>
        </w:rPr>
      </w:pPr>
      <w:r>
        <w:rPr>
          <w:rFonts w:cstheme="minorHAnsi"/>
          <w:sz w:val="21"/>
          <w:szCs w:val="21"/>
        </w:rPr>
        <w:t>− Press [Enter] key to set, “OK” will be displayed if successful, and “Err” will be displayed if unsuccessful;</w:t>
      </w:r>
    </w:p>
    <w:p w14:paraId="6F287D4F">
      <w:pPr>
        <w:pStyle w:val="40"/>
        <w:spacing w:after="240" w:line="240" w:lineRule="auto"/>
        <w:ind w:left="0"/>
        <w:rPr>
          <w:rFonts w:cstheme="minorHAnsi"/>
          <w:sz w:val="21"/>
          <w:szCs w:val="21"/>
        </w:rPr>
      </w:pPr>
      <w:r>
        <w:rPr>
          <w:rFonts w:cstheme="minorHAnsi"/>
          <w:sz w:val="21"/>
          <w:szCs w:val="21"/>
        </w:rPr>
        <w:t>− After successful calibration, return to measurement value display mode immediately.</w:t>
      </w:r>
    </w:p>
    <w:p w14:paraId="7F5C437F">
      <w:pPr>
        <w:pStyle w:val="40"/>
        <w:spacing w:after="240" w:line="240" w:lineRule="auto"/>
        <w:ind w:left="0"/>
        <w:rPr>
          <w:rFonts w:cstheme="minorHAnsi"/>
          <w:sz w:val="21"/>
          <w:szCs w:val="21"/>
        </w:rPr>
      </w:pPr>
      <w:r>
        <w:rPr>
          <w:rFonts w:cstheme="minorHAnsi"/>
          <w:sz w:val="21"/>
          <w:szCs w:val="21"/>
        </w:rPr>
        <w:t>The value 0 appears in the display area.</w:t>
      </w:r>
    </w:p>
    <w:p w14:paraId="11964C76">
      <w:pPr>
        <w:pStyle w:val="4"/>
        <w:spacing w:before="120" w:beforeLines="50" w:after="120" w:afterLines="50"/>
        <w:rPr>
          <w:rFonts w:asciiTheme="minorHAnsi" w:hAnsiTheme="minorHAnsi" w:cstheme="minorHAnsi"/>
        </w:rPr>
      </w:pPr>
      <w:bookmarkStart w:id="58" w:name="_Toc199429767"/>
      <w:r>
        <w:rPr>
          <w:rFonts w:asciiTheme="minorHAnsi" w:hAnsiTheme="minorHAnsi" w:cstheme="minorHAnsi"/>
        </w:rPr>
        <w:t>Operation steps for setting the lower limit of the range - Mode 16</w:t>
      </w:r>
      <w:bookmarkEnd w:id="58"/>
    </w:p>
    <w:p w14:paraId="4DFFFEF1">
      <w:pPr>
        <w:pStyle w:val="40"/>
        <w:spacing w:after="240" w:line="240" w:lineRule="auto"/>
        <w:ind w:left="0"/>
        <w:rPr>
          <w:rFonts w:cstheme="minorHAnsi"/>
          <w:sz w:val="21"/>
          <w:szCs w:val="21"/>
        </w:rPr>
      </w:pPr>
      <w:r>
        <w:rPr>
          <w:rFonts w:cstheme="minorHAnsi"/>
          <w:sz w:val="21"/>
          <w:szCs w:val="21"/>
        </w:rPr>
        <w:t>The slope of the characteristic curve can be changed in this mode. The characteristic curve is rotated around the high set point. This function replaces zero adjustment (mode 08).</w:t>
      </w:r>
    </w:p>
    <w:p w14:paraId="70E4469A">
      <w:pPr>
        <w:pStyle w:val="40"/>
        <w:spacing w:after="240" w:line="240" w:lineRule="auto"/>
        <w:ind w:left="0"/>
        <w:rPr>
          <w:rFonts w:cstheme="minorHAnsi"/>
          <w:sz w:val="21"/>
          <w:szCs w:val="21"/>
        </w:rPr>
      </w:pPr>
      <w:r>
        <w:rPr>
          <w:rFonts w:cstheme="minorHAnsi"/>
          <w:sz w:val="21"/>
          <w:szCs w:val="21"/>
        </w:rPr>
        <w:t>Perform the adjustment of the lower limit of the range as follows:</w:t>
      </w:r>
    </w:p>
    <w:p w14:paraId="00758719">
      <w:pPr>
        <w:pStyle w:val="40"/>
        <w:spacing w:after="240" w:line="240" w:lineRule="auto"/>
        <w:ind w:left="0"/>
        <w:rPr>
          <w:rFonts w:cstheme="minorHAnsi"/>
          <w:sz w:val="21"/>
          <w:szCs w:val="21"/>
        </w:rPr>
      </w:pPr>
      <w:r>
        <w:rPr>
          <w:rFonts w:cstheme="minorHAnsi"/>
          <w:sz w:val="21"/>
          <w:szCs w:val="21"/>
        </w:rPr>
        <w:t>− Set mode 16. Displays the last adjusted process value and its associated units;</w:t>
      </w:r>
    </w:p>
    <w:p w14:paraId="37CC7504">
      <w:pPr>
        <w:pStyle w:val="40"/>
        <w:spacing w:after="240" w:line="240" w:lineRule="auto"/>
        <w:ind w:left="0"/>
        <w:rPr>
          <w:rFonts w:cstheme="minorHAnsi"/>
          <w:sz w:val="21"/>
          <w:szCs w:val="21"/>
        </w:rPr>
      </w:pPr>
      <w:r>
        <w:rPr>
          <w:rFonts w:cstheme="minorHAnsi"/>
          <w:sz w:val="21"/>
          <w:szCs w:val="21"/>
        </w:rPr>
        <w:t>− If you only want to view this information, you can press the [M] key to switch the mode, otherwise you will apply the reference pressure;</w:t>
      </w:r>
    </w:p>
    <w:p w14:paraId="39B1F75E">
      <w:pPr>
        <w:pStyle w:val="40"/>
        <w:spacing w:after="240" w:line="240" w:lineRule="auto"/>
        <w:ind w:left="0"/>
        <w:rPr>
          <w:rFonts w:cstheme="minorHAnsi"/>
          <w:sz w:val="21"/>
          <w:szCs w:val="21"/>
        </w:rPr>
      </w:pPr>
      <w:r>
        <w:rPr>
          <w:rFonts w:cstheme="minorHAnsi"/>
          <w:sz w:val="21"/>
          <w:szCs w:val="21"/>
        </w:rPr>
        <w:t>− Use [↑] and [↓] to enter a reference pressure value starting from this value;</w:t>
      </w:r>
    </w:p>
    <w:p w14:paraId="7B6B9914">
      <w:pPr>
        <w:pStyle w:val="40"/>
        <w:spacing w:after="240" w:line="240" w:lineRule="auto"/>
        <w:ind w:left="0"/>
        <w:rPr>
          <w:rFonts w:cstheme="minorHAnsi"/>
          <w:sz w:val="21"/>
          <w:szCs w:val="21"/>
        </w:rPr>
      </w:pPr>
      <w:r>
        <w:rPr>
          <w:rFonts w:cstheme="minorHAnsi"/>
          <w:sz w:val="21"/>
          <w:szCs w:val="21"/>
        </w:rPr>
        <w:t>− Press [Enter] key to set, “OK” will be displayed if successful, and “Err” will be displayed if unsuccessful;</w:t>
      </w:r>
    </w:p>
    <w:p w14:paraId="69DC7C7D">
      <w:pPr>
        <w:pStyle w:val="40"/>
        <w:spacing w:after="240" w:line="240" w:lineRule="auto"/>
        <w:ind w:left="0"/>
        <w:rPr>
          <w:rFonts w:cstheme="minorHAnsi"/>
          <w:sz w:val="21"/>
          <w:szCs w:val="21"/>
        </w:rPr>
      </w:pPr>
      <w:r>
        <w:rPr>
          <w:rFonts w:cstheme="minorHAnsi"/>
          <w:sz w:val="21"/>
          <w:szCs w:val="21"/>
        </w:rPr>
        <w:t>− Use [M] for mode switching.</w:t>
      </w:r>
    </w:p>
    <w:p w14:paraId="4AA0BAB9">
      <w:pPr>
        <w:pStyle w:val="4"/>
        <w:spacing w:before="120" w:beforeLines="50" w:after="120" w:afterLines="50"/>
        <w:rPr>
          <w:rFonts w:asciiTheme="minorHAnsi" w:hAnsiTheme="minorHAnsi" w:cstheme="minorHAnsi"/>
        </w:rPr>
      </w:pPr>
      <w:bookmarkStart w:id="59" w:name="_Toc199429768"/>
      <w:r>
        <w:rPr>
          <w:rFonts w:asciiTheme="minorHAnsi" w:hAnsiTheme="minorHAnsi" w:cstheme="minorHAnsi"/>
        </w:rPr>
        <w:t>Operation steps for setting the upper range limit - Mode 17</w:t>
      </w:r>
      <w:bookmarkEnd w:id="59"/>
    </w:p>
    <w:p w14:paraId="132839F4">
      <w:pPr>
        <w:pStyle w:val="40"/>
        <w:spacing w:after="240" w:line="240" w:lineRule="auto"/>
        <w:ind w:left="0"/>
        <w:rPr>
          <w:rFonts w:cstheme="minorHAnsi"/>
          <w:sz w:val="21"/>
          <w:szCs w:val="21"/>
        </w:rPr>
      </w:pPr>
      <w:r>
        <w:rPr>
          <w:rFonts w:cstheme="minorHAnsi"/>
          <w:sz w:val="21"/>
          <w:szCs w:val="21"/>
        </w:rPr>
        <w:t>The slope of the characteristic curve can be changed in this mode. The characteristic curve rotates around the low set point.</w:t>
      </w:r>
    </w:p>
    <w:p w14:paraId="09440AF4">
      <w:pPr>
        <w:pStyle w:val="40"/>
        <w:spacing w:after="240" w:line="240" w:lineRule="auto"/>
        <w:ind w:left="0"/>
        <w:rPr>
          <w:rFonts w:cstheme="minorHAnsi"/>
          <w:sz w:val="21"/>
          <w:szCs w:val="21"/>
        </w:rPr>
      </w:pPr>
      <w:r>
        <w:rPr>
          <w:rFonts w:cstheme="minorHAnsi"/>
          <w:sz w:val="21"/>
          <w:szCs w:val="21"/>
        </w:rPr>
        <w:t>Perform the adjustment of the upper range limit as follows:</w:t>
      </w:r>
    </w:p>
    <w:p w14:paraId="1264E6CB">
      <w:pPr>
        <w:pStyle w:val="40"/>
        <w:spacing w:after="240" w:line="240" w:lineRule="auto"/>
        <w:ind w:left="0"/>
        <w:rPr>
          <w:rFonts w:cstheme="minorHAnsi"/>
          <w:sz w:val="21"/>
          <w:szCs w:val="21"/>
        </w:rPr>
      </w:pPr>
      <w:r>
        <w:rPr>
          <w:rFonts w:cstheme="minorHAnsi"/>
          <w:sz w:val="21"/>
          <w:szCs w:val="21"/>
        </w:rPr>
        <w:t>− Set mode 17. Displays the last adjusted process value and its associated units;</w:t>
      </w:r>
    </w:p>
    <w:p w14:paraId="43F6BD68">
      <w:pPr>
        <w:pStyle w:val="40"/>
        <w:spacing w:after="240" w:line="240" w:lineRule="auto"/>
        <w:ind w:left="0"/>
        <w:rPr>
          <w:rFonts w:cstheme="minorHAnsi"/>
          <w:sz w:val="21"/>
          <w:szCs w:val="21"/>
        </w:rPr>
      </w:pPr>
      <w:r>
        <w:rPr>
          <w:rFonts w:cstheme="minorHAnsi"/>
          <w:sz w:val="21"/>
          <w:szCs w:val="21"/>
        </w:rPr>
        <w:t>− If you only want to view this information, you can press the [M] key to switch the mode, otherwise you will apply the reference pressure;</w:t>
      </w:r>
    </w:p>
    <w:p w14:paraId="6BCD1971">
      <w:pPr>
        <w:pStyle w:val="40"/>
        <w:spacing w:after="240" w:line="240" w:lineRule="auto"/>
        <w:ind w:left="0"/>
        <w:rPr>
          <w:rFonts w:cstheme="minorHAnsi"/>
          <w:sz w:val="21"/>
          <w:szCs w:val="21"/>
        </w:rPr>
      </w:pPr>
      <w:r>
        <w:rPr>
          <w:rFonts w:cstheme="minorHAnsi"/>
          <w:sz w:val="21"/>
          <w:szCs w:val="21"/>
        </w:rPr>
        <w:t>− Use [↑] and [↓] to enter a reference pressure value starting from this value;</w:t>
      </w:r>
    </w:p>
    <w:p w14:paraId="3655FC03">
      <w:pPr>
        <w:pStyle w:val="40"/>
        <w:spacing w:after="240" w:line="240" w:lineRule="auto"/>
        <w:ind w:left="0"/>
        <w:rPr>
          <w:rFonts w:cstheme="minorHAnsi"/>
          <w:sz w:val="21"/>
          <w:szCs w:val="21"/>
        </w:rPr>
      </w:pPr>
      <w:r>
        <w:rPr>
          <w:rFonts w:cstheme="minorHAnsi"/>
          <w:sz w:val="21"/>
          <w:szCs w:val="21"/>
        </w:rPr>
        <w:t>− Press the [Enter] key to set, if the adjustment is successful, it will display “OK”, and if it is unsuccessful, it will display “Err”.</w:t>
      </w:r>
    </w:p>
    <w:p w14:paraId="1BB1D197">
      <w:pPr>
        <w:pStyle w:val="40"/>
        <w:spacing w:after="240" w:line="240" w:lineRule="auto"/>
        <w:ind w:left="0"/>
        <w:rPr>
          <w:rFonts w:cstheme="minorHAnsi"/>
          <w:sz w:val="21"/>
          <w:szCs w:val="21"/>
        </w:rPr>
      </w:pPr>
      <w:r>
        <w:rPr>
          <w:rFonts w:cstheme="minorHAnsi"/>
          <w:sz w:val="21"/>
          <w:szCs w:val="21"/>
        </w:rPr>
        <w:t>− Use [M] for mode switching</w:t>
      </w:r>
    </w:p>
    <w:p w14:paraId="0FC240CF">
      <w:pPr>
        <w:pStyle w:val="3"/>
        <w:spacing w:before="120" w:beforeLines="50" w:after="120" w:afterLines="50" w:line="240" w:lineRule="auto"/>
        <w:ind w:left="578" w:hanging="578"/>
        <w:rPr>
          <w:rFonts w:asciiTheme="minorHAnsi" w:hAnsiTheme="minorHAnsi" w:cstheme="minorHAnsi"/>
        </w:rPr>
      </w:pPr>
      <w:bookmarkStart w:id="60" w:name="_Toc199429769"/>
      <w:r>
        <w:rPr>
          <w:rFonts w:asciiTheme="minorHAnsi" w:hAnsiTheme="minorHAnsi" w:cstheme="minorHAnsi"/>
        </w:rPr>
        <w:t>On-site calibration of PA type intelligent transmitter</w:t>
      </w:r>
      <w:bookmarkEnd w:id="60"/>
    </w:p>
    <w:p w14:paraId="2A3D0C75">
      <w:pPr>
        <w:pStyle w:val="40"/>
        <w:spacing w:after="240" w:line="240" w:lineRule="auto"/>
        <w:ind w:left="0"/>
        <w:rPr>
          <w:rFonts w:cstheme="minorHAnsi"/>
          <w:sz w:val="21"/>
          <w:szCs w:val="21"/>
        </w:rPr>
      </w:pPr>
      <w:r>
        <w:rPr>
          <w:rFonts w:cstheme="minorHAnsi"/>
          <w:sz w:val="21"/>
          <w:szCs w:val="21"/>
        </w:rPr>
        <w:t>This section only describes the PA type intelligent transmitter. Through on-site adjustment, the adjustment functions of the transmitter's bus address, display variable type, decimal point position, zero point, unit, range lower limit and range upper limit can be realized. For specific functions and key operations, see Table 4.3</w:t>
      </w:r>
    </w:p>
    <w:p w14:paraId="0313B462">
      <w:pPr>
        <w:pStyle w:val="12"/>
        <w:keepNext/>
        <w:spacing w:before="120" w:after="120"/>
        <w:rPr>
          <w:rFonts w:asciiTheme="minorHAnsi" w:hAnsiTheme="minorHAnsi" w:cstheme="minorHAnsi"/>
        </w:rPr>
      </w:pPr>
      <w:r>
        <w:rPr>
          <w:rFonts w:asciiTheme="minorHAnsi" w:hAnsiTheme="minorHAnsi" w:cstheme="minorHAnsi"/>
        </w:rPr>
        <w:t xml:space="preserve">Table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表 \* ARABIC \s 1 </w:instrText>
      </w:r>
      <w:r>
        <w:rPr>
          <w:rFonts w:asciiTheme="minorHAnsi" w:hAnsiTheme="minorHAnsi" w:cstheme="minorHAnsi"/>
        </w:rPr>
        <w:fldChar w:fldCharType="separate"/>
      </w:r>
      <w:r>
        <w:rPr>
          <w:rFonts w:asciiTheme="minorHAnsi" w:hAnsiTheme="minorHAnsi" w:cstheme="minorHAnsi"/>
        </w:rPr>
        <w:t>3</w:t>
      </w:r>
      <w:r>
        <w:rPr>
          <w:rFonts w:asciiTheme="minorHAnsi" w:hAnsiTheme="minorHAnsi" w:cstheme="minorHAnsi"/>
        </w:rPr>
        <w:fldChar w:fldCharType="end"/>
      </w:r>
      <w:r>
        <w:rPr>
          <w:rFonts w:asciiTheme="minorHAnsi" w:hAnsiTheme="minorHAnsi" w:cstheme="minorHAnsi"/>
        </w:rPr>
        <w:t xml:space="preserve"> Specific functions and key operations</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6"/>
        <w:gridCol w:w="691"/>
        <w:gridCol w:w="965"/>
        <w:gridCol w:w="923"/>
        <w:gridCol w:w="1014"/>
        <w:gridCol w:w="942"/>
        <w:gridCol w:w="3818"/>
      </w:tblGrid>
      <w:tr w14:paraId="6A09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35" w:type="pct"/>
            <w:vMerge w:val="restart"/>
            <w:shd w:val="clear" w:color="auto" w:fill="CCCCCC"/>
            <w:vAlign w:val="center"/>
          </w:tcPr>
          <w:p w14:paraId="25FBB8D8">
            <w:pPr>
              <w:spacing w:after="240"/>
              <w:jc w:val="center"/>
              <w:rPr>
                <w:rFonts w:cstheme="minorHAnsi"/>
                <w:sz w:val="18"/>
                <w:szCs w:val="18"/>
              </w:rPr>
            </w:pPr>
            <w:r>
              <w:rPr>
                <w:rFonts w:cstheme="minorHAnsi"/>
                <w:sz w:val="18"/>
                <w:szCs w:val="18"/>
              </w:rPr>
              <w:t>Function</w:t>
            </w:r>
          </w:p>
        </w:tc>
        <w:tc>
          <w:tcPr>
            <w:tcW w:w="354" w:type="pct"/>
            <w:shd w:val="clear" w:color="auto" w:fill="CCCCCC"/>
            <w:vAlign w:val="center"/>
          </w:tcPr>
          <w:p w14:paraId="44EEF483">
            <w:pPr>
              <w:spacing w:after="240"/>
              <w:jc w:val="center"/>
              <w:rPr>
                <w:rFonts w:cstheme="minorHAnsi"/>
                <w:sz w:val="18"/>
                <w:szCs w:val="18"/>
              </w:rPr>
            </w:pPr>
            <w:r>
              <w:rPr>
                <w:rFonts w:cstheme="minorHAnsi"/>
                <w:sz w:val="18"/>
                <w:szCs w:val="18"/>
              </w:rPr>
              <w:t>Model</w:t>
            </w:r>
          </w:p>
        </w:tc>
        <w:tc>
          <w:tcPr>
            <w:tcW w:w="1418" w:type="pct"/>
            <w:gridSpan w:val="3"/>
            <w:shd w:val="clear" w:color="auto" w:fill="CCCCCC"/>
            <w:vAlign w:val="center"/>
          </w:tcPr>
          <w:p w14:paraId="1E271F5B">
            <w:pPr>
              <w:spacing w:after="240"/>
              <w:jc w:val="center"/>
              <w:rPr>
                <w:rFonts w:cstheme="minorHAnsi"/>
                <w:sz w:val="18"/>
                <w:szCs w:val="18"/>
              </w:rPr>
            </w:pPr>
            <w:r>
              <w:rPr>
                <w:rFonts w:cstheme="minorHAnsi"/>
                <w:sz w:val="18"/>
                <w:szCs w:val="18"/>
              </w:rPr>
              <w:t>Key Function</w:t>
            </w:r>
          </w:p>
        </w:tc>
        <w:tc>
          <w:tcPr>
            <w:tcW w:w="434" w:type="pct"/>
            <w:vMerge w:val="restart"/>
            <w:shd w:val="clear" w:color="auto" w:fill="CCCCCC"/>
            <w:vAlign w:val="center"/>
          </w:tcPr>
          <w:p w14:paraId="5DEAB0C3">
            <w:pPr>
              <w:spacing w:after="240"/>
              <w:jc w:val="center"/>
              <w:rPr>
                <w:rFonts w:cstheme="minorHAnsi"/>
                <w:sz w:val="18"/>
                <w:szCs w:val="18"/>
              </w:rPr>
            </w:pPr>
            <w:r>
              <w:rPr>
                <w:rFonts w:cstheme="minorHAnsi"/>
                <w:sz w:val="18"/>
                <w:szCs w:val="18"/>
              </w:rPr>
              <w:t>Function</w:t>
            </w:r>
          </w:p>
          <w:p w14:paraId="0F8C065B">
            <w:pPr>
              <w:spacing w:after="240"/>
              <w:jc w:val="center"/>
              <w:rPr>
                <w:rFonts w:cstheme="minorHAnsi"/>
                <w:sz w:val="18"/>
                <w:szCs w:val="18"/>
              </w:rPr>
            </w:pPr>
            <w:r>
              <w:rPr>
                <w:rFonts w:cstheme="minorHAnsi"/>
                <w:sz w:val="18"/>
                <w:szCs w:val="18"/>
              </w:rPr>
              <w:t>show</w:t>
            </w:r>
          </w:p>
        </w:tc>
        <w:tc>
          <w:tcPr>
            <w:tcW w:w="1958" w:type="pct"/>
            <w:vMerge w:val="restart"/>
            <w:shd w:val="clear" w:color="auto" w:fill="CCCCCC"/>
            <w:vAlign w:val="center"/>
          </w:tcPr>
          <w:p w14:paraId="09DC788D">
            <w:pPr>
              <w:spacing w:after="240"/>
              <w:jc w:val="center"/>
              <w:rPr>
                <w:rFonts w:cstheme="minorHAnsi"/>
                <w:sz w:val="18"/>
                <w:szCs w:val="18"/>
              </w:rPr>
            </w:pPr>
            <w:r>
              <w:rPr>
                <w:rFonts w:cstheme="minorHAnsi"/>
                <w:sz w:val="18"/>
                <w:szCs w:val="18"/>
              </w:rPr>
              <w:t>Show, explain</w:t>
            </w:r>
          </w:p>
        </w:tc>
      </w:tr>
      <w:tr w14:paraId="2458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35" w:type="pct"/>
            <w:vMerge w:val="continue"/>
            <w:shd w:val="clear" w:color="auto" w:fill="CCCCCC"/>
            <w:vAlign w:val="center"/>
          </w:tcPr>
          <w:p w14:paraId="050692F0">
            <w:pPr>
              <w:spacing w:after="240"/>
              <w:jc w:val="center"/>
              <w:rPr>
                <w:rFonts w:cstheme="minorHAnsi"/>
                <w:sz w:val="18"/>
                <w:szCs w:val="18"/>
              </w:rPr>
            </w:pPr>
          </w:p>
        </w:tc>
        <w:tc>
          <w:tcPr>
            <w:tcW w:w="354" w:type="pct"/>
            <w:shd w:val="clear" w:color="auto" w:fill="CCCCCC"/>
            <w:vAlign w:val="center"/>
          </w:tcPr>
          <w:p w14:paraId="683FB9D5">
            <w:pPr>
              <w:spacing w:after="240"/>
              <w:jc w:val="center"/>
              <w:rPr>
                <w:rFonts w:cstheme="minorHAnsi"/>
                <w:sz w:val="18"/>
                <w:szCs w:val="18"/>
              </w:rPr>
            </w:pPr>
            <w:r>
              <w:rPr>
                <w:rFonts w:cstheme="minorHAnsi"/>
                <w:sz w:val="18"/>
                <w:szCs w:val="18"/>
              </w:rPr>
              <w:t>[M]</w:t>
            </w:r>
          </w:p>
        </w:tc>
        <w:tc>
          <w:tcPr>
            <w:tcW w:w="497" w:type="pct"/>
            <w:shd w:val="clear" w:color="auto" w:fill="CCCCCC"/>
            <w:vAlign w:val="center"/>
          </w:tcPr>
          <w:p w14:paraId="6FC90681">
            <w:pPr>
              <w:spacing w:after="240"/>
              <w:jc w:val="center"/>
              <w:rPr>
                <w:rFonts w:cstheme="minorHAnsi"/>
                <w:sz w:val="18"/>
                <w:szCs w:val="18"/>
              </w:rPr>
            </w:pPr>
            <w:r>
              <w:rPr>
                <w:rFonts w:cstheme="minorHAnsi"/>
                <w:sz w:val="18"/>
                <w:szCs w:val="18"/>
              </w:rPr>
              <w:t>[↑]</w:t>
            </w:r>
          </w:p>
        </w:tc>
        <w:tc>
          <w:tcPr>
            <w:tcW w:w="497" w:type="pct"/>
            <w:shd w:val="clear" w:color="auto" w:fill="CCCCCC"/>
            <w:vAlign w:val="center"/>
          </w:tcPr>
          <w:p w14:paraId="0E0B72CF">
            <w:pPr>
              <w:spacing w:after="240"/>
              <w:jc w:val="center"/>
              <w:rPr>
                <w:rFonts w:cstheme="minorHAnsi"/>
                <w:sz w:val="18"/>
                <w:szCs w:val="18"/>
              </w:rPr>
            </w:pPr>
            <w:r>
              <w:rPr>
                <w:rFonts w:cstheme="minorHAnsi"/>
                <w:sz w:val="18"/>
                <w:szCs w:val="18"/>
              </w:rPr>
              <w:t>[↓]</w:t>
            </w:r>
          </w:p>
        </w:tc>
        <w:tc>
          <w:tcPr>
            <w:tcW w:w="425" w:type="pct"/>
            <w:shd w:val="clear" w:color="auto" w:fill="CCCCCC"/>
            <w:vAlign w:val="center"/>
          </w:tcPr>
          <w:p w14:paraId="6840310F">
            <w:pPr>
              <w:spacing w:after="240"/>
              <w:jc w:val="center"/>
              <w:rPr>
                <w:rFonts w:cstheme="minorHAnsi"/>
                <w:sz w:val="18"/>
                <w:szCs w:val="18"/>
              </w:rPr>
            </w:pPr>
            <w:r>
              <w:rPr>
                <w:rFonts w:cstheme="minorHAnsi"/>
                <w:sz w:val="18"/>
                <w:szCs w:val="18"/>
              </w:rPr>
              <w:t>[Enter]</w:t>
            </w:r>
          </w:p>
        </w:tc>
        <w:tc>
          <w:tcPr>
            <w:tcW w:w="434" w:type="pct"/>
            <w:vMerge w:val="continue"/>
            <w:shd w:val="clear" w:color="auto" w:fill="CCCCCC"/>
            <w:vAlign w:val="center"/>
          </w:tcPr>
          <w:p w14:paraId="01A6FFB1">
            <w:pPr>
              <w:spacing w:after="240"/>
              <w:jc w:val="center"/>
              <w:rPr>
                <w:rFonts w:cstheme="minorHAnsi"/>
                <w:sz w:val="18"/>
                <w:szCs w:val="18"/>
              </w:rPr>
            </w:pPr>
          </w:p>
        </w:tc>
        <w:tc>
          <w:tcPr>
            <w:tcW w:w="1958" w:type="pct"/>
            <w:vMerge w:val="continue"/>
            <w:shd w:val="clear" w:color="auto" w:fill="CCCCCC"/>
            <w:vAlign w:val="center"/>
          </w:tcPr>
          <w:p w14:paraId="7EABEAB6">
            <w:pPr>
              <w:spacing w:after="240"/>
              <w:jc w:val="center"/>
              <w:rPr>
                <w:rFonts w:cstheme="minorHAnsi"/>
                <w:sz w:val="18"/>
                <w:szCs w:val="18"/>
              </w:rPr>
            </w:pPr>
          </w:p>
        </w:tc>
      </w:tr>
      <w:tr w14:paraId="2FA5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6765CB52">
            <w:pPr>
              <w:spacing w:after="240"/>
              <w:jc w:val="center"/>
              <w:rPr>
                <w:rFonts w:cstheme="minorHAnsi"/>
                <w:sz w:val="18"/>
                <w:szCs w:val="18"/>
              </w:rPr>
            </w:pPr>
            <w:r>
              <w:rPr>
                <w:rFonts w:cstheme="minorHAnsi"/>
                <w:sz w:val="18"/>
                <w:szCs w:val="18"/>
              </w:rPr>
              <w:t>Measurement value display</w:t>
            </w:r>
          </w:p>
        </w:tc>
        <w:tc>
          <w:tcPr>
            <w:tcW w:w="354" w:type="pct"/>
            <w:vAlign w:val="center"/>
          </w:tcPr>
          <w:p w14:paraId="4735F549">
            <w:pPr>
              <w:spacing w:after="240"/>
              <w:jc w:val="center"/>
              <w:rPr>
                <w:rFonts w:cstheme="minorHAnsi"/>
                <w:sz w:val="18"/>
                <w:szCs w:val="18"/>
              </w:rPr>
            </w:pPr>
          </w:p>
        </w:tc>
        <w:tc>
          <w:tcPr>
            <w:tcW w:w="497" w:type="pct"/>
            <w:vAlign w:val="center"/>
          </w:tcPr>
          <w:p w14:paraId="7C0FCBF4">
            <w:pPr>
              <w:spacing w:after="240"/>
              <w:jc w:val="center"/>
              <w:rPr>
                <w:rFonts w:cstheme="minorHAnsi"/>
                <w:sz w:val="18"/>
                <w:szCs w:val="18"/>
              </w:rPr>
            </w:pPr>
          </w:p>
        </w:tc>
        <w:tc>
          <w:tcPr>
            <w:tcW w:w="497" w:type="pct"/>
            <w:vAlign w:val="center"/>
          </w:tcPr>
          <w:p w14:paraId="05105910">
            <w:pPr>
              <w:spacing w:after="240"/>
              <w:jc w:val="center"/>
              <w:rPr>
                <w:rFonts w:cstheme="minorHAnsi"/>
                <w:sz w:val="18"/>
                <w:szCs w:val="18"/>
              </w:rPr>
            </w:pPr>
          </w:p>
        </w:tc>
        <w:tc>
          <w:tcPr>
            <w:tcW w:w="425" w:type="pct"/>
            <w:vAlign w:val="center"/>
          </w:tcPr>
          <w:p w14:paraId="5F357362">
            <w:pPr>
              <w:spacing w:after="240"/>
              <w:jc w:val="center"/>
              <w:rPr>
                <w:rFonts w:cstheme="minorHAnsi"/>
                <w:sz w:val="18"/>
                <w:szCs w:val="18"/>
              </w:rPr>
            </w:pPr>
          </w:p>
        </w:tc>
        <w:tc>
          <w:tcPr>
            <w:tcW w:w="434" w:type="pct"/>
            <w:vAlign w:val="center"/>
          </w:tcPr>
          <w:p w14:paraId="209855C3">
            <w:pPr>
              <w:spacing w:after="240"/>
              <w:jc w:val="center"/>
              <w:rPr>
                <w:rFonts w:cstheme="minorHAnsi"/>
                <w:sz w:val="18"/>
                <w:szCs w:val="18"/>
              </w:rPr>
            </w:pPr>
          </w:p>
        </w:tc>
        <w:tc>
          <w:tcPr>
            <w:tcW w:w="1958" w:type="pct"/>
            <w:vAlign w:val="center"/>
          </w:tcPr>
          <w:p w14:paraId="0F1EE78B">
            <w:pPr>
              <w:spacing w:after="240"/>
              <w:jc w:val="center"/>
              <w:rPr>
                <w:rFonts w:cstheme="minorHAnsi"/>
                <w:sz w:val="18"/>
                <w:szCs w:val="18"/>
              </w:rPr>
            </w:pPr>
            <w:r>
              <w:rPr>
                <w:rFonts w:cstheme="minorHAnsi"/>
                <w:sz w:val="18"/>
                <w:szCs w:val="18"/>
              </w:rPr>
              <w:t>Display the measured value selected in mode 11</w:t>
            </w:r>
          </w:p>
        </w:tc>
      </w:tr>
      <w:tr w14:paraId="4999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7B4C5433">
            <w:pPr>
              <w:spacing w:after="240"/>
              <w:jc w:val="center"/>
              <w:rPr>
                <w:rFonts w:cstheme="minorHAnsi"/>
                <w:sz w:val="18"/>
                <w:szCs w:val="18"/>
              </w:rPr>
            </w:pPr>
            <w:r>
              <w:rPr>
                <w:rFonts w:cstheme="minorHAnsi"/>
                <w:sz w:val="18"/>
                <w:szCs w:val="18"/>
              </w:rPr>
              <w:t>error display</w:t>
            </w:r>
          </w:p>
        </w:tc>
        <w:tc>
          <w:tcPr>
            <w:tcW w:w="354" w:type="pct"/>
            <w:vAlign w:val="center"/>
          </w:tcPr>
          <w:p w14:paraId="3A472D27">
            <w:pPr>
              <w:spacing w:after="240"/>
              <w:jc w:val="center"/>
              <w:rPr>
                <w:rFonts w:cstheme="minorHAnsi"/>
                <w:sz w:val="18"/>
                <w:szCs w:val="18"/>
              </w:rPr>
            </w:pPr>
          </w:p>
        </w:tc>
        <w:tc>
          <w:tcPr>
            <w:tcW w:w="497" w:type="pct"/>
            <w:vAlign w:val="center"/>
          </w:tcPr>
          <w:p w14:paraId="579BF820">
            <w:pPr>
              <w:spacing w:after="240"/>
              <w:jc w:val="center"/>
              <w:rPr>
                <w:rFonts w:cstheme="minorHAnsi"/>
                <w:sz w:val="18"/>
                <w:szCs w:val="18"/>
              </w:rPr>
            </w:pPr>
          </w:p>
        </w:tc>
        <w:tc>
          <w:tcPr>
            <w:tcW w:w="497" w:type="pct"/>
            <w:vAlign w:val="center"/>
          </w:tcPr>
          <w:p w14:paraId="158ABDFE">
            <w:pPr>
              <w:spacing w:after="240"/>
              <w:jc w:val="center"/>
              <w:rPr>
                <w:rFonts w:cstheme="minorHAnsi"/>
                <w:sz w:val="18"/>
                <w:szCs w:val="18"/>
              </w:rPr>
            </w:pPr>
          </w:p>
        </w:tc>
        <w:tc>
          <w:tcPr>
            <w:tcW w:w="425" w:type="pct"/>
            <w:vAlign w:val="center"/>
          </w:tcPr>
          <w:p w14:paraId="06A76F00">
            <w:pPr>
              <w:spacing w:after="240"/>
              <w:jc w:val="center"/>
              <w:rPr>
                <w:rFonts w:cstheme="minorHAnsi"/>
                <w:sz w:val="18"/>
                <w:szCs w:val="18"/>
              </w:rPr>
            </w:pPr>
          </w:p>
        </w:tc>
        <w:tc>
          <w:tcPr>
            <w:tcW w:w="434" w:type="pct"/>
            <w:vAlign w:val="center"/>
          </w:tcPr>
          <w:p w14:paraId="605A0F8A">
            <w:pPr>
              <w:spacing w:after="240"/>
              <w:jc w:val="center"/>
              <w:rPr>
                <w:rFonts w:cstheme="minorHAnsi"/>
                <w:sz w:val="18"/>
                <w:szCs w:val="18"/>
              </w:rPr>
            </w:pPr>
          </w:p>
        </w:tc>
        <w:tc>
          <w:tcPr>
            <w:tcW w:w="1958" w:type="pct"/>
            <w:vAlign w:val="center"/>
          </w:tcPr>
          <w:p w14:paraId="7A131857">
            <w:pPr>
              <w:spacing w:after="240"/>
              <w:jc w:val="center"/>
              <w:rPr>
                <w:rFonts w:cstheme="minorHAnsi"/>
                <w:sz w:val="18"/>
                <w:szCs w:val="18"/>
              </w:rPr>
            </w:pPr>
            <w:r>
              <w:rPr>
                <w:rFonts w:cstheme="minorHAnsi"/>
                <w:sz w:val="18"/>
                <w:szCs w:val="18"/>
              </w:rPr>
              <w:t>Mistake! When the transmitter fails, the text of the cause of the failure is displayed</w:t>
            </w:r>
          </w:p>
        </w:tc>
      </w:tr>
      <w:tr w14:paraId="03CE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2A9E94AB">
            <w:pPr>
              <w:spacing w:after="240"/>
              <w:jc w:val="center"/>
              <w:rPr>
                <w:rFonts w:cstheme="minorHAnsi"/>
                <w:sz w:val="18"/>
                <w:szCs w:val="18"/>
              </w:rPr>
            </w:pPr>
            <w:r>
              <w:rPr>
                <w:rFonts w:cstheme="minorHAnsi"/>
                <w:sz w:val="18"/>
                <w:szCs w:val="18"/>
              </w:rPr>
              <w:t>Electronic damping</w:t>
            </w:r>
          </w:p>
        </w:tc>
        <w:tc>
          <w:tcPr>
            <w:tcW w:w="354" w:type="pct"/>
            <w:vAlign w:val="center"/>
          </w:tcPr>
          <w:p w14:paraId="20BA39B1">
            <w:pPr>
              <w:spacing w:after="240"/>
              <w:jc w:val="center"/>
              <w:rPr>
                <w:rFonts w:cstheme="minorHAnsi"/>
                <w:sz w:val="18"/>
                <w:szCs w:val="18"/>
              </w:rPr>
            </w:pPr>
            <w:r>
              <w:rPr>
                <w:rFonts w:cstheme="minorHAnsi"/>
                <w:sz w:val="18"/>
                <w:szCs w:val="18"/>
              </w:rPr>
              <w:t>05</w:t>
            </w:r>
          </w:p>
        </w:tc>
        <w:tc>
          <w:tcPr>
            <w:tcW w:w="497" w:type="pct"/>
            <w:vAlign w:val="center"/>
          </w:tcPr>
          <w:p w14:paraId="2343FF6A">
            <w:pPr>
              <w:spacing w:after="240"/>
              <w:jc w:val="center"/>
              <w:rPr>
                <w:rFonts w:cstheme="minorHAnsi"/>
                <w:sz w:val="18"/>
                <w:szCs w:val="18"/>
              </w:rPr>
            </w:pPr>
            <w:r>
              <w:rPr>
                <w:rFonts w:cstheme="minorHAnsi"/>
                <w:sz w:val="18"/>
                <w:szCs w:val="18"/>
              </w:rPr>
              <w:t>increment</w:t>
            </w:r>
          </w:p>
        </w:tc>
        <w:tc>
          <w:tcPr>
            <w:tcW w:w="497" w:type="pct"/>
            <w:vAlign w:val="center"/>
          </w:tcPr>
          <w:p w14:paraId="02AA3D42">
            <w:pPr>
              <w:spacing w:after="240"/>
              <w:jc w:val="center"/>
              <w:rPr>
                <w:rFonts w:cstheme="minorHAnsi"/>
                <w:sz w:val="18"/>
                <w:szCs w:val="18"/>
              </w:rPr>
            </w:pPr>
            <w:r>
              <w:rPr>
                <w:rFonts w:cstheme="minorHAnsi"/>
                <w:sz w:val="18"/>
                <w:szCs w:val="18"/>
              </w:rPr>
              <w:t>Decrease</w:t>
            </w:r>
          </w:p>
        </w:tc>
        <w:tc>
          <w:tcPr>
            <w:tcW w:w="425" w:type="pct"/>
            <w:vAlign w:val="center"/>
          </w:tcPr>
          <w:p w14:paraId="57FCC5D9">
            <w:pPr>
              <w:spacing w:after="240"/>
              <w:jc w:val="center"/>
              <w:rPr>
                <w:rFonts w:cstheme="minorHAnsi"/>
                <w:sz w:val="18"/>
                <w:szCs w:val="18"/>
              </w:rPr>
            </w:pPr>
          </w:p>
        </w:tc>
        <w:tc>
          <w:tcPr>
            <w:tcW w:w="434" w:type="pct"/>
            <w:vAlign w:val="center"/>
          </w:tcPr>
          <w:p w14:paraId="173EEA82">
            <w:pPr>
              <w:spacing w:after="240"/>
              <w:jc w:val="center"/>
              <w:rPr>
                <w:rFonts w:cstheme="minorHAnsi"/>
                <w:sz w:val="18"/>
                <w:szCs w:val="18"/>
              </w:rPr>
            </w:pPr>
            <w:r>
              <w:rPr>
                <w:rFonts w:cstheme="minorHAnsi"/>
                <w:sz w:val="18"/>
                <w:szCs w:val="18"/>
              </w:rPr>
              <w:t>Fun05</w:t>
            </w:r>
          </w:p>
          <w:p w14:paraId="63B72B15">
            <w:pPr>
              <w:spacing w:after="240"/>
              <w:jc w:val="center"/>
              <w:rPr>
                <w:rFonts w:cstheme="minorHAnsi"/>
                <w:sz w:val="18"/>
                <w:szCs w:val="18"/>
              </w:rPr>
            </w:pPr>
            <w:r>
              <w:rPr>
                <w:rFonts w:cstheme="minorHAnsi"/>
                <w:sz w:val="18"/>
                <w:szCs w:val="18"/>
              </w:rPr>
              <w:t>DAMP</w:t>
            </w:r>
          </w:p>
        </w:tc>
        <w:tc>
          <w:tcPr>
            <w:tcW w:w="1958" w:type="pct"/>
            <w:vAlign w:val="center"/>
          </w:tcPr>
          <w:p w14:paraId="04FCA4C4">
            <w:pPr>
              <w:spacing w:after="240"/>
              <w:jc w:val="center"/>
              <w:rPr>
                <w:rFonts w:cstheme="minorHAnsi"/>
                <w:sz w:val="18"/>
                <w:szCs w:val="18"/>
              </w:rPr>
            </w:pPr>
            <w:r>
              <w:rPr>
                <w:rFonts w:cstheme="minorHAnsi"/>
                <w:sz w:val="18"/>
                <w:szCs w:val="18"/>
              </w:rPr>
              <w:t>Time constant in seconds</w:t>
            </w:r>
          </w:p>
          <w:p w14:paraId="6B49A866">
            <w:pPr>
              <w:spacing w:after="240"/>
              <w:jc w:val="center"/>
              <w:rPr>
                <w:rFonts w:cstheme="minorHAnsi"/>
                <w:sz w:val="18"/>
                <w:szCs w:val="18"/>
              </w:rPr>
            </w:pPr>
            <w:r>
              <w:rPr>
                <w:rFonts w:cstheme="minorHAnsi"/>
                <w:sz w:val="18"/>
                <w:szCs w:val="18"/>
              </w:rPr>
              <w:t>Setting range: 0.0 to 32.0</w:t>
            </w:r>
          </w:p>
        </w:tc>
      </w:tr>
      <w:tr w14:paraId="39D5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1CDC650E">
            <w:pPr>
              <w:spacing w:after="240"/>
              <w:jc w:val="center"/>
              <w:rPr>
                <w:rFonts w:cstheme="minorHAnsi"/>
                <w:sz w:val="18"/>
                <w:szCs w:val="18"/>
              </w:rPr>
            </w:pPr>
            <w:r>
              <w:rPr>
                <w:rFonts w:cstheme="minorHAnsi"/>
                <w:sz w:val="18"/>
                <w:szCs w:val="18"/>
              </w:rPr>
              <w:t>Measured value display source</w:t>
            </w:r>
          </w:p>
        </w:tc>
        <w:tc>
          <w:tcPr>
            <w:tcW w:w="354" w:type="pct"/>
            <w:vAlign w:val="center"/>
          </w:tcPr>
          <w:p w14:paraId="4E1D8188">
            <w:pPr>
              <w:spacing w:after="240"/>
              <w:jc w:val="center"/>
              <w:rPr>
                <w:rFonts w:cstheme="minorHAnsi"/>
                <w:sz w:val="18"/>
                <w:szCs w:val="18"/>
              </w:rPr>
            </w:pPr>
            <w:r>
              <w:rPr>
                <w:rFonts w:cstheme="minorHAnsi"/>
                <w:sz w:val="18"/>
                <w:szCs w:val="18"/>
              </w:rPr>
              <w:t>11</w:t>
            </w:r>
          </w:p>
        </w:tc>
        <w:tc>
          <w:tcPr>
            <w:tcW w:w="994" w:type="pct"/>
            <w:gridSpan w:val="2"/>
            <w:vAlign w:val="center"/>
          </w:tcPr>
          <w:p w14:paraId="5CFF2821">
            <w:pPr>
              <w:spacing w:after="240"/>
              <w:jc w:val="center"/>
              <w:rPr>
                <w:rFonts w:cstheme="minorHAnsi"/>
                <w:sz w:val="18"/>
                <w:szCs w:val="18"/>
              </w:rPr>
            </w:pPr>
            <w:r>
              <w:rPr>
                <w:rFonts w:cstheme="minorHAnsi"/>
                <w:sz w:val="18"/>
                <w:szCs w:val="18"/>
              </w:rPr>
              <w:t>Choose from a variety of possibilities</w:t>
            </w:r>
          </w:p>
        </w:tc>
        <w:tc>
          <w:tcPr>
            <w:tcW w:w="425" w:type="pct"/>
            <w:vAlign w:val="center"/>
          </w:tcPr>
          <w:p w14:paraId="43B35F24">
            <w:pPr>
              <w:spacing w:after="240"/>
              <w:jc w:val="center"/>
              <w:rPr>
                <w:rFonts w:cstheme="minorHAnsi"/>
                <w:sz w:val="18"/>
                <w:szCs w:val="18"/>
              </w:rPr>
            </w:pPr>
          </w:p>
        </w:tc>
        <w:tc>
          <w:tcPr>
            <w:tcW w:w="434" w:type="pct"/>
            <w:vAlign w:val="center"/>
          </w:tcPr>
          <w:p w14:paraId="5355CA29">
            <w:pPr>
              <w:spacing w:after="240"/>
              <w:jc w:val="center"/>
              <w:rPr>
                <w:rFonts w:cstheme="minorHAnsi"/>
                <w:sz w:val="18"/>
                <w:szCs w:val="18"/>
              </w:rPr>
            </w:pPr>
            <w:r>
              <w:rPr>
                <w:rFonts w:cstheme="minorHAnsi"/>
                <w:sz w:val="18"/>
                <w:szCs w:val="18"/>
              </w:rPr>
              <w:t>Fun11</w:t>
            </w:r>
          </w:p>
          <w:p w14:paraId="1D3957D2">
            <w:pPr>
              <w:spacing w:after="240"/>
              <w:jc w:val="center"/>
              <w:rPr>
                <w:rFonts w:cstheme="minorHAnsi"/>
                <w:sz w:val="18"/>
                <w:szCs w:val="18"/>
              </w:rPr>
            </w:pPr>
            <w:r>
              <w:rPr>
                <w:rFonts w:cstheme="minorHAnsi"/>
                <w:sz w:val="18"/>
                <w:szCs w:val="18"/>
              </w:rPr>
              <w:t>DISP</w:t>
            </w:r>
          </w:p>
        </w:tc>
        <w:tc>
          <w:tcPr>
            <w:tcW w:w="1958" w:type="pct"/>
            <w:vAlign w:val="center"/>
          </w:tcPr>
          <w:p w14:paraId="3BEACD5C">
            <w:pPr>
              <w:spacing w:after="240"/>
              <w:jc w:val="center"/>
              <w:rPr>
                <w:rFonts w:cstheme="minorHAnsi"/>
                <w:sz w:val="18"/>
                <w:szCs w:val="18"/>
              </w:rPr>
            </w:pPr>
            <w:r>
              <w:rPr>
                <w:rFonts w:cstheme="minorHAnsi"/>
                <w:sz w:val="18"/>
                <w:szCs w:val="18"/>
              </w:rPr>
              <w:t>Display the desired measurement result</w:t>
            </w:r>
          </w:p>
        </w:tc>
      </w:tr>
      <w:tr w14:paraId="6CCB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3E59B725">
            <w:pPr>
              <w:spacing w:after="240"/>
              <w:jc w:val="center"/>
              <w:rPr>
                <w:rFonts w:cstheme="minorHAnsi"/>
                <w:sz w:val="18"/>
                <w:szCs w:val="18"/>
              </w:rPr>
            </w:pPr>
            <w:r>
              <w:rPr>
                <w:rFonts w:cstheme="minorHAnsi"/>
                <w:sz w:val="18"/>
                <w:szCs w:val="18"/>
              </w:rPr>
              <w:t>unit of physical quantity</w:t>
            </w:r>
          </w:p>
        </w:tc>
        <w:tc>
          <w:tcPr>
            <w:tcW w:w="354" w:type="pct"/>
            <w:vAlign w:val="center"/>
          </w:tcPr>
          <w:p w14:paraId="12D3CF46">
            <w:pPr>
              <w:spacing w:after="240"/>
              <w:jc w:val="center"/>
              <w:rPr>
                <w:rFonts w:cstheme="minorHAnsi"/>
                <w:sz w:val="18"/>
                <w:szCs w:val="18"/>
              </w:rPr>
            </w:pPr>
            <w:r>
              <w:rPr>
                <w:rFonts w:cstheme="minorHAnsi"/>
                <w:sz w:val="18"/>
                <w:szCs w:val="18"/>
              </w:rPr>
              <w:t>12</w:t>
            </w:r>
          </w:p>
        </w:tc>
        <w:tc>
          <w:tcPr>
            <w:tcW w:w="994" w:type="pct"/>
            <w:gridSpan w:val="2"/>
            <w:vAlign w:val="center"/>
          </w:tcPr>
          <w:p w14:paraId="62C3792F">
            <w:pPr>
              <w:spacing w:after="240"/>
              <w:jc w:val="center"/>
              <w:rPr>
                <w:rFonts w:cstheme="minorHAnsi"/>
                <w:sz w:val="18"/>
                <w:szCs w:val="18"/>
              </w:rPr>
            </w:pPr>
            <w:r>
              <w:rPr>
                <w:rFonts w:cstheme="minorHAnsi"/>
                <w:sz w:val="18"/>
                <w:szCs w:val="18"/>
              </w:rPr>
              <w:t>choose</w:t>
            </w:r>
          </w:p>
        </w:tc>
        <w:tc>
          <w:tcPr>
            <w:tcW w:w="425" w:type="pct"/>
            <w:vAlign w:val="center"/>
          </w:tcPr>
          <w:p w14:paraId="000CE83B">
            <w:pPr>
              <w:spacing w:after="240"/>
              <w:jc w:val="center"/>
              <w:rPr>
                <w:rFonts w:cstheme="minorHAnsi"/>
                <w:sz w:val="18"/>
                <w:szCs w:val="18"/>
              </w:rPr>
            </w:pPr>
          </w:p>
        </w:tc>
        <w:tc>
          <w:tcPr>
            <w:tcW w:w="434" w:type="pct"/>
            <w:vAlign w:val="center"/>
          </w:tcPr>
          <w:p w14:paraId="0A35BEFB">
            <w:pPr>
              <w:spacing w:after="240"/>
              <w:jc w:val="center"/>
              <w:rPr>
                <w:rFonts w:cstheme="minorHAnsi"/>
                <w:sz w:val="18"/>
                <w:szCs w:val="18"/>
              </w:rPr>
            </w:pPr>
            <w:r>
              <w:rPr>
                <w:rFonts w:cstheme="minorHAnsi"/>
                <w:sz w:val="18"/>
                <w:szCs w:val="18"/>
              </w:rPr>
              <w:t>Fun12</w:t>
            </w:r>
          </w:p>
          <w:p w14:paraId="4AEC68B8">
            <w:pPr>
              <w:spacing w:after="240"/>
              <w:jc w:val="center"/>
              <w:rPr>
                <w:rFonts w:cstheme="minorHAnsi"/>
                <w:sz w:val="18"/>
                <w:szCs w:val="18"/>
              </w:rPr>
            </w:pPr>
            <w:r>
              <w:rPr>
                <w:rFonts w:cstheme="minorHAnsi"/>
                <w:sz w:val="18"/>
                <w:szCs w:val="18"/>
              </w:rPr>
              <w:t>UNIT</w:t>
            </w:r>
          </w:p>
        </w:tc>
        <w:tc>
          <w:tcPr>
            <w:tcW w:w="1958" w:type="pct"/>
            <w:vAlign w:val="center"/>
          </w:tcPr>
          <w:p w14:paraId="6A7A318D">
            <w:pPr>
              <w:spacing w:after="240"/>
              <w:jc w:val="center"/>
              <w:rPr>
                <w:rFonts w:cstheme="minorHAnsi"/>
                <w:sz w:val="18"/>
                <w:szCs w:val="18"/>
              </w:rPr>
            </w:pPr>
            <w:r>
              <w:rPr>
                <w:rFonts w:cstheme="minorHAnsi"/>
                <w:sz w:val="18"/>
                <w:szCs w:val="18"/>
              </w:rPr>
              <w:t>unit of physical quantity</w:t>
            </w:r>
          </w:p>
        </w:tc>
      </w:tr>
      <w:tr w14:paraId="12A9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6641A05F">
            <w:pPr>
              <w:spacing w:after="240"/>
              <w:jc w:val="center"/>
              <w:rPr>
                <w:rFonts w:cstheme="minorHAnsi"/>
                <w:sz w:val="18"/>
                <w:szCs w:val="18"/>
              </w:rPr>
            </w:pPr>
            <w:r>
              <w:rPr>
                <w:rFonts w:cstheme="minorHAnsi"/>
                <w:sz w:val="18"/>
                <w:szCs w:val="18"/>
              </w:rPr>
              <w:t>Bus address</w:t>
            </w:r>
          </w:p>
        </w:tc>
        <w:tc>
          <w:tcPr>
            <w:tcW w:w="354" w:type="pct"/>
            <w:vAlign w:val="center"/>
          </w:tcPr>
          <w:p w14:paraId="7EB24C3A">
            <w:pPr>
              <w:spacing w:after="240"/>
              <w:jc w:val="center"/>
              <w:rPr>
                <w:rFonts w:cstheme="minorHAnsi"/>
                <w:sz w:val="18"/>
                <w:szCs w:val="18"/>
              </w:rPr>
            </w:pPr>
            <w:r>
              <w:rPr>
                <w:rFonts w:cstheme="minorHAnsi"/>
                <w:sz w:val="18"/>
                <w:szCs w:val="18"/>
              </w:rPr>
              <w:t>13</w:t>
            </w:r>
          </w:p>
        </w:tc>
        <w:tc>
          <w:tcPr>
            <w:tcW w:w="497" w:type="pct"/>
            <w:vAlign w:val="center"/>
          </w:tcPr>
          <w:p w14:paraId="1923469B">
            <w:pPr>
              <w:spacing w:after="240"/>
              <w:jc w:val="center"/>
              <w:rPr>
                <w:rFonts w:cstheme="minorHAnsi"/>
                <w:sz w:val="18"/>
                <w:szCs w:val="18"/>
              </w:rPr>
            </w:pPr>
            <w:r>
              <w:rPr>
                <w:rFonts w:cstheme="minorHAnsi"/>
                <w:sz w:val="18"/>
                <w:szCs w:val="18"/>
              </w:rPr>
              <w:t>increase</w:t>
            </w:r>
          </w:p>
        </w:tc>
        <w:tc>
          <w:tcPr>
            <w:tcW w:w="497" w:type="pct"/>
            <w:vAlign w:val="center"/>
          </w:tcPr>
          <w:p w14:paraId="795873C2">
            <w:pPr>
              <w:spacing w:after="240"/>
              <w:jc w:val="center"/>
              <w:rPr>
                <w:rFonts w:cstheme="minorHAnsi"/>
                <w:sz w:val="18"/>
                <w:szCs w:val="18"/>
              </w:rPr>
            </w:pPr>
            <w:r>
              <w:rPr>
                <w:rFonts w:cstheme="minorHAnsi"/>
                <w:sz w:val="18"/>
                <w:szCs w:val="18"/>
              </w:rPr>
              <w:t>reduce</w:t>
            </w:r>
          </w:p>
        </w:tc>
        <w:tc>
          <w:tcPr>
            <w:tcW w:w="425" w:type="pct"/>
            <w:vAlign w:val="center"/>
          </w:tcPr>
          <w:p w14:paraId="515DD64E">
            <w:pPr>
              <w:spacing w:after="240"/>
              <w:jc w:val="center"/>
              <w:rPr>
                <w:rFonts w:cstheme="minorHAnsi"/>
                <w:sz w:val="18"/>
                <w:szCs w:val="18"/>
              </w:rPr>
            </w:pPr>
            <w:r>
              <w:rPr>
                <w:rFonts w:cstheme="minorHAnsi"/>
                <w:sz w:val="18"/>
                <w:szCs w:val="18"/>
              </w:rPr>
              <w:t>implement</w:t>
            </w:r>
          </w:p>
        </w:tc>
        <w:tc>
          <w:tcPr>
            <w:tcW w:w="434" w:type="pct"/>
            <w:vAlign w:val="center"/>
          </w:tcPr>
          <w:p w14:paraId="17F35FDB">
            <w:pPr>
              <w:spacing w:after="240"/>
              <w:jc w:val="center"/>
              <w:rPr>
                <w:rFonts w:cstheme="minorHAnsi"/>
                <w:sz w:val="18"/>
                <w:szCs w:val="18"/>
              </w:rPr>
            </w:pPr>
            <w:r>
              <w:rPr>
                <w:rFonts w:cstheme="minorHAnsi"/>
                <w:sz w:val="18"/>
                <w:szCs w:val="18"/>
              </w:rPr>
              <w:t>Fun13</w:t>
            </w:r>
          </w:p>
          <w:p w14:paraId="6EB10F26">
            <w:pPr>
              <w:spacing w:after="240"/>
              <w:jc w:val="center"/>
              <w:rPr>
                <w:rFonts w:cstheme="minorHAnsi"/>
                <w:sz w:val="18"/>
                <w:szCs w:val="18"/>
              </w:rPr>
            </w:pPr>
            <w:r>
              <w:rPr>
                <w:rFonts w:cstheme="minorHAnsi"/>
                <w:sz w:val="18"/>
                <w:szCs w:val="18"/>
              </w:rPr>
              <w:t>ADDR</w:t>
            </w:r>
          </w:p>
        </w:tc>
        <w:tc>
          <w:tcPr>
            <w:tcW w:w="1958" w:type="pct"/>
            <w:vAlign w:val="center"/>
          </w:tcPr>
          <w:p w14:paraId="199F26A8">
            <w:pPr>
              <w:spacing w:after="240"/>
              <w:jc w:val="center"/>
              <w:rPr>
                <w:rFonts w:cstheme="minorHAnsi"/>
                <w:sz w:val="18"/>
                <w:szCs w:val="18"/>
              </w:rPr>
            </w:pPr>
            <w:r>
              <w:rPr>
                <w:rFonts w:cstheme="minorHAnsi"/>
                <w:sz w:val="18"/>
                <w:szCs w:val="18"/>
              </w:rPr>
              <w:t>User address on PROFIBUS</w:t>
            </w:r>
          </w:p>
          <w:p w14:paraId="099ACCA2">
            <w:pPr>
              <w:spacing w:after="240"/>
              <w:jc w:val="center"/>
              <w:rPr>
                <w:rFonts w:cstheme="minorHAnsi"/>
                <w:sz w:val="18"/>
                <w:szCs w:val="18"/>
              </w:rPr>
            </w:pPr>
            <w:r>
              <w:rPr>
                <w:rFonts w:cstheme="minorHAnsi"/>
                <w:sz w:val="18"/>
                <w:szCs w:val="18"/>
              </w:rPr>
              <w:t>(0…126)</w:t>
            </w:r>
          </w:p>
        </w:tc>
      </w:tr>
      <w:tr w14:paraId="6FED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7AADD2FD">
            <w:pPr>
              <w:spacing w:after="240"/>
              <w:jc w:val="center"/>
              <w:rPr>
                <w:rFonts w:cstheme="minorHAnsi"/>
                <w:sz w:val="18"/>
                <w:szCs w:val="18"/>
              </w:rPr>
            </w:pPr>
            <w:r>
              <w:rPr>
                <w:rFonts w:cstheme="minorHAnsi"/>
                <w:sz w:val="18"/>
                <w:szCs w:val="18"/>
              </w:rPr>
              <w:t>Decimal point</w:t>
            </w:r>
          </w:p>
        </w:tc>
        <w:tc>
          <w:tcPr>
            <w:tcW w:w="354" w:type="pct"/>
            <w:vAlign w:val="center"/>
          </w:tcPr>
          <w:p w14:paraId="798425A6">
            <w:pPr>
              <w:spacing w:after="240"/>
              <w:jc w:val="center"/>
              <w:rPr>
                <w:rFonts w:cstheme="minorHAnsi"/>
                <w:sz w:val="18"/>
                <w:szCs w:val="18"/>
              </w:rPr>
            </w:pPr>
            <w:r>
              <w:rPr>
                <w:rFonts w:cstheme="minorHAnsi"/>
                <w:sz w:val="18"/>
                <w:szCs w:val="18"/>
              </w:rPr>
              <w:t>14</w:t>
            </w:r>
          </w:p>
        </w:tc>
        <w:tc>
          <w:tcPr>
            <w:tcW w:w="994" w:type="pct"/>
            <w:gridSpan w:val="2"/>
            <w:vAlign w:val="center"/>
          </w:tcPr>
          <w:p w14:paraId="5DA54751">
            <w:pPr>
              <w:spacing w:after="240"/>
              <w:jc w:val="center"/>
              <w:rPr>
                <w:rFonts w:cstheme="minorHAnsi"/>
                <w:sz w:val="18"/>
                <w:szCs w:val="18"/>
              </w:rPr>
            </w:pPr>
            <w:r>
              <w:rPr>
                <w:rFonts w:cstheme="minorHAnsi"/>
                <w:sz w:val="18"/>
                <w:szCs w:val="18"/>
              </w:rPr>
              <w:t>Revise</w:t>
            </w:r>
          </w:p>
        </w:tc>
        <w:tc>
          <w:tcPr>
            <w:tcW w:w="425" w:type="pct"/>
            <w:vAlign w:val="center"/>
          </w:tcPr>
          <w:p w14:paraId="28ADCB90">
            <w:pPr>
              <w:spacing w:after="240"/>
              <w:jc w:val="center"/>
              <w:rPr>
                <w:rFonts w:cstheme="minorHAnsi"/>
                <w:sz w:val="18"/>
                <w:szCs w:val="18"/>
              </w:rPr>
            </w:pPr>
          </w:p>
        </w:tc>
        <w:tc>
          <w:tcPr>
            <w:tcW w:w="434" w:type="pct"/>
            <w:vAlign w:val="center"/>
          </w:tcPr>
          <w:p w14:paraId="2E6724B0">
            <w:pPr>
              <w:spacing w:after="240"/>
              <w:jc w:val="center"/>
              <w:rPr>
                <w:rFonts w:cstheme="minorHAnsi"/>
                <w:sz w:val="18"/>
                <w:szCs w:val="18"/>
              </w:rPr>
            </w:pPr>
            <w:r>
              <w:rPr>
                <w:rFonts w:cstheme="minorHAnsi"/>
                <w:sz w:val="18"/>
                <w:szCs w:val="18"/>
              </w:rPr>
              <w:t>Fun14</w:t>
            </w:r>
          </w:p>
          <w:p w14:paraId="45F73174">
            <w:pPr>
              <w:spacing w:after="240"/>
              <w:jc w:val="center"/>
              <w:rPr>
                <w:rFonts w:cstheme="minorHAnsi"/>
                <w:sz w:val="18"/>
                <w:szCs w:val="18"/>
              </w:rPr>
            </w:pPr>
            <w:r>
              <w:rPr>
                <w:rFonts w:cstheme="minorHAnsi"/>
                <w:sz w:val="18"/>
                <w:szCs w:val="18"/>
              </w:rPr>
              <w:t>DECPT</w:t>
            </w:r>
          </w:p>
        </w:tc>
        <w:tc>
          <w:tcPr>
            <w:tcW w:w="1958" w:type="pct"/>
            <w:vAlign w:val="center"/>
          </w:tcPr>
          <w:p w14:paraId="37310DDA">
            <w:pPr>
              <w:spacing w:after="240"/>
              <w:jc w:val="center"/>
              <w:rPr>
                <w:rFonts w:cstheme="minorHAnsi"/>
                <w:sz w:val="18"/>
                <w:szCs w:val="18"/>
              </w:rPr>
            </w:pPr>
            <w:r>
              <w:rPr>
                <w:rFonts w:cstheme="minorHAnsi"/>
                <w:sz w:val="18"/>
                <w:szCs w:val="18"/>
              </w:rPr>
              <w:t>Position of decimal point in display area</w:t>
            </w:r>
          </w:p>
        </w:tc>
      </w:tr>
      <w:tr w14:paraId="5D3D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791BCBD7">
            <w:pPr>
              <w:spacing w:after="240"/>
              <w:jc w:val="center"/>
              <w:rPr>
                <w:rFonts w:cstheme="minorHAnsi"/>
                <w:sz w:val="18"/>
                <w:szCs w:val="18"/>
              </w:rPr>
            </w:pPr>
            <w:r>
              <w:rPr>
                <w:rFonts w:cstheme="minorHAnsi"/>
                <w:sz w:val="18"/>
                <w:szCs w:val="18"/>
              </w:rPr>
              <w:t>Main variable zero</w:t>
            </w:r>
          </w:p>
        </w:tc>
        <w:tc>
          <w:tcPr>
            <w:tcW w:w="354" w:type="pct"/>
            <w:vAlign w:val="center"/>
          </w:tcPr>
          <w:p w14:paraId="3A67DDD5">
            <w:pPr>
              <w:spacing w:after="240"/>
              <w:jc w:val="center"/>
              <w:rPr>
                <w:rFonts w:cstheme="minorHAnsi"/>
                <w:sz w:val="18"/>
                <w:szCs w:val="18"/>
              </w:rPr>
            </w:pPr>
            <w:r>
              <w:rPr>
                <w:rFonts w:cstheme="minorHAnsi"/>
                <w:sz w:val="18"/>
                <w:szCs w:val="18"/>
              </w:rPr>
              <w:t>08</w:t>
            </w:r>
          </w:p>
        </w:tc>
        <w:tc>
          <w:tcPr>
            <w:tcW w:w="497" w:type="pct"/>
            <w:vAlign w:val="center"/>
          </w:tcPr>
          <w:p w14:paraId="3DB60F6B">
            <w:pPr>
              <w:spacing w:after="240"/>
              <w:jc w:val="center"/>
              <w:rPr>
                <w:rFonts w:cstheme="minorHAnsi"/>
                <w:sz w:val="18"/>
                <w:szCs w:val="18"/>
              </w:rPr>
            </w:pPr>
            <w:r>
              <w:rPr>
                <w:rFonts w:cstheme="minorHAnsi"/>
                <w:sz w:val="18"/>
                <w:szCs w:val="18"/>
              </w:rPr>
              <w:t>——</w:t>
            </w:r>
          </w:p>
        </w:tc>
        <w:tc>
          <w:tcPr>
            <w:tcW w:w="497" w:type="pct"/>
            <w:vAlign w:val="center"/>
          </w:tcPr>
          <w:p w14:paraId="0C7A49F3">
            <w:pPr>
              <w:spacing w:after="240"/>
              <w:jc w:val="center"/>
              <w:rPr>
                <w:rFonts w:cstheme="minorHAnsi"/>
                <w:sz w:val="18"/>
                <w:szCs w:val="18"/>
              </w:rPr>
            </w:pPr>
            <w:r>
              <w:rPr>
                <w:rFonts w:cstheme="minorHAnsi"/>
                <w:sz w:val="18"/>
                <w:szCs w:val="18"/>
              </w:rPr>
              <w:t>——</w:t>
            </w:r>
          </w:p>
        </w:tc>
        <w:tc>
          <w:tcPr>
            <w:tcW w:w="425" w:type="pct"/>
            <w:vAlign w:val="center"/>
          </w:tcPr>
          <w:p w14:paraId="4A73AD18">
            <w:pPr>
              <w:spacing w:after="240"/>
              <w:jc w:val="center"/>
              <w:rPr>
                <w:rFonts w:cstheme="minorHAnsi"/>
                <w:sz w:val="18"/>
                <w:szCs w:val="18"/>
              </w:rPr>
            </w:pPr>
            <w:r>
              <w:rPr>
                <w:rFonts w:cstheme="minorHAnsi"/>
                <w:sz w:val="18"/>
                <w:szCs w:val="18"/>
              </w:rPr>
              <w:t>implement</w:t>
            </w:r>
          </w:p>
          <w:p w14:paraId="52C445F0">
            <w:pPr>
              <w:spacing w:after="240"/>
              <w:jc w:val="center"/>
              <w:rPr>
                <w:rFonts w:cstheme="minorHAnsi"/>
                <w:sz w:val="18"/>
                <w:szCs w:val="18"/>
              </w:rPr>
            </w:pPr>
            <w:r>
              <w:rPr>
                <w:rFonts w:cstheme="minorHAnsi"/>
                <w:sz w:val="18"/>
                <w:szCs w:val="18"/>
              </w:rPr>
              <w:t>calibration</w:t>
            </w:r>
          </w:p>
        </w:tc>
        <w:tc>
          <w:tcPr>
            <w:tcW w:w="434" w:type="pct"/>
            <w:vAlign w:val="center"/>
          </w:tcPr>
          <w:p w14:paraId="4EBBE852">
            <w:pPr>
              <w:spacing w:after="240"/>
              <w:jc w:val="center"/>
              <w:rPr>
                <w:rFonts w:cstheme="minorHAnsi"/>
                <w:sz w:val="18"/>
                <w:szCs w:val="18"/>
              </w:rPr>
            </w:pPr>
            <w:r>
              <w:rPr>
                <w:rFonts w:cstheme="minorHAnsi"/>
                <w:sz w:val="18"/>
                <w:szCs w:val="18"/>
              </w:rPr>
              <w:t>Fun08</w:t>
            </w:r>
          </w:p>
          <w:p w14:paraId="19CC6D5B">
            <w:pPr>
              <w:spacing w:after="240"/>
              <w:jc w:val="center"/>
              <w:rPr>
                <w:rFonts w:cstheme="minorHAnsi"/>
                <w:sz w:val="18"/>
                <w:szCs w:val="18"/>
              </w:rPr>
            </w:pPr>
            <w:r>
              <w:rPr>
                <w:rFonts w:cstheme="minorHAnsi"/>
                <w:sz w:val="18"/>
                <w:szCs w:val="18"/>
              </w:rPr>
              <w:t>ZERO</w:t>
            </w:r>
          </w:p>
        </w:tc>
        <w:tc>
          <w:tcPr>
            <w:tcW w:w="1958" w:type="pct"/>
            <w:vAlign w:val="center"/>
          </w:tcPr>
          <w:p w14:paraId="528BEE2F">
            <w:pPr>
              <w:spacing w:after="240"/>
              <w:jc w:val="center"/>
              <w:rPr>
                <w:rFonts w:cstheme="minorHAnsi"/>
                <w:sz w:val="18"/>
                <w:szCs w:val="18"/>
              </w:rPr>
            </w:pPr>
            <w:r>
              <w:rPr>
                <w:rFonts w:cstheme="minorHAnsi"/>
                <w:sz w:val="18"/>
                <w:szCs w:val="18"/>
              </w:rPr>
              <w:t>Empty the pressure, differential pressure, flow, liquid level transmitters, and vacuum the absolute pressure transmitters, and the unit of measurement is the pressure unit</w:t>
            </w:r>
          </w:p>
        </w:tc>
      </w:tr>
      <w:tr w14:paraId="7323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18CF5269">
            <w:pPr>
              <w:spacing w:after="240"/>
              <w:jc w:val="center"/>
              <w:rPr>
                <w:rFonts w:cstheme="minorHAnsi"/>
                <w:sz w:val="18"/>
                <w:szCs w:val="18"/>
              </w:rPr>
            </w:pPr>
            <w:r>
              <w:rPr>
                <w:rFonts w:cstheme="minorHAnsi"/>
                <w:sz w:val="18"/>
                <w:szCs w:val="18"/>
              </w:rPr>
              <w:t>Lower range limit</w:t>
            </w:r>
          </w:p>
        </w:tc>
        <w:tc>
          <w:tcPr>
            <w:tcW w:w="354" w:type="pct"/>
            <w:vAlign w:val="center"/>
          </w:tcPr>
          <w:p w14:paraId="64994DA0">
            <w:pPr>
              <w:spacing w:after="240"/>
              <w:jc w:val="center"/>
              <w:rPr>
                <w:rFonts w:cstheme="minorHAnsi"/>
                <w:sz w:val="18"/>
                <w:szCs w:val="18"/>
              </w:rPr>
            </w:pPr>
            <w:r>
              <w:rPr>
                <w:rFonts w:cstheme="minorHAnsi"/>
                <w:sz w:val="18"/>
                <w:szCs w:val="18"/>
              </w:rPr>
              <w:t>16</w:t>
            </w:r>
          </w:p>
        </w:tc>
        <w:tc>
          <w:tcPr>
            <w:tcW w:w="497" w:type="pct"/>
            <w:vAlign w:val="center"/>
          </w:tcPr>
          <w:p w14:paraId="6843D7E7">
            <w:pPr>
              <w:spacing w:after="240"/>
              <w:jc w:val="center"/>
              <w:rPr>
                <w:rFonts w:cstheme="minorHAnsi"/>
                <w:sz w:val="18"/>
                <w:szCs w:val="18"/>
              </w:rPr>
            </w:pPr>
            <w:r>
              <w:rPr>
                <w:rFonts w:cstheme="minorHAnsi"/>
                <w:sz w:val="18"/>
                <w:szCs w:val="18"/>
              </w:rPr>
              <w:t>Default increase</w:t>
            </w:r>
          </w:p>
        </w:tc>
        <w:tc>
          <w:tcPr>
            <w:tcW w:w="497" w:type="pct"/>
            <w:vAlign w:val="center"/>
          </w:tcPr>
          <w:p w14:paraId="0DBE9E86">
            <w:pPr>
              <w:spacing w:after="240"/>
              <w:jc w:val="center"/>
              <w:rPr>
                <w:rFonts w:cstheme="minorHAnsi"/>
                <w:sz w:val="18"/>
                <w:szCs w:val="18"/>
              </w:rPr>
            </w:pPr>
            <w:r>
              <w:rPr>
                <w:rFonts w:cstheme="minorHAnsi"/>
                <w:sz w:val="18"/>
                <w:szCs w:val="18"/>
              </w:rPr>
              <w:t>Preset reduction</w:t>
            </w:r>
          </w:p>
        </w:tc>
        <w:tc>
          <w:tcPr>
            <w:tcW w:w="425" w:type="pct"/>
            <w:vAlign w:val="center"/>
          </w:tcPr>
          <w:p w14:paraId="64D439D8">
            <w:pPr>
              <w:spacing w:after="240"/>
              <w:jc w:val="center"/>
              <w:rPr>
                <w:rFonts w:cstheme="minorHAnsi"/>
                <w:sz w:val="18"/>
                <w:szCs w:val="18"/>
              </w:rPr>
            </w:pPr>
            <w:r>
              <w:rPr>
                <w:rFonts w:cstheme="minorHAnsi"/>
                <w:sz w:val="18"/>
                <w:szCs w:val="18"/>
              </w:rPr>
              <w:t>implement</w:t>
            </w:r>
          </w:p>
        </w:tc>
        <w:tc>
          <w:tcPr>
            <w:tcW w:w="434" w:type="pct"/>
            <w:vAlign w:val="center"/>
          </w:tcPr>
          <w:p w14:paraId="3CBBF207">
            <w:pPr>
              <w:spacing w:after="240"/>
              <w:jc w:val="center"/>
              <w:rPr>
                <w:rFonts w:cstheme="minorHAnsi"/>
                <w:sz w:val="18"/>
                <w:szCs w:val="18"/>
              </w:rPr>
            </w:pPr>
            <w:r>
              <w:rPr>
                <w:rFonts w:cstheme="minorHAnsi"/>
                <w:sz w:val="18"/>
                <w:szCs w:val="18"/>
              </w:rPr>
              <w:t>Fun16</w:t>
            </w:r>
          </w:p>
          <w:p w14:paraId="1140D93A">
            <w:pPr>
              <w:spacing w:after="240"/>
              <w:jc w:val="center"/>
              <w:rPr>
                <w:rFonts w:cstheme="minorHAnsi"/>
                <w:sz w:val="18"/>
                <w:szCs w:val="18"/>
              </w:rPr>
            </w:pPr>
            <w:r>
              <w:rPr>
                <w:rFonts w:cstheme="minorHAnsi"/>
                <w:sz w:val="18"/>
                <w:szCs w:val="18"/>
              </w:rPr>
              <w:t>LOWER</w:t>
            </w:r>
          </w:p>
        </w:tc>
        <w:tc>
          <w:tcPr>
            <w:tcW w:w="1958" w:type="pct"/>
            <w:vAlign w:val="center"/>
          </w:tcPr>
          <w:p w14:paraId="7FDA4202">
            <w:pPr>
              <w:spacing w:after="240"/>
              <w:jc w:val="center"/>
              <w:rPr>
                <w:rFonts w:cstheme="minorHAnsi"/>
                <w:sz w:val="18"/>
                <w:szCs w:val="18"/>
              </w:rPr>
            </w:pPr>
            <w:r>
              <w:rPr>
                <w:rFonts w:cstheme="minorHAnsi"/>
                <w:sz w:val="18"/>
                <w:szCs w:val="18"/>
              </w:rPr>
              <w:t>Adjust the lower limit of the characteristic curve</w:t>
            </w:r>
          </w:p>
        </w:tc>
      </w:tr>
      <w:tr w14:paraId="61FB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2D30D584">
            <w:pPr>
              <w:spacing w:after="240"/>
              <w:jc w:val="center"/>
              <w:rPr>
                <w:rFonts w:cstheme="minorHAnsi"/>
                <w:sz w:val="18"/>
                <w:szCs w:val="18"/>
              </w:rPr>
            </w:pPr>
            <w:r>
              <w:rPr>
                <w:rFonts w:cstheme="minorHAnsi"/>
                <w:sz w:val="18"/>
                <w:szCs w:val="18"/>
              </w:rPr>
              <w:t>Upper range limit</w:t>
            </w:r>
          </w:p>
        </w:tc>
        <w:tc>
          <w:tcPr>
            <w:tcW w:w="354" w:type="pct"/>
            <w:vAlign w:val="center"/>
          </w:tcPr>
          <w:p w14:paraId="457C0231">
            <w:pPr>
              <w:spacing w:after="240"/>
              <w:jc w:val="center"/>
              <w:rPr>
                <w:rFonts w:cstheme="minorHAnsi"/>
                <w:sz w:val="18"/>
                <w:szCs w:val="18"/>
              </w:rPr>
            </w:pPr>
            <w:r>
              <w:rPr>
                <w:rFonts w:cstheme="minorHAnsi"/>
                <w:sz w:val="18"/>
                <w:szCs w:val="18"/>
              </w:rPr>
              <w:t>17</w:t>
            </w:r>
          </w:p>
        </w:tc>
        <w:tc>
          <w:tcPr>
            <w:tcW w:w="497" w:type="pct"/>
            <w:vAlign w:val="center"/>
          </w:tcPr>
          <w:p w14:paraId="416CF874">
            <w:pPr>
              <w:spacing w:after="240"/>
              <w:jc w:val="center"/>
              <w:rPr>
                <w:rFonts w:cstheme="minorHAnsi"/>
                <w:sz w:val="18"/>
                <w:szCs w:val="18"/>
              </w:rPr>
            </w:pPr>
            <w:r>
              <w:rPr>
                <w:rFonts w:cstheme="minorHAnsi"/>
                <w:sz w:val="18"/>
                <w:szCs w:val="18"/>
              </w:rPr>
              <w:t>Default increase</w:t>
            </w:r>
          </w:p>
        </w:tc>
        <w:tc>
          <w:tcPr>
            <w:tcW w:w="497" w:type="pct"/>
            <w:vAlign w:val="center"/>
          </w:tcPr>
          <w:p w14:paraId="0C844E24">
            <w:pPr>
              <w:spacing w:after="240"/>
              <w:jc w:val="center"/>
              <w:rPr>
                <w:rFonts w:cstheme="minorHAnsi"/>
                <w:sz w:val="18"/>
                <w:szCs w:val="18"/>
              </w:rPr>
            </w:pPr>
            <w:r>
              <w:rPr>
                <w:rFonts w:cstheme="minorHAnsi"/>
                <w:sz w:val="18"/>
                <w:szCs w:val="18"/>
              </w:rPr>
              <w:t>Preset reduction</w:t>
            </w:r>
          </w:p>
        </w:tc>
        <w:tc>
          <w:tcPr>
            <w:tcW w:w="425" w:type="pct"/>
            <w:vAlign w:val="center"/>
          </w:tcPr>
          <w:p w14:paraId="4AB65FF1">
            <w:pPr>
              <w:spacing w:after="240"/>
              <w:jc w:val="center"/>
              <w:rPr>
                <w:rFonts w:cstheme="minorHAnsi"/>
                <w:sz w:val="18"/>
                <w:szCs w:val="18"/>
              </w:rPr>
            </w:pPr>
            <w:r>
              <w:rPr>
                <w:rFonts w:cstheme="minorHAnsi"/>
                <w:sz w:val="18"/>
                <w:szCs w:val="18"/>
              </w:rPr>
              <w:t>implement</w:t>
            </w:r>
          </w:p>
        </w:tc>
        <w:tc>
          <w:tcPr>
            <w:tcW w:w="434" w:type="pct"/>
            <w:vAlign w:val="center"/>
          </w:tcPr>
          <w:p w14:paraId="518B887A">
            <w:pPr>
              <w:spacing w:after="240"/>
              <w:jc w:val="center"/>
              <w:rPr>
                <w:rFonts w:cstheme="minorHAnsi"/>
                <w:sz w:val="18"/>
                <w:szCs w:val="18"/>
              </w:rPr>
            </w:pPr>
            <w:r>
              <w:rPr>
                <w:rFonts w:cstheme="minorHAnsi"/>
                <w:sz w:val="18"/>
                <w:szCs w:val="18"/>
              </w:rPr>
              <w:t>Fun17</w:t>
            </w:r>
          </w:p>
          <w:p w14:paraId="70FF87AF">
            <w:pPr>
              <w:spacing w:after="240"/>
              <w:jc w:val="center"/>
              <w:rPr>
                <w:rFonts w:cstheme="minorHAnsi"/>
                <w:sz w:val="18"/>
                <w:szCs w:val="18"/>
              </w:rPr>
            </w:pPr>
            <w:r>
              <w:rPr>
                <w:rFonts w:cstheme="minorHAnsi"/>
                <w:sz w:val="18"/>
                <w:szCs w:val="18"/>
              </w:rPr>
              <w:t>UPPER</w:t>
            </w:r>
          </w:p>
        </w:tc>
        <w:tc>
          <w:tcPr>
            <w:tcW w:w="1958" w:type="pct"/>
            <w:vAlign w:val="center"/>
          </w:tcPr>
          <w:p w14:paraId="16053CD6">
            <w:pPr>
              <w:spacing w:after="240"/>
              <w:jc w:val="center"/>
              <w:rPr>
                <w:rFonts w:cstheme="minorHAnsi"/>
                <w:sz w:val="18"/>
                <w:szCs w:val="18"/>
              </w:rPr>
            </w:pPr>
            <w:r>
              <w:rPr>
                <w:rFonts w:cstheme="minorHAnsi"/>
                <w:sz w:val="18"/>
                <w:szCs w:val="18"/>
              </w:rPr>
              <w:t>Adjust the upper limit of the characteristic curve</w:t>
            </w:r>
          </w:p>
        </w:tc>
      </w:tr>
      <w:tr w14:paraId="7C3B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0E127F95">
            <w:pPr>
              <w:spacing w:after="240"/>
              <w:jc w:val="center"/>
              <w:rPr>
                <w:rFonts w:cstheme="minorHAnsi"/>
                <w:sz w:val="18"/>
                <w:szCs w:val="18"/>
              </w:rPr>
            </w:pPr>
            <w:r>
              <w:rPr>
                <w:rFonts w:cstheme="minorHAnsi"/>
                <w:sz w:val="18"/>
                <w:szCs w:val="18"/>
              </w:rPr>
              <w:t>Input range lower limit</w:t>
            </w:r>
          </w:p>
        </w:tc>
        <w:tc>
          <w:tcPr>
            <w:tcW w:w="354" w:type="pct"/>
            <w:vAlign w:val="center"/>
          </w:tcPr>
          <w:p w14:paraId="76B53FE2">
            <w:pPr>
              <w:spacing w:after="240"/>
              <w:jc w:val="center"/>
              <w:rPr>
                <w:rFonts w:cstheme="minorHAnsi"/>
                <w:sz w:val="18"/>
                <w:szCs w:val="18"/>
              </w:rPr>
            </w:pPr>
            <w:r>
              <w:rPr>
                <w:rFonts w:cstheme="minorHAnsi"/>
                <w:sz w:val="18"/>
                <w:szCs w:val="18"/>
              </w:rPr>
              <w:t>18</w:t>
            </w:r>
          </w:p>
        </w:tc>
        <w:tc>
          <w:tcPr>
            <w:tcW w:w="497" w:type="pct"/>
            <w:vAlign w:val="center"/>
          </w:tcPr>
          <w:p w14:paraId="2260A941">
            <w:pPr>
              <w:spacing w:after="240"/>
              <w:jc w:val="center"/>
              <w:rPr>
                <w:rFonts w:cstheme="minorHAnsi"/>
                <w:sz w:val="18"/>
                <w:szCs w:val="18"/>
              </w:rPr>
            </w:pPr>
            <w:r>
              <w:rPr>
                <w:rFonts w:cstheme="minorHAnsi"/>
                <w:sz w:val="18"/>
                <w:szCs w:val="18"/>
              </w:rPr>
              <w:t>Default increase</w:t>
            </w:r>
          </w:p>
        </w:tc>
        <w:tc>
          <w:tcPr>
            <w:tcW w:w="497" w:type="pct"/>
            <w:vAlign w:val="center"/>
          </w:tcPr>
          <w:p w14:paraId="7149E8AB">
            <w:pPr>
              <w:spacing w:after="240"/>
              <w:jc w:val="center"/>
              <w:rPr>
                <w:rFonts w:cstheme="minorHAnsi"/>
                <w:sz w:val="18"/>
                <w:szCs w:val="18"/>
              </w:rPr>
            </w:pPr>
            <w:r>
              <w:rPr>
                <w:rFonts w:cstheme="minorHAnsi"/>
                <w:sz w:val="18"/>
                <w:szCs w:val="18"/>
              </w:rPr>
              <w:t>Preset reduction</w:t>
            </w:r>
          </w:p>
        </w:tc>
        <w:tc>
          <w:tcPr>
            <w:tcW w:w="425" w:type="pct"/>
            <w:vAlign w:val="center"/>
          </w:tcPr>
          <w:p w14:paraId="3B6FE1F5">
            <w:pPr>
              <w:spacing w:after="240"/>
              <w:jc w:val="center"/>
              <w:rPr>
                <w:rFonts w:cstheme="minorHAnsi"/>
                <w:sz w:val="18"/>
                <w:szCs w:val="18"/>
              </w:rPr>
            </w:pPr>
            <w:r>
              <w:rPr>
                <w:rFonts w:cstheme="minorHAnsi"/>
                <w:sz w:val="18"/>
                <w:szCs w:val="18"/>
              </w:rPr>
              <w:t>implement</w:t>
            </w:r>
          </w:p>
        </w:tc>
        <w:tc>
          <w:tcPr>
            <w:tcW w:w="434" w:type="pct"/>
            <w:vAlign w:val="center"/>
          </w:tcPr>
          <w:p w14:paraId="4E3C34F7">
            <w:pPr>
              <w:spacing w:after="240"/>
              <w:jc w:val="center"/>
              <w:rPr>
                <w:rFonts w:cstheme="minorHAnsi"/>
                <w:sz w:val="18"/>
                <w:szCs w:val="18"/>
              </w:rPr>
            </w:pPr>
            <w:r>
              <w:rPr>
                <w:rFonts w:cstheme="minorHAnsi"/>
                <w:sz w:val="18"/>
                <w:szCs w:val="18"/>
              </w:rPr>
              <w:t>Fun18</w:t>
            </w:r>
          </w:p>
          <w:p w14:paraId="76C8D413">
            <w:pPr>
              <w:spacing w:after="240"/>
              <w:jc w:val="center"/>
              <w:rPr>
                <w:rFonts w:cstheme="minorHAnsi"/>
                <w:sz w:val="18"/>
                <w:szCs w:val="18"/>
              </w:rPr>
            </w:pPr>
            <w:r>
              <w:rPr>
                <w:rFonts w:cstheme="minorHAnsi"/>
                <w:sz w:val="18"/>
                <w:szCs w:val="18"/>
              </w:rPr>
              <w:t>IN  0%</w:t>
            </w:r>
          </w:p>
        </w:tc>
        <w:tc>
          <w:tcPr>
            <w:tcW w:w="1958" w:type="pct"/>
            <w:vAlign w:val="center"/>
          </w:tcPr>
          <w:p w14:paraId="117CCFC5">
            <w:pPr>
              <w:spacing w:after="240"/>
              <w:jc w:val="center"/>
              <w:rPr>
                <w:rFonts w:cstheme="minorHAnsi"/>
                <w:sz w:val="18"/>
                <w:szCs w:val="18"/>
              </w:rPr>
            </w:pPr>
            <w:r>
              <w:rPr>
                <w:rFonts w:cstheme="minorHAnsi"/>
                <w:sz w:val="18"/>
                <w:szCs w:val="18"/>
              </w:rPr>
              <w:t>Passive adjustment of the lower limit of the input range</w:t>
            </w:r>
          </w:p>
        </w:tc>
      </w:tr>
      <w:tr w14:paraId="7433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114D5569">
            <w:pPr>
              <w:spacing w:after="240"/>
              <w:jc w:val="center"/>
              <w:rPr>
                <w:rFonts w:cstheme="minorHAnsi"/>
                <w:sz w:val="18"/>
                <w:szCs w:val="18"/>
              </w:rPr>
            </w:pPr>
            <w:r>
              <w:rPr>
                <w:rFonts w:cstheme="minorHAnsi"/>
                <w:sz w:val="18"/>
                <w:szCs w:val="18"/>
              </w:rPr>
              <w:t>Input range upper limit</w:t>
            </w:r>
          </w:p>
        </w:tc>
        <w:tc>
          <w:tcPr>
            <w:tcW w:w="354" w:type="pct"/>
            <w:vAlign w:val="center"/>
          </w:tcPr>
          <w:p w14:paraId="5ED24AED">
            <w:pPr>
              <w:spacing w:after="240"/>
              <w:jc w:val="center"/>
              <w:rPr>
                <w:rFonts w:cstheme="minorHAnsi"/>
                <w:sz w:val="18"/>
                <w:szCs w:val="18"/>
              </w:rPr>
            </w:pPr>
            <w:r>
              <w:rPr>
                <w:rFonts w:cstheme="minorHAnsi"/>
                <w:sz w:val="18"/>
                <w:szCs w:val="18"/>
              </w:rPr>
              <w:t>19</w:t>
            </w:r>
          </w:p>
        </w:tc>
        <w:tc>
          <w:tcPr>
            <w:tcW w:w="497" w:type="pct"/>
            <w:vAlign w:val="center"/>
          </w:tcPr>
          <w:p w14:paraId="44913F43">
            <w:pPr>
              <w:spacing w:after="240"/>
              <w:jc w:val="center"/>
              <w:rPr>
                <w:rFonts w:cstheme="minorHAnsi"/>
                <w:sz w:val="18"/>
                <w:szCs w:val="18"/>
              </w:rPr>
            </w:pPr>
            <w:r>
              <w:rPr>
                <w:rFonts w:cstheme="minorHAnsi"/>
                <w:sz w:val="18"/>
                <w:szCs w:val="18"/>
              </w:rPr>
              <w:t>Default increase</w:t>
            </w:r>
          </w:p>
        </w:tc>
        <w:tc>
          <w:tcPr>
            <w:tcW w:w="497" w:type="pct"/>
            <w:vAlign w:val="center"/>
          </w:tcPr>
          <w:p w14:paraId="1334CD07">
            <w:pPr>
              <w:spacing w:after="240"/>
              <w:jc w:val="center"/>
              <w:rPr>
                <w:rFonts w:cstheme="minorHAnsi"/>
                <w:sz w:val="18"/>
                <w:szCs w:val="18"/>
              </w:rPr>
            </w:pPr>
            <w:r>
              <w:rPr>
                <w:rFonts w:cstheme="minorHAnsi"/>
                <w:sz w:val="18"/>
                <w:szCs w:val="18"/>
              </w:rPr>
              <w:t>Preset reduction</w:t>
            </w:r>
          </w:p>
        </w:tc>
        <w:tc>
          <w:tcPr>
            <w:tcW w:w="425" w:type="pct"/>
            <w:vAlign w:val="center"/>
          </w:tcPr>
          <w:p w14:paraId="6BAA374B">
            <w:pPr>
              <w:spacing w:after="240"/>
              <w:jc w:val="center"/>
              <w:rPr>
                <w:rFonts w:cstheme="minorHAnsi"/>
                <w:sz w:val="18"/>
                <w:szCs w:val="18"/>
              </w:rPr>
            </w:pPr>
            <w:r>
              <w:rPr>
                <w:rFonts w:cstheme="minorHAnsi"/>
                <w:sz w:val="18"/>
                <w:szCs w:val="18"/>
              </w:rPr>
              <w:t>implement</w:t>
            </w:r>
          </w:p>
        </w:tc>
        <w:tc>
          <w:tcPr>
            <w:tcW w:w="434" w:type="pct"/>
            <w:vAlign w:val="center"/>
          </w:tcPr>
          <w:p w14:paraId="7C182976">
            <w:pPr>
              <w:spacing w:after="240"/>
              <w:jc w:val="center"/>
              <w:rPr>
                <w:rFonts w:cstheme="minorHAnsi"/>
                <w:sz w:val="18"/>
                <w:szCs w:val="18"/>
              </w:rPr>
            </w:pPr>
            <w:r>
              <w:rPr>
                <w:rFonts w:cstheme="minorHAnsi"/>
                <w:sz w:val="18"/>
                <w:szCs w:val="18"/>
              </w:rPr>
              <w:t>Fun19</w:t>
            </w:r>
          </w:p>
          <w:p w14:paraId="45FB7F64">
            <w:pPr>
              <w:spacing w:after="240"/>
              <w:jc w:val="center"/>
              <w:rPr>
                <w:rFonts w:cstheme="minorHAnsi"/>
                <w:sz w:val="18"/>
                <w:szCs w:val="18"/>
              </w:rPr>
            </w:pPr>
            <w:r>
              <w:rPr>
                <w:rFonts w:cstheme="minorHAnsi"/>
                <w:sz w:val="18"/>
                <w:szCs w:val="18"/>
              </w:rPr>
              <w:t>IN 100%</w:t>
            </w:r>
          </w:p>
        </w:tc>
        <w:tc>
          <w:tcPr>
            <w:tcW w:w="1958" w:type="pct"/>
            <w:vAlign w:val="center"/>
          </w:tcPr>
          <w:p w14:paraId="5C52EBFA">
            <w:pPr>
              <w:spacing w:after="240"/>
              <w:jc w:val="center"/>
              <w:rPr>
                <w:rFonts w:cstheme="minorHAnsi"/>
                <w:sz w:val="18"/>
                <w:szCs w:val="18"/>
              </w:rPr>
            </w:pPr>
            <w:r>
              <w:rPr>
                <w:rFonts w:cstheme="minorHAnsi"/>
                <w:sz w:val="18"/>
                <w:szCs w:val="18"/>
              </w:rPr>
              <w:t>Passive adjustment of the upper limit of the input range</w:t>
            </w:r>
          </w:p>
        </w:tc>
      </w:tr>
      <w:tr w14:paraId="561C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029B21E2">
            <w:pPr>
              <w:spacing w:after="240"/>
              <w:jc w:val="center"/>
              <w:rPr>
                <w:rFonts w:cstheme="minorHAnsi"/>
                <w:sz w:val="18"/>
                <w:szCs w:val="18"/>
              </w:rPr>
            </w:pPr>
            <w:r>
              <w:rPr>
                <w:rFonts w:cstheme="minorHAnsi"/>
                <w:sz w:val="18"/>
                <w:szCs w:val="18"/>
              </w:rPr>
              <w:t>Lower limit of output range</w:t>
            </w:r>
          </w:p>
        </w:tc>
        <w:tc>
          <w:tcPr>
            <w:tcW w:w="354" w:type="pct"/>
            <w:vAlign w:val="center"/>
          </w:tcPr>
          <w:p w14:paraId="146F8DD5">
            <w:pPr>
              <w:spacing w:after="240"/>
              <w:jc w:val="center"/>
              <w:rPr>
                <w:rFonts w:cstheme="minorHAnsi"/>
                <w:sz w:val="18"/>
                <w:szCs w:val="18"/>
              </w:rPr>
            </w:pPr>
            <w:r>
              <w:rPr>
                <w:rFonts w:cstheme="minorHAnsi"/>
                <w:sz w:val="18"/>
                <w:szCs w:val="18"/>
              </w:rPr>
              <w:t>20</w:t>
            </w:r>
          </w:p>
        </w:tc>
        <w:tc>
          <w:tcPr>
            <w:tcW w:w="497" w:type="pct"/>
            <w:vAlign w:val="center"/>
          </w:tcPr>
          <w:p w14:paraId="16A0D6BC">
            <w:pPr>
              <w:spacing w:after="240"/>
              <w:jc w:val="center"/>
              <w:rPr>
                <w:rFonts w:cstheme="minorHAnsi"/>
                <w:sz w:val="18"/>
                <w:szCs w:val="18"/>
              </w:rPr>
            </w:pPr>
            <w:r>
              <w:rPr>
                <w:rFonts w:cstheme="minorHAnsi"/>
                <w:sz w:val="18"/>
                <w:szCs w:val="18"/>
              </w:rPr>
              <w:t>Default increase</w:t>
            </w:r>
          </w:p>
        </w:tc>
        <w:tc>
          <w:tcPr>
            <w:tcW w:w="497" w:type="pct"/>
            <w:vAlign w:val="center"/>
          </w:tcPr>
          <w:p w14:paraId="335AB72D">
            <w:pPr>
              <w:spacing w:after="240"/>
              <w:jc w:val="center"/>
              <w:rPr>
                <w:rFonts w:cstheme="minorHAnsi"/>
                <w:sz w:val="18"/>
                <w:szCs w:val="18"/>
              </w:rPr>
            </w:pPr>
            <w:r>
              <w:rPr>
                <w:rFonts w:cstheme="minorHAnsi"/>
                <w:sz w:val="18"/>
                <w:szCs w:val="18"/>
              </w:rPr>
              <w:t>Preset reduction</w:t>
            </w:r>
          </w:p>
        </w:tc>
        <w:tc>
          <w:tcPr>
            <w:tcW w:w="425" w:type="pct"/>
            <w:vAlign w:val="center"/>
          </w:tcPr>
          <w:p w14:paraId="3A31FAC3">
            <w:pPr>
              <w:spacing w:after="240"/>
              <w:jc w:val="center"/>
              <w:rPr>
                <w:rFonts w:cstheme="minorHAnsi"/>
                <w:sz w:val="18"/>
                <w:szCs w:val="18"/>
              </w:rPr>
            </w:pPr>
            <w:r>
              <w:rPr>
                <w:rFonts w:cstheme="minorHAnsi"/>
                <w:sz w:val="18"/>
                <w:szCs w:val="18"/>
              </w:rPr>
              <w:t>implement</w:t>
            </w:r>
          </w:p>
        </w:tc>
        <w:tc>
          <w:tcPr>
            <w:tcW w:w="434" w:type="pct"/>
            <w:vAlign w:val="center"/>
          </w:tcPr>
          <w:p w14:paraId="2A6DD445">
            <w:pPr>
              <w:spacing w:after="240"/>
              <w:jc w:val="center"/>
              <w:rPr>
                <w:rFonts w:cstheme="minorHAnsi"/>
                <w:sz w:val="18"/>
                <w:szCs w:val="18"/>
              </w:rPr>
            </w:pPr>
            <w:r>
              <w:rPr>
                <w:rFonts w:cstheme="minorHAnsi"/>
                <w:sz w:val="18"/>
                <w:szCs w:val="18"/>
              </w:rPr>
              <w:t>Fun20</w:t>
            </w:r>
          </w:p>
          <w:p w14:paraId="52753534">
            <w:pPr>
              <w:spacing w:after="240"/>
              <w:jc w:val="center"/>
              <w:rPr>
                <w:rFonts w:cstheme="minorHAnsi"/>
                <w:sz w:val="18"/>
                <w:szCs w:val="18"/>
              </w:rPr>
            </w:pPr>
            <w:r>
              <w:rPr>
                <w:rFonts w:cstheme="minorHAnsi"/>
                <w:sz w:val="18"/>
                <w:szCs w:val="18"/>
              </w:rPr>
              <w:t>OUT 0%</w:t>
            </w:r>
          </w:p>
        </w:tc>
        <w:tc>
          <w:tcPr>
            <w:tcW w:w="1958" w:type="pct"/>
            <w:vAlign w:val="center"/>
          </w:tcPr>
          <w:p w14:paraId="7586F96F">
            <w:pPr>
              <w:spacing w:after="240"/>
              <w:jc w:val="center"/>
              <w:rPr>
                <w:rFonts w:cstheme="minorHAnsi"/>
                <w:sz w:val="18"/>
                <w:szCs w:val="18"/>
              </w:rPr>
            </w:pPr>
            <w:r>
              <w:rPr>
                <w:rFonts w:cstheme="minorHAnsi"/>
                <w:sz w:val="18"/>
                <w:szCs w:val="18"/>
              </w:rPr>
              <w:t>Passive adjustment of the lower limit of the output range</w:t>
            </w:r>
          </w:p>
        </w:tc>
      </w:tr>
      <w:tr w14:paraId="0F2D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pct"/>
            <w:vAlign w:val="center"/>
          </w:tcPr>
          <w:p w14:paraId="0C35C505">
            <w:pPr>
              <w:spacing w:after="240"/>
              <w:jc w:val="center"/>
              <w:rPr>
                <w:rFonts w:cstheme="minorHAnsi"/>
                <w:sz w:val="18"/>
                <w:szCs w:val="18"/>
              </w:rPr>
            </w:pPr>
            <w:r>
              <w:rPr>
                <w:rFonts w:cstheme="minorHAnsi"/>
                <w:sz w:val="18"/>
                <w:szCs w:val="18"/>
              </w:rPr>
              <w:t>Output range upper limit</w:t>
            </w:r>
          </w:p>
        </w:tc>
        <w:tc>
          <w:tcPr>
            <w:tcW w:w="354" w:type="pct"/>
            <w:vAlign w:val="center"/>
          </w:tcPr>
          <w:p w14:paraId="05D41574">
            <w:pPr>
              <w:spacing w:after="240"/>
              <w:jc w:val="center"/>
              <w:rPr>
                <w:rFonts w:cstheme="minorHAnsi"/>
                <w:sz w:val="18"/>
                <w:szCs w:val="18"/>
              </w:rPr>
            </w:pPr>
            <w:r>
              <w:rPr>
                <w:rFonts w:cstheme="minorHAnsi"/>
                <w:sz w:val="18"/>
                <w:szCs w:val="18"/>
              </w:rPr>
              <w:t>21</w:t>
            </w:r>
          </w:p>
        </w:tc>
        <w:tc>
          <w:tcPr>
            <w:tcW w:w="497" w:type="pct"/>
            <w:vAlign w:val="center"/>
          </w:tcPr>
          <w:p w14:paraId="3447C54E">
            <w:pPr>
              <w:spacing w:after="240"/>
              <w:jc w:val="center"/>
              <w:rPr>
                <w:rFonts w:cstheme="minorHAnsi"/>
                <w:sz w:val="18"/>
                <w:szCs w:val="18"/>
              </w:rPr>
            </w:pPr>
            <w:r>
              <w:rPr>
                <w:rFonts w:cstheme="minorHAnsi"/>
                <w:sz w:val="18"/>
                <w:szCs w:val="18"/>
              </w:rPr>
              <w:t>Default increase</w:t>
            </w:r>
          </w:p>
        </w:tc>
        <w:tc>
          <w:tcPr>
            <w:tcW w:w="497" w:type="pct"/>
            <w:vAlign w:val="center"/>
          </w:tcPr>
          <w:p w14:paraId="406903B9">
            <w:pPr>
              <w:spacing w:after="240"/>
              <w:jc w:val="center"/>
              <w:rPr>
                <w:rFonts w:cstheme="minorHAnsi"/>
                <w:sz w:val="18"/>
                <w:szCs w:val="18"/>
              </w:rPr>
            </w:pPr>
            <w:r>
              <w:rPr>
                <w:rFonts w:cstheme="minorHAnsi"/>
                <w:sz w:val="18"/>
                <w:szCs w:val="18"/>
              </w:rPr>
              <w:t>Preset reduction</w:t>
            </w:r>
          </w:p>
        </w:tc>
        <w:tc>
          <w:tcPr>
            <w:tcW w:w="425" w:type="pct"/>
            <w:vAlign w:val="center"/>
          </w:tcPr>
          <w:p w14:paraId="17C0A780">
            <w:pPr>
              <w:spacing w:after="240"/>
              <w:jc w:val="center"/>
              <w:rPr>
                <w:rFonts w:cstheme="minorHAnsi"/>
                <w:sz w:val="18"/>
                <w:szCs w:val="18"/>
              </w:rPr>
            </w:pPr>
            <w:r>
              <w:rPr>
                <w:rFonts w:cstheme="minorHAnsi"/>
                <w:sz w:val="18"/>
                <w:szCs w:val="18"/>
              </w:rPr>
              <w:t>implement</w:t>
            </w:r>
          </w:p>
        </w:tc>
        <w:tc>
          <w:tcPr>
            <w:tcW w:w="434" w:type="pct"/>
            <w:vAlign w:val="center"/>
          </w:tcPr>
          <w:p w14:paraId="54E6A46D">
            <w:pPr>
              <w:spacing w:after="240"/>
              <w:jc w:val="center"/>
              <w:rPr>
                <w:rFonts w:cstheme="minorHAnsi"/>
                <w:sz w:val="18"/>
                <w:szCs w:val="18"/>
              </w:rPr>
            </w:pPr>
            <w:r>
              <w:rPr>
                <w:rFonts w:cstheme="minorHAnsi"/>
                <w:sz w:val="18"/>
                <w:szCs w:val="18"/>
              </w:rPr>
              <w:t>Fun20</w:t>
            </w:r>
          </w:p>
          <w:p w14:paraId="2F3EDC04">
            <w:pPr>
              <w:spacing w:after="240"/>
              <w:jc w:val="center"/>
              <w:rPr>
                <w:rFonts w:cstheme="minorHAnsi"/>
                <w:sz w:val="18"/>
                <w:szCs w:val="18"/>
              </w:rPr>
            </w:pPr>
            <w:r>
              <w:rPr>
                <w:rFonts w:cstheme="minorHAnsi"/>
                <w:sz w:val="18"/>
                <w:szCs w:val="18"/>
              </w:rPr>
              <w:t>OUT100%</w:t>
            </w:r>
          </w:p>
        </w:tc>
        <w:tc>
          <w:tcPr>
            <w:tcW w:w="1958" w:type="pct"/>
            <w:vAlign w:val="center"/>
          </w:tcPr>
          <w:p w14:paraId="198B46F1">
            <w:pPr>
              <w:spacing w:after="240"/>
              <w:jc w:val="center"/>
              <w:rPr>
                <w:rFonts w:cstheme="minorHAnsi"/>
                <w:sz w:val="18"/>
                <w:szCs w:val="18"/>
              </w:rPr>
            </w:pPr>
            <w:r>
              <w:rPr>
                <w:rFonts w:cstheme="minorHAnsi"/>
                <w:sz w:val="18"/>
                <w:szCs w:val="18"/>
              </w:rPr>
              <w:t>Passive adjustment of the upper limit of the output range</w:t>
            </w:r>
          </w:p>
        </w:tc>
      </w:tr>
    </w:tbl>
    <w:p w14:paraId="5A2D4F4B">
      <w:pPr>
        <w:pStyle w:val="40"/>
        <w:spacing w:before="120" w:beforeLines="50" w:after="240" w:line="240" w:lineRule="auto"/>
        <w:ind w:left="0"/>
        <w:rPr>
          <w:rFonts w:cstheme="minorHAnsi"/>
          <w:sz w:val="21"/>
          <w:szCs w:val="21"/>
        </w:rPr>
      </w:pPr>
      <w:r>
        <w:rPr>
          <w:rFonts w:cstheme="minorHAnsi"/>
          <w:sz w:val="21"/>
          <w:szCs w:val="21"/>
        </w:rPr>
        <w:t>Long press the mode key [M] to switch between the above adjustment functions, as shown in Figure 4.4</w:t>
      </w:r>
    </w:p>
    <w:p w14:paraId="1747DE2B">
      <w:pPr>
        <w:keepNext/>
        <w:spacing w:after="240"/>
        <w:jc w:val="center"/>
        <w:rPr>
          <w:rFonts w:cstheme="minorHAnsi"/>
        </w:rPr>
      </w:pPr>
      <w:r>
        <w:rPr>
          <w:rFonts w:cstheme="minorHAnsi"/>
        </w:rPr>
        <w:drawing>
          <wp:inline distT="0" distB="0" distL="114300" distR="114300">
            <wp:extent cx="6127750" cy="1949450"/>
            <wp:effectExtent l="0" t="0" r="0" b="0"/>
            <wp:docPr id="60" name="图片 60"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图片4"/>
                    <pic:cNvPicPr>
                      <a:picLocks noChangeAspect="1"/>
                    </pic:cNvPicPr>
                  </pic:nvPicPr>
                  <pic:blipFill>
                    <a:blip r:embed="rId47"/>
                    <a:stretch>
                      <a:fillRect/>
                    </a:stretch>
                  </pic:blipFill>
                  <pic:spPr>
                    <a:xfrm>
                      <a:off x="0" y="0"/>
                      <a:ext cx="6127750" cy="1949450"/>
                    </a:xfrm>
                    <a:prstGeom prst="rect">
                      <a:avLst/>
                    </a:prstGeom>
                  </pic:spPr>
                </pic:pic>
              </a:graphicData>
            </a:graphic>
          </wp:inline>
        </w:drawing>
      </w:r>
    </w:p>
    <w:p w14:paraId="3B22DD01">
      <w:pPr>
        <w:pStyle w:val="12"/>
        <w:spacing w:before="120" w:after="120"/>
        <w:rPr>
          <w:rFonts w:asciiTheme="minorHAnsi" w:hAnsiTheme="minorHAnsi" w:cstheme="minorHAnsi"/>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.4 Adjustment function switch diagram</w:t>
      </w:r>
    </w:p>
    <w:p w14:paraId="438550D8">
      <w:pPr>
        <w:pStyle w:val="4"/>
        <w:spacing w:before="120" w:beforeLines="50" w:after="120" w:afterLines="50"/>
        <w:rPr>
          <w:rFonts w:asciiTheme="minorHAnsi" w:hAnsiTheme="minorHAnsi" w:cstheme="minorHAnsi"/>
        </w:rPr>
      </w:pPr>
      <w:bookmarkStart w:id="61" w:name="_Toc199429770"/>
      <w:r>
        <w:rPr>
          <w:rFonts w:asciiTheme="minorHAnsi" w:hAnsiTheme="minorHAnsi" w:cstheme="minorHAnsi"/>
        </w:rPr>
        <w:t>Measurement value display</w:t>
      </w:r>
      <w:bookmarkEnd w:id="61"/>
    </w:p>
    <w:p w14:paraId="6C7B545E">
      <w:pPr>
        <w:pStyle w:val="40"/>
        <w:spacing w:after="240" w:line="240" w:lineRule="auto"/>
        <w:ind w:left="0"/>
        <w:rPr>
          <w:rFonts w:cstheme="minorHAnsi"/>
          <w:sz w:val="21"/>
          <w:szCs w:val="21"/>
        </w:rPr>
      </w:pPr>
      <w:r>
        <w:rPr>
          <w:rFonts w:cstheme="minorHAnsi"/>
          <w:sz w:val="21"/>
          <w:szCs w:val="21"/>
        </w:rPr>
        <w:t>In the measurement value display function, the measurement value selected in mode 11 is displayed. The unit of physical quantity is set in mode 12, and the position of the decimal point is set in mode 14.</w:t>
      </w:r>
    </w:p>
    <w:p w14:paraId="52609B8C">
      <w:pPr>
        <w:pStyle w:val="4"/>
        <w:spacing w:before="120" w:beforeLines="50" w:after="120" w:afterLines="50"/>
        <w:rPr>
          <w:rFonts w:asciiTheme="minorHAnsi" w:hAnsiTheme="minorHAnsi" w:cstheme="minorHAnsi"/>
        </w:rPr>
      </w:pPr>
      <w:bookmarkStart w:id="62" w:name="_Toc199429771"/>
      <w:r>
        <w:rPr>
          <w:rFonts w:asciiTheme="minorHAnsi" w:hAnsiTheme="minorHAnsi" w:cstheme="minorHAnsi"/>
        </w:rPr>
        <w:t>Error display</w:t>
      </w:r>
      <w:bookmarkEnd w:id="62"/>
    </w:p>
    <w:p w14:paraId="5F3C3E5F">
      <w:pPr>
        <w:pStyle w:val="40"/>
        <w:spacing w:after="240" w:line="240" w:lineRule="auto"/>
        <w:ind w:left="0"/>
        <w:rPr>
          <w:rFonts w:cstheme="minorHAnsi"/>
          <w:sz w:val="21"/>
          <w:szCs w:val="21"/>
        </w:rPr>
      </w:pPr>
      <w:r>
        <w:rPr>
          <w:rFonts w:cstheme="minorHAnsi"/>
          <w:sz w:val="21"/>
          <w:szCs w:val="21"/>
        </w:rPr>
        <w:t>Error messages may appear during local operation.</w:t>
      </w:r>
    </w:p>
    <w:tbl>
      <w:tblPr>
        <w:tblStyle w:val="3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7"/>
        <w:gridCol w:w="2756"/>
      </w:tblGrid>
      <w:tr w14:paraId="14E64E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blHeader/>
          <w:jc w:val="center"/>
        </w:trPr>
        <w:tc>
          <w:tcPr>
            <w:tcW w:w="1597" w:type="dxa"/>
            <w:tcBorders>
              <w:top w:val="single" w:color="auto" w:sz="4" w:space="0"/>
              <w:left w:val="single" w:color="auto" w:sz="4" w:space="0"/>
              <w:bottom w:val="single" w:color="auto" w:sz="4" w:space="0"/>
              <w:right w:val="single" w:color="auto" w:sz="4" w:space="0"/>
            </w:tcBorders>
            <w:shd w:val="clear" w:color="auto" w:fill="CCCCCC"/>
            <w:vAlign w:val="center"/>
          </w:tcPr>
          <w:p w14:paraId="2531ADA9">
            <w:pPr>
              <w:spacing w:after="240"/>
              <w:jc w:val="center"/>
              <w:rPr>
                <w:rFonts w:cstheme="minorHAnsi"/>
                <w:sz w:val="18"/>
                <w:szCs w:val="18"/>
              </w:rPr>
            </w:pPr>
            <w:r>
              <w:rPr>
                <w:rFonts w:cstheme="minorHAnsi"/>
                <w:sz w:val="18"/>
                <w:szCs w:val="18"/>
              </w:rPr>
              <w:t>Show</w:t>
            </w:r>
          </w:p>
        </w:tc>
        <w:tc>
          <w:tcPr>
            <w:tcW w:w="2756" w:type="dxa"/>
            <w:tcBorders>
              <w:top w:val="single" w:color="auto" w:sz="4" w:space="0"/>
              <w:left w:val="single" w:color="auto" w:sz="4" w:space="0"/>
              <w:bottom w:val="single" w:color="auto" w:sz="4" w:space="0"/>
              <w:right w:val="single" w:color="auto" w:sz="4" w:space="0"/>
            </w:tcBorders>
            <w:shd w:val="clear" w:color="auto" w:fill="CCCCCC"/>
            <w:vAlign w:val="center"/>
          </w:tcPr>
          <w:p w14:paraId="7DDFFC7D">
            <w:pPr>
              <w:spacing w:after="240"/>
              <w:jc w:val="center"/>
              <w:rPr>
                <w:rFonts w:cstheme="minorHAnsi"/>
                <w:sz w:val="18"/>
                <w:szCs w:val="18"/>
              </w:rPr>
            </w:pPr>
            <w:r>
              <w:rPr>
                <w:rFonts w:cstheme="minorHAnsi"/>
                <w:sz w:val="18"/>
                <w:szCs w:val="18"/>
              </w:rPr>
              <w:t>Explain</w:t>
            </w:r>
          </w:p>
        </w:tc>
      </w:tr>
      <w:tr w14:paraId="2E8E2B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597" w:type="dxa"/>
            <w:tcBorders>
              <w:top w:val="single" w:color="auto" w:sz="4" w:space="0"/>
              <w:left w:val="single" w:color="auto" w:sz="4" w:space="0"/>
              <w:bottom w:val="single" w:color="auto" w:sz="4" w:space="0"/>
            </w:tcBorders>
            <w:vAlign w:val="center"/>
          </w:tcPr>
          <w:p w14:paraId="6255F832">
            <w:pPr>
              <w:spacing w:after="240"/>
              <w:jc w:val="center"/>
              <w:rPr>
                <w:rFonts w:cstheme="minorHAnsi"/>
                <w:sz w:val="18"/>
                <w:szCs w:val="18"/>
              </w:rPr>
            </w:pPr>
            <w:r>
              <w:rPr>
                <w:rFonts w:cstheme="minorHAnsi"/>
                <w:sz w:val="18"/>
                <w:szCs w:val="18"/>
              </w:rPr>
              <w:t>NumEr</w:t>
            </w:r>
          </w:p>
        </w:tc>
        <w:tc>
          <w:tcPr>
            <w:tcW w:w="2756" w:type="dxa"/>
            <w:tcBorders>
              <w:top w:val="single" w:color="auto" w:sz="4" w:space="0"/>
              <w:left w:val="single" w:color="auto" w:sz="4" w:space="0"/>
              <w:bottom w:val="single" w:color="auto" w:sz="4" w:space="0"/>
              <w:right w:val="single" w:color="auto" w:sz="4" w:space="0"/>
            </w:tcBorders>
            <w:vAlign w:val="center"/>
          </w:tcPr>
          <w:p w14:paraId="171F806A">
            <w:pPr>
              <w:spacing w:after="240"/>
              <w:jc w:val="center"/>
              <w:rPr>
                <w:rFonts w:cstheme="minorHAnsi"/>
                <w:sz w:val="18"/>
                <w:szCs w:val="18"/>
              </w:rPr>
            </w:pPr>
            <w:r>
              <w:rPr>
                <w:rFonts w:cstheme="minorHAnsi"/>
                <w:sz w:val="18"/>
                <w:szCs w:val="18"/>
              </w:rPr>
              <w:t>Numerical exception</w:t>
            </w:r>
          </w:p>
        </w:tc>
      </w:tr>
      <w:tr w14:paraId="6B4764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597" w:type="dxa"/>
            <w:tcBorders>
              <w:top w:val="single" w:color="auto" w:sz="4" w:space="0"/>
              <w:left w:val="single" w:color="auto" w:sz="4" w:space="0"/>
              <w:bottom w:val="single" w:color="auto" w:sz="4" w:space="0"/>
            </w:tcBorders>
            <w:vAlign w:val="center"/>
          </w:tcPr>
          <w:p w14:paraId="1F2FD0B7">
            <w:pPr>
              <w:spacing w:after="240"/>
              <w:jc w:val="center"/>
              <w:rPr>
                <w:rFonts w:cstheme="minorHAnsi"/>
                <w:sz w:val="18"/>
                <w:szCs w:val="18"/>
              </w:rPr>
            </w:pPr>
            <w:r>
              <w:rPr>
                <w:rFonts w:cstheme="minorHAnsi"/>
                <w:sz w:val="18"/>
                <w:szCs w:val="18"/>
              </w:rPr>
              <w:t>FNErr</w:t>
            </w:r>
          </w:p>
        </w:tc>
        <w:tc>
          <w:tcPr>
            <w:tcW w:w="2756" w:type="dxa"/>
            <w:tcBorders>
              <w:top w:val="single" w:color="auto" w:sz="4" w:space="0"/>
              <w:left w:val="single" w:color="auto" w:sz="4" w:space="0"/>
              <w:bottom w:val="single" w:color="auto" w:sz="4" w:space="0"/>
              <w:right w:val="single" w:color="auto" w:sz="4" w:space="0"/>
            </w:tcBorders>
            <w:vAlign w:val="center"/>
          </w:tcPr>
          <w:p w14:paraId="0866D007">
            <w:pPr>
              <w:spacing w:after="240"/>
              <w:jc w:val="center"/>
              <w:rPr>
                <w:rFonts w:cstheme="minorHAnsi"/>
                <w:sz w:val="18"/>
                <w:szCs w:val="18"/>
              </w:rPr>
            </w:pPr>
            <w:r>
              <w:rPr>
                <w:rFonts w:cstheme="minorHAnsi"/>
                <w:sz w:val="18"/>
                <w:szCs w:val="18"/>
              </w:rPr>
              <w:t>Wrong mode number</w:t>
            </w:r>
          </w:p>
        </w:tc>
      </w:tr>
      <w:tr w14:paraId="53007A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597" w:type="dxa"/>
            <w:tcBorders>
              <w:top w:val="single" w:color="auto" w:sz="4" w:space="0"/>
              <w:left w:val="single" w:color="auto" w:sz="4" w:space="0"/>
              <w:bottom w:val="single" w:color="auto" w:sz="4" w:space="0"/>
            </w:tcBorders>
            <w:vAlign w:val="center"/>
          </w:tcPr>
          <w:p w14:paraId="2CE09E71">
            <w:pPr>
              <w:spacing w:after="240"/>
              <w:jc w:val="center"/>
              <w:rPr>
                <w:rFonts w:cstheme="minorHAnsi"/>
                <w:sz w:val="18"/>
                <w:szCs w:val="18"/>
              </w:rPr>
            </w:pPr>
            <w:r>
              <w:rPr>
                <w:rFonts w:cstheme="minorHAnsi"/>
                <w:sz w:val="18"/>
                <w:szCs w:val="18"/>
              </w:rPr>
              <w:t>UNErr</w:t>
            </w:r>
          </w:p>
        </w:tc>
        <w:tc>
          <w:tcPr>
            <w:tcW w:w="2756" w:type="dxa"/>
            <w:tcBorders>
              <w:top w:val="single" w:color="auto" w:sz="4" w:space="0"/>
              <w:left w:val="single" w:color="auto" w:sz="4" w:space="0"/>
              <w:bottom w:val="single" w:color="auto" w:sz="4" w:space="0"/>
              <w:right w:val="single" w:color="auto" w:sz="4" w:space="0"/>
            </w:tcBorders>
            <w:vAlign w:val="center"/>
          </w:tcPr>
          <w:p w14:paraId="402B2A3F">
            <w:pPr>
              <w:spacing w:after="240"/>
              <w:jc w:val="center"/>
              <w:rPr>
                <w:rFonts w:cstheme="minorHAnsi"/>
                <w:sz w:val="18"/>
                <w:szCs w:val="18"/>
              </w:rPr>
            </w:pPr>
            <w:r>
              <w:rPr>
                <w:rFonts w:cstheme="minorHAnsi"/>
                <w:sz w:val="18"/>
                <w:szCs w:val="18"/>
              </w:rPr>
              <w:t>Unit does not match</w:t>
            </w:r>
          </w:p>
        </w:tc>
      </w:tr>
      <w:tr w14:paraId="76FF29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597" w:type="dxa"/>
            <w:tcBorders>
              <w:top w:val="single" w:color="auto" w:sz="4" w:space="0"/>
              <w:left w:val="single" w:color="auto" w:sz="4" w:space="0"/>
              <w:bottom w:val="single" w:color="auto" w:sz="4" w:space="0"/>
            </w:tcBorders>
            <w:vAlign w:val="center"/>
          </w:tcPr>
          <w:p w14:paraId="54690CAB">
            <w:pPr>
              <w:spacing w:after="240"/>
              <w:jc w:val="center"/>
              <w:rPr>
                <w:rFonts w:cstheme="minorHAnsi"/>
                <w:sz w:val="18"/>
                <w:szCs w:val="18"/>
              </w:rPr>
            </w:pPr>
            <w:r>
              <w:rPr>
                <w:rFonts w:cstheme="minorHAnsi"/>
                <w:sz w:val="18"/>
                <w:szCs w:val="18"/>
              </w:rPr>
              <w:t>Lock</w:t>
            </w:r>
          </w:p>
        </w:tc>
        <w:tc>
          <w:tcPr>
            <w:tcW w:w="2756" w:type="dxa"/>
            <w:tcBorders>
              <w:top w:val="single" w:color="auto" w:sz="4" w:space="0"/>
              <w:left w:val="single" w:color="auto" w:sz="4" w:space="0"/>
              <w:bottom w:val="single" w:color="auto" w:sz="4" w:space="0"/>
              <w:right w:val="single" w:color="auto" w:sz="4" w:space="0"/>
            </w:tcBorders>
            <w:vAlign w:val="center"/>
          </w:tcPr>
          <w:p w14:paraId="5D17D97B">
            <w:pPr>
              <w:spacing w:after="240"/>
              <w:jc w:val="center"/>
              <w:rPr>
                <w:rFonts w:cstheme="minorHAnsi"/>
                <w:sz w:val="18"/>
                <w:szCs w:val="18"/>
              </w:rPr>
            </w:pPr>
            <w:r>
              <w:rPr>
                <w:rFonts w:cstheme="minorHAnsi"/>
                <w:sz w:val="18"/>
                <w:szCs w:val="18"/>
              </w:rPr>
              <w:t>Jumper set to configure protection</w:t>
            </w:r>
          </w:p>
        </w:tc>
      </w:tr>
    </w:tbl>
    <w:p w14:paraId="35F999E2">
      <w:pPr>
        <w:pStyle w:val="4"/>
        <w:spacing w:before="120" w:beforeLines="50" w:after="120" w:afterLines="50"/>
        <w:rPr>
          <w:rFonts w:asciiTheme="minorHAnsi" w:hAnsiTheme="minorHAnsi" w:cstheme="minorHAnsi"/>
        </w:rPr>
      </w:pPr>
      <w:bookmarkStart w:id="63" w:name="_Toc199429772"/>
      <w:r>
        <w:rPr>
          <w:rFonts w:asciiTheme="minorHAnsi" w:hAnsiTheme="minorHAnsi" w:cstheme="minorHAnsi"/>
        </w:rPr>
        <w:t>Steps to Set Electronic Damping - Mode 05</w:t>
      </w:r>
      <w:bookmarkEnd w:id="63"/>
    </w:p>
    <w:p w14:paraId="439152EF">
      <w:pPr>
        <w:pStyle w:val="40"/>
        <w:spacing w:after="240" w:line="240" w:lineRule="auto"/>
        <w:ind w:left="0"/>
        <w:rPr>
          <w:rFonts w:cstheme="minorHAnsi"/>
          <w:sz w:val="21"/>
          <w:szCs w:val="21"/>
        </w:rPr>
      </w:pPr>
      <w:r>
        <w:rPr>
          <w:rFonts w:cstheme="minorHAnsi"/>
          <w:sz w:val="21"/>
          <w:szCs w:val="21"/>
        </w:rPr>
        <w:t>Sets the time constant for electronic damping in the range 0 to 32 seconds.</w:t>
      </w:r>
    </w:p>
    <w:p w14:paraId="392780E1">
      <w:pPr>
        <w:pStyle w:val="40"/>
        <w:spacing w:after="240" w:line="240" w:lineRule="auto"/>
        <w:ind w:left="0"/>
        <w:rPr>
          <w:rFonts w:cstheme="minorHAnsi"/>
          <w:sz w:val="21"/>
          <w:szCs w:val="21"/>
        </w:rPr>
      </w:pPr>
      <w:r>
        <w:rPr>
          <w:rFonts w:cstheme="minorHAnsi"/>
          <w:sz w:val="21"/>
          <w:szCs w:val="21"/>
        </w:rPr>
        <w:t>Set up this electronic damping as follows:</w:t>
      </w:r>
    </w:p>
    <w:p w14:paraId="3B87FA5A">
      <w:pPr>
        <w:pStyle w:val="40"/>
        <w:spacing w:after="240" w:line="240" w:lineRule="auto"/>
        <w:ind w:left="0"/>
        <w:rPr>
          <w:rFonts w:cstheme="minorHAnsi"/>
          <w:sz w:val="21"/>
          <w:szCs w:val="21"/>
        </w:rPr>
      </w:pPr>
      <w:r>
        <w:rPr>
          <w:rFonts w:cstheme="minorHAnsi"/>
          <w:sz w:val="21"/>
          <w:szCs w:val="21"/>
        </w:rPr>
        <w:t>− set mode 05;</w:t>
      </w:r>
    </w:p>
    <w:p w14:paraId="6A9C1487">
      <w:pPr>
        <w:pStyle w:val="40"/>
        <w:spacing w:after="240" w:line="240" w:lineRule="auto"/>
        <w:ind w:left="0"/>
        <w:rPr>
          <w:rFonts w:cstheme="minorHAnsi"/>
          <w:sz w:val="21"/>
          <w:szCs w:val="21"/>
        </w:rPr>
      </w:pPr>
      <w:r>
        <w:rPr>
          <w:rFonts w:cstheme="minorHAnsi"/>
          <w:sz w:val="21"/>
          <w:szCs w:val="21"/>
        </w:rPr>
        <w:t>− Use [↑] or [↓] to select damping;</w:t>
      </w:r>
    </w:p>
    <w:p w14:paraId="00CC63FA">
      <w:pPr>
        <w:pStyle w:val="40"/>
        <w:spacing w:after="240" w:line="240" w:lineRule="auto"/>
        <w:ind w:left="0"/>
        <w:rPr>
          <w:rFonts w:cstheme="minorHAnsi"/>
          <w:sz w:val="21"/>
          <w:szCs w:val="21"/>
        </w:rPr>
      </w:pPr>
      <w:r>
        <w:rPr>
          <w:rFonts w:cstheme="minorHAnsi"/>
          <w:sz w:val="21"/>
          <w:szCs w:val="21"/>
        </w:rPr>
        <w:t>− Use [M] for mode switching.</w:t>
      </w:r>
    </w:p>
    <w:p w14:paraId="3C2414A2">
      <w:pPr>
        <w:pStyle w:val="40"/>
        <w:spacing w:after="240" w:line="240" w:lineRule="auto"/>
        <w:ind w:left="0"/>
        <w:rPr>
          <w:rFonts w:cstheme="minorHAnsi"/>
          <w:sz w:val="21"/>
          <w:szCs w:val="21"/>
        </w:rPr>
      </w:pPr>
      <w:r>
        <w:rPr>
          <w:rFonts w:cstheme="minorHAnsi"/>
          <w:sz w:val="21"/>
          <w:szCs w:val="21"/>
        </w:rPr>
        <w:t>Damping only affects the output of the analog input function block.</w:t>
      </w:r>
    </w:p>
    <w:p w14:paraId="4F386823">
      <w:pPr>
        <w:pStyle w:val="4"/>
        <w:spacing w:before="120" w:beforeLines="50" w:after="120" w:afterLines="50"/>
        <w:rPr>
          <w:rFonts w:asciiTheme="minorHAnsi" w:hAnsiTheme="minorHAnsi" w:cstheme="minorHAnsi"/>
        </w:rPr>
      </w:pPr>
      <w:bookmarkStart w:id="64" w:name="_Toc199429773"/>
      <w:r>
        <w:rPr>
          <w:rFonts w:asciiTheme="minorHAnsi" w:hAnsiTheme="minorHAnsi" w:cstheme="minorHAnsi"/>
        </w:rPr>
        <w:t>Steps to set the measurement value display source - Mode 11</w:t>
      </w:r>
      <w:bookmarkEnd w:id="64"/>
    </w:p>
    <w:p w14:paraId="41FFF17D">
      <w:pPr>
        <w:pStyle w:val="40"/>
        <w:spacing w:after="240" w:line="240" w:lineRule="auto"/>
        <w:ind w:left="0"/>
        <w:rPr>
          <w:rFonts w:cstheme="minorHAnsi"/>
          <w:sz w:val="21"/>
          <w:szCs w:val="21"/>
        </w:rPr>
      </w:pPr>
      <w:r>
        <w:rPr>
          <w:rFonts w:cstheme="minorHAnsi"/>
          <w:sz w:val="21"/>
          <w:szCs w:val="21"/>
        </w:rPr>
        <w:t>In this mode, you can choose the value that will be displayed.</w:t>
      </w:r>
    </w:p>
    <w:p w14:paraId="12E01C09">
      <w:pPr>
        <w:pStyle w:val="40"/>
        <w:spacing w:after="240" w:line="240" w:lineRule="auto"/>
        <w:ind w:left="0"/>
        <w:rPr>
          <w:rFonts w:cstheme="minorHAnsi"/>
          <w:sz w:val="21"/>
          <w:szCs w:val="21"/>
        </w:rPr>
      </w:pPr>
      <w:r>
        <w:rPr>
          <w:rFonts w:cstheme="minorHAnsi"/>
          <w:sz w:val="21"/>
          <w:szCs w:val="21"/>
        </w:rPr>
        <w:t>In SIMATIC PDM, this is the "Transmitter Type" parameter.</w:t>
      </w:r>
    </w:p>
    <w:p w14:paraId="3AA02DA8">
      <w:pPr>
        <w:pStyle w:val="40"/>
        <w:spacing w:after="240" w:line="240" w:lineRule="auto"/>
        <w:ind w:left="0"/>
        <w:rPr>
          <w:rFonts w:cstheme="minorHAnsi"/>
          <w:sz w:val="21"/>
          <w:szCs w:val="21"/>
        </w:rPr>
      </w:pPr>
      <w:r>
        <w:rPr>
          <w:rFonts w:cstheme="minorHAnsi"/>
          <w:sz w:val="21"/>
          <w:szCs w:val="21"/>
        </w:rPr>
        <w:t>You can choose the source of the measurement value in the following ways:</w:t>
      </w:r>
    </w:p>
    <w:p w14:paraId="2E045C33">
      <w:pPr>
        <w:pStyle w:val="40"/>
        <w:spacing w:after="240" w:line="240" w:lineRule="auto"/>
        <w:ind w:left="0"/>
        <w:rPr>
          <w:rFonts w:cstheme="minorHAnsi"/>
          <w:sz w:val="21"/>
          <w:szCs w:val="21"/>
        </w:rPr>
      </w:pPr>
      <w:r>
        <w:rPr>
          <w:rFonts w:cstheme="minorHAnsi"/>
          <w:sz w:val="21"/>
          <w:szCs w:val="21"/>
        </w:rPr>
        <w:t>− set mode 11;</w:t>
      </w:r>
    </w:p>
    <w:p w14:paraId="7851E604">
      <w:pPr>
        <w:pStyle w:val="40"/>
        <w:spacing w:after="240" w:line="240" w:lineRule="auto"/>
        <w:ind w:left="0"/>
        <w:rPr>
          <w:rFonts w:cstheme="minorHAnsi"/>
          <w:sz w:val="21"/>
          <w:szCs w:val="21"/>
        </w:rPr>
      </w:pPr>
      <w:r>
        <w:rPr>
          <w:rFonts w:cstheme="minorHAnsi"/>
          <w:sz w:val="21"/>
          <w:szCs w:val="21"/>
        </w:rPr>
        <w:t>− by using [↑] and [↓] to select the source of the measured value display;</w:t>
      </w:r>
    </w:p>
    <w:p w14:paraId="78F23151">
      <w:pPr>
        <w:pStyle w:val="40"/>
        <w:spacing w:after="240" w:line="240" w:lineRule="auto"/>
        <w:ind w:left="0"/>
        <w:rPr>
          <w:rFonts w:cstheme="minorHAnsi"/>
          <w:sz w:val="21"/>
          <w:szCs w:val="21"/>
        </w:rPr>
      </w:pPr>
      <w:r>
        <w:rPr>
          <w:rFonts w:cstheme="minorHAnsi"/>
          <w:sz w:val="21"/>
          <w:szCs w:val="21"/>
        </w:rPr>
        <w:t>− Use [M] for mode switching.</w:t>
      </w:r>
    </w:p>
    <w:p w14:paraId="7E5AF904">
      <w:pPr>
        <w:pStyle w:val="40"/>
        <w:spacing w:after="240" w:line="240" w:lineRule="auto"/>
        <w:ind w:left="0"/>
        <w:rPr>
          <w:rFonts w:cstheme="minorHAnsi"/>
          <w:sz w:val="21"/>
          <w:szCs w:val="21"/>
        </w:rPr>
      </w:pPr>
      <w:r>
        <w:rPr>
          <w:rFonts w:cstheme="minorHAnsi"/>
          <w:sz w:val="21"/>
          <w:szCs w:val="21"/>
        </w:rPr>
        <w:t>In Mode 12, the assignable unit of physical quantity depends on the source from which the measurement value is displayed.</w:t>
      </w:r>
    </w:p>
    <w:p w14:paraId="031013C1">
      <w:pPr>
        <w:pStyle w:val="40"/>
        <w:spacing w:after="240" w:line="240" w:lineRule="auto"/>
        <w:ind w:left="0"/>
        <w:rPr>
          <w:rFonts w:cstheme="minorHAnsi"/>
          <w:sz w:val="21"/>
          <w:szCs w:val="21"/>
        </w:rPr>
      </w:pPr>
      <w:r>
        <w:rPr>
          <w:rFonts w:cstheme="minorHAnsi"/>
          <w:sz w:val="21"/>
          <w:szCs w:val="21"/>
        </w:rPr>
        <w:t>The supported measurement value display sources are given in the table below.</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7"/>
        <w:gridCol w:w="2614"/>
      </w:tblGrid>
      <w:tr w14:paraId="33F4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0" w:type="auto"/>
            <w:shd w:val="clear" w:color="auto" w:fill="CCCCCC"/>
          </w:tcPr>
          <w:p w14:paraId="1AD28BFD">
            <w:pPr>
              <w:pStyle w:val="40"/>
              <w:spacing w:after="240" w:line="240" w:lineRule="auto"/>
              <w:ind w:left="0"/>
              <w:jc w:val="center"/>
              <w:rPr>
                <w:rFonts w:cstheme="minorHAnsi"/>
                <w:sz w:val="18"/>
                <w:szCs w:val="18"/>
              </w:rPr>
            </w:pPr>
            <w:r>
              <w:rPr>
                <w:rFonts w:cstheme="minorHAnsi"/>
                <w:sz w:val="18"/>
                <w:szCs w:val="18"/>
              </w:rPr>
              <w:t>Measured value display source</w:t>
            </w:r>
          </w:p>
        </w:tc>
        <w:tc>
          <w:tcPr>
            <w:tcW w:w="0" w:type="auto"/>
            <w:shd w:val="clear" w:color="auto" w:fill="CCCCCC"/>
          </w:tcPr>
          <w:p w14:paraId="1A511739">
            <w:pPr>
              <w:pStyle w:val="40"/>
              <w:spacing w:after="240" w:line="240" w:lineRule="auto"/>
              <w:ind w:left="0"/>
              <w:jc w:val="center"/>
              <w:rPr>
                <w:rFonts w:cstheme="minorHAnsi"/>
                <w:sz w:val="18"/>
                <w:szCs w:val="18"/>
              </w:rPr>
            </w:pPr>
            <w:r>
              <w:rPr>
                <w:rFonts w:cstheme="minorHAnsi"/>
                <w:sz w:val="18"/>
                <w:szCs w:val="18"/>
              </w:rPr>
              <w:t>LCD display auxiliary information</w:t>
            </w:r>
          </w:p>
        </w:tc>
      </w:tr>
      <w:tr w14:paraId="7002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0" w:type="auto"/>
          </w:tcPr>
          <w:p w14:paraId="48CDDB72">
            <w:pPr>
              <w:pStyle w:val="40"/>
              <w:spacing w:after="240" w:line="240" w:lineRule="auto"/>
              <w:ind w:left="0"/>
              <w:rPr>
                <w:rFonts w:cstheme="minorHAnsi"/>
                <w:sz w:val="18"/>
                <w:szCs w:val="18"/>
              </w:rPr>
            </w:pPr>
            <w:r>
              <w:rPr>
                <w:rFonts w:cstheme="minorHAnsi"/>
                <w:sz w:val="18"/>
                <w:szCs w:val="18"/>
              </w:rPr>
              <w:t>[0]Main variable output of pressure conversion block</w:t>
            </w:r>
          </w:p>
        </w:tc>
        <w:tc>
          <w:tcPr>
            <w:tcW w:w="0" w:type="auto"/>
          </w:tcPr>
          <w:p w14:paraId="1C687FFB">
            <w:pPr>
              <w:pStyle w:val="40"/>
              <w:spacing w:after="240" w:line="240" w:lineRule="auto"/>
              <w:ind w:left="0"/>
              <w:jc w:val="center"/>
              <w:rPr>
                <w:rFonts w:cstheme="minorHAnsi"/>
                <w:sz w:val="18"/>
                <w:szCs w:val="18"/>
              </w:rPr>
            </w:pPr>
            <w:r>
              <w:rPr>
                <w:rFonts w:cstheme="minorHAnsi"/>
                <w:sz w:val="18"/>
                <w:szCs w:val="18"/>
              </w:rPr>
              <w:t>PRIM</w:t>
            </w:r>
          </w:p>
        </w:tc>
      </w:tr>
      <w:tr w14:paraId="7582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0" w:type="auto"/>
          </w:tcPr>
          <w:p w14:paraId="28E82E65">
            <w:pPr>
              <w:pStyle w:val="40"/>
              <w:spacing w:after="240" w:line="240" w:lineRule="auto"/>
              <w:ind w:left="0"/>
              <w:rPr>
                <w:rFonts w:cstheme="minorHAnsi"/>
                <w:sz w:val="18"/>
                <w:szCs w:val="18"/>
              </w:rPr>
            </w:pPr>
            <w:r>
              <w:rPr>
                <w:rFonts w:cstheme="minorHAnsi"/>
                <w:sz w:val="18"/>
                <w:szCs w:val="18"/>
              </w:rPr>
              <w:t>[1]Pressure Transformer Block Secondary Variable Output</w:t>
            </w:r>
          </w:p>
        </w:tc>
        <w:tc>
          <w:tcPr>
            <w:tcW w:w="0" w:type="auto"/>
          </w:tcPr>
          <w:p w14:paraId="6E48AF88">
            <w:pPr>
              <w:pStyle w:val="40"/>
              <w:spacing w:after="240" w:line="240" w:lineRule="auto"/>
              <w:ind w:left="0"/>
              <w:jc w:val="center"/>
              <w:rPr>
                <w:rFonts w:cstheme="minorHAnsi"/>
                <w:sz w:val="18"/>
                <w:szCs w:val="18"/>
              </w:rPr>
            </w:pPr>
            <w:r>
              <w:rPr>
                <w:rFonts w:cstheme="minorHAnsi"/>
                <w:sz w:val="18"/>
                <w:szCs w:val="18"/>
              </w:rPr>
              <w:t>SEC1</w:t>
            </w:r>
          </w:p>
        </w:tc>
      </w:tr>
      <w:tr w14:paraId="11F0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0" w:type="auto"/>
          </w:tcPr>
          <w:p w14:paraId="392E962E">
            <w:pPr>
              <w:pStyle w:val="40"/>
              <w:spacing w:after="240" w:line="240" w:lineRule="auto"/>
              <w:ind w:left="0"/>
              <w:rPr>
                <w:rFonts w:cstheme="minorHAnsi"/>
                <w:sz w:val="18"/>
                <w:szCs w:val="18"/>
              </w:rPr>
            </w:pPr>
            <w:r>
              <w:rPr>
                <w:rFonts w:cstheme="minorHAnsi"/>
                <w:sz w:val="18"/>
                <w:szCs w:val="18"/>
              </w:rPr>
              <w:t>[2]AI function block output</w:t>
            </w:r>
          </w:p>
        </w:tc>
        <w:tc>
          <w:tcPr>
            <w:tcW w:w="0" w:type="auto"/>
          </w:tcPr>
          <w:p w14:paraId="4B442FF6">
            <w:pPr>
              <w:pStyle w:val="40"/>
              <w:spacing w:after="240" w:line="240" w:lineRule="auto"/>
              <w:ind w:left="0"/>
              <w:jc w:val="center"/>
              <w:rPr>
                <w:rFonts w:cstheme="minorHAnsi"/>
                <w:sz w:val="18"/>
                <w:szCs w:val="18"/>
              </w:rPr>
            </w:pPr>
            <w:r>
              <w:rPr>
                <w:rFonts w:cstheme="minorHAnsi"/>
                <w:sz w:val="18"/>
                <w:szCs w:val="18"/>
              </w:rPr>
              <w:t>AIOUT</w:t>
            </w:r>
          </w:p>
        </w:tc>
      </w:tr>
      <w:tr w14:paraId="3DF9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0" w:type="auto"/>
          </w:tcPr>
          <w:p w14:paraId="5F19B2F3">
            <w:pPr>
              <w:pStyle w:val="40"/>
              <w:spacing w:after="240" w:line="240" w:lineRule="auto"/>
              <w:ind w:left="0"/>
              <w:rPr>
                <w:rFonts w:cstheme="minorHAnsi"/>
                <w:sz w:val="18"/>
                <w:szCs w:val="18"/>
              </w:rPr>
            </w:pPr>
            <w:r>
              <w:rPr>
                <w:rFonts w:cstheme="minorHAnsi"/>
                <w:sz w:val="18"/>
                <w:szCs w:val="18"/>
              </w:rPr>
              <w:t>[3]Pressure transducer block sensor raw value</w:t>
            </w:r>
          </w:p>
        </w:tc>
        <w:tc>
          <w:tcPr>
            <w:tcW w:w="0" w:type="auto"/>
          </w:tcPr>
          <w:p w14:paraId="77F2F049">
            <w:pPr>
              <w:pStyle w:val="40"/>
              <w:spacing w:after="240" w:line="240" w:lineRule="auto"/>
              <w:ind w:left="0"/>
              <w:jc w:val="center"/>
              <w:rPr>
                <w:rFonts w:cstheme="minorHAnsi"/>
                <w:sz w:val="18"/>
                <w:szCs w:val="18"/>
              </w:rPr>
            </w:pPr>
            <w:r>
              <w:rPr>
                <w:rFonts w:cstheme="minorHAnsi"/>
                <w:sz w:val="18"/>
                <w:szCs w:val="18"/>
              </w:rPr>
              <w:t>SENS</w:t>
            </w:r>
          </w:p>
        </w:tc>
      </w:tr>
      <w:tr w14:paraId="1CB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0" w:type="auto"/>
          </w:tcPr>
          <w:p w14:paraId="19B9A756">
            <w:pPr>
              <w:pStyle w:val="40"/>
              <w:spacing w:after="240" w:line="240" w:lineRule="auto"/>
              <w:ind w:left="0"/>
              <w:rPr>
                <w:rFonts w:cstheme="minorHAnsi"/>
                <w:sz w:val="18"/>
                <w:szCs w:val="18"/>
              </w:rPr>
            </w:pPr>
            <w:r>
              <w:rPr>
                <w:rFonts w:cstheme="minorHAnsi"/>
                <w:sz w:val="18"/>
                <w:szCs w:val="18"/>
              </w:rPr>
              <w:t>[4]Pressure transducer block sensor temperature value</w:t>
            </w:r>
          </w:p>
        </w:tc>
        <w:tc>
          <w:tcPr>
            <w:tcW w:w="0" w:type="auto"/>
          </w:tcPr>
          <w:p w14:paraId="025547F1">
            <w:pPr>
              <w:pStyle w:val="40"/>
              <w:spacing w:after="240" w:line="240" w:lineRule="auto"/>
              <w:ind w:left="0"/>
              <w:jc w:val="center"/>
              <w:rPr>
                <w:rFonts w:cstheme="minorHAnsi"/>
                <w:sz w:val="18"/>
                <w:szCs w:val="18"/>
              </w:rPr>
            </w:pPr>
            <w:r>
              <w:rPr>
                <w:rFonts w:cstheme="minorHAnsi"/>
                <w:sz w:val="18"/>
                <w:szCs w:val="18"/>
              </w:rPr>
              <w:t>TEMP</w:t>
            </w:r>
          </w:p>
        </w:tc>
      </w:tr>
    </w:tbl>
    <w:p w14:paraId="7D665344">
      <w:pPr>
        <w:pStyle w:val="4"/>
        <w:spacing w:before="120" w:beforeLines="50" w:after="120" w:afterLines="50"/>
        <w:rPr>
          <w:rFonts w:asciiTheme="minorHAnsi" w:hAnsiTheme="minorHAnsi" w:cstheme="minorHAnsi"/>
        </w:rPr>
      </w:pPr>
      <w:bookmarkStart w:id="65" w:name="_Toc199429774"/>
      <w:r>
        <w:rPr>
          <w:rFonts w:asciiTheme="minorHAnsi" w:hAnsiTheme="minorHAnsi" w:cstheme="minorHAnsi"/>
        </w:rPr>
        <w:t>Operation steps for setting physical quantity units - Mode 12</w:t>
      </w:r>
      <w:bookmarkEnd w:id="65"/>
    </w:p>
    <w:p w14:paraId="59955C06">
      <w:pPr>
        <w:pStyle w:val="40"/>
        <w:spacing w:after="240" w:line="240" w:lineRule="auto"/>
        <w:ind w:left="0"/>
        <w:rPr>
          <w:rFonts w:cstheme="minorHAnsi"/>
          <w:sz w:val="21"/>
          <w:szCs w:val="21"/>
        </w:rPr>
      </w:pPr>
      <w:r>
        <w:rPr>
          <w:rFonts w:cstheme="minorHAnsi"/>
          <w:sz w:val="21"/>
          <w:szCs w:val="21"/>
        </w:rPr>
        <w:t>Set the physical quantity unit by selecting an option from the list. The group of units that can be selected depends on the source of the measurement display (mode 11).</w:t>
      </w:r>
    </w:p>
    <w:p w14:paraId="51F849FD">
      <w:pPr>
        <w:pStyle w:val="40"/>
        <w:spacing w:after="240" w:line="240" w:lineRule="auto"/>
        <w:ind w:left="0"/>
        <w:rPr>
          <w:rFonts w:cstheme="minorHAnsi"/>
          <w:sz w:val="21"/>
          <w:szCs w:val="21"/>
        </w:rPr>
      </w:pPr>
      <w:r>
        <w:rPr>
          <w:rFonts w:cstheme="minorHAnsi"/>
          <w:sz w:val="21"/>
          <w:szCs w:val="21"/>
        </w:rPr>
        <w:t>You can set physical quantity units in the following ways:</w:t>
      </w:r>
    </w:p>
    <w:p w14:paraId="3D3B59C2">
      <w:pPr>
        <w:pStyle w:val="40"/>
        <w:spacing w:after="240" w:line="240" w:lineRule="auto"/>
        <w:ind w:left="0"/>
        <w:rPr>
          <w:rFonts w:cstheme="minorHAnsi"/>
          <w:sz w:val="21"/>
          <w:szCs w:val="21"/>
        </w:rPr>
      </w:pPr>
      <w:r>
        <w:rPr>
          <w:rFonts w:cstheme="minorHAnsi"/>
          <w:sz w:val="21"/>
          <w:szCs w:val="21"/>
        </w:rPr>
        <w:t>− Set mode 12. The identifier of the current unit appears in the measurement value display, and the corresponding plain text appears in the unit display.</w:t>
      </w:r>
    </w:p>
    <w:p w14:paraId="28EF4211">
      <w:pPr>
        <w:pStyle w:val="40"/>
        <w:spacing w:after="240" w:line="240" w:lineRule="auto"/>
        <w:ind w:left="0"/>
        <w:rPr>
          <w:rFonts w:cstheme="minorHAnsi"/>
          <w:sz w:val="21"/>
          <w:szCs w:val="21"/>
        </w:rPr>
      </w:pPr>
      <w:r>
        <w:rPr>
          <w:rFonts w:cstheme="minorHAnsi"/>
          <w:sz w:val="21"/>
          <w:szCs w:val="21"/>
        </w:rPr>
        <w:t>− Select a unit by using [↑] and [↓];</w:t>
      </w:r>
    </w:p>
    <w:p w14:paraId="7DC650CD">
      <w:pPr>
        <w:pStyle w:val="40"/>
        <w:spacing w:after="240" w:line="240" w:lineRule="auto"/>
        <w:ind w:left="0"/>
        <w:rPr>
          <w:rFonts w:cstheme="minorHAnsi"/>
          <w:sz w:val="21"/>
          <w:szCs w:val="21"/>
        </w:rPr>
      </w:pPr>
      <w:r>
        <w:rPr>
          <w:rFonts w:cstheme="minorHAnsi"/>
          <w:sz w:val="21"/>
          <w:szCs w:val="21"/>
        </w:rPr>
        <w:t>− Use [M] for mode switching.</w:t>
      </w:r>
    </w:p>
    <w:p w14:paraId="3C16C561">
      <w:pPr>
        <w:pStyle w:val="40"/>
        <w:spacing w:after="240" w:line="240" w:lineRule="auto"/>
        <w:ind w:left="0"/>
        <w:rPr>
          <w:rFonts w:cstheme="minorHAnsi"/>
          <w:sz w:val="21"/>
          <w:szCs w:val="21"/>
        </w:rPr>
      </w:pPr>
      <w:r>
        <w:rPr>
          <w:rFonts w:cstheme="minorHAnsi"/>
          <w:sz w:val="21"/>
          <w:szCs w:val="21"/>
        </w:rPr>
        <w:t xml:space="preserve">The pressure unit is shown in Table 4.4： </w:t>
      </w:r>
    </w:p>
    <w:p w14:paraId="509EEC49">
      <w:pPr>
        <w:pStyle w:val="12"/>
        <w:keepNext/>
        <w:spacing w:before="120" w:after="120"/>
        <w:rPr>
          <w:rFonts w:asciiTheme="minorHAnsi" w:hAnsiTheme="minorHAnsi" w:cstheme="minorHAnsi"/>
        </w:rPr>
      </w:pPr>
      <w:r>
        <w:rPr>
          <w:rFonts w:asciiTheme="minorHAnsi" w:hAnsiTheme="minorHAnsi" w:cstheme="minorHAnsi"/>
        </w:rPr>
        <w:t xml:space="preserve">Table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表 \* ARABIC \s 1 </w:instrText>
      </w:r>
      <w:r>
        <w:rPr>
          <w:rFonts w:asciiTheme="minorHAnsi" w:hAnsiTheme="minorHAnsi" w:cstheme="minorHAnsi"/>
        </w:rPr>
        <w:fldChar w:fldCharType="separate"/>
      </w:r>
      <w:r>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 xml:space="preserve"> pressure unit</w:t>
      </w:r>
    </w:p>
    <w:tbl>
      <w:tblPr>
        <w:tblStyle w:val="3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814"/>
        <w:gridCol w:w="978"/>
        <w:gridCol w:w="1251"/>
        <w:gridCol w:w="1003"/>
        <w:gridCol w:w="1328"/>
      </w:tblGrid>
      <w:tr w14:paraId="4A8EF6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blHeader/>
          <w:jc w:val="center"/>
        </w:trPr>
        <w:tc>
          <w:tcPr>
            <w:tcW w:w="952" w:type="dxa"/>
            <w:tcBorders>
              <w:top w:val="single" w:color="auto" w:sz="4" w:space="0"/>
              <w:left w:val="single" w:color="auto" w:sz="4" w:space="0"/>
              <w:bottom w:val="single" w:color="auto" w:sz="4" w:space="0"/>
              <w:right w:val="single" w:color="auto" w:sz="4" w:space="0"/>
            </w:tcBorders>
            <w:shd w:val="clear" w:color="auto" w:fill="CCCCCC"/>
            <w:vAlign w:val="center"/>
          </w:tcPr>
          <w:p w14:paraId="7BDB8262">
            <w:pPr>
              <w:spacing w:after="240"/>
              <w:jc w:val="center"/>
              <w:rPr>
                <w:rFonts w:cstheme="minorHAnsi"/>
                <w:sz w:val="18"/>
                <w:szCs w:val="18"/>
              </w:rPr>
            </w:pPr>
            <w:r>
              <w:rPr>
                <w:rFonts w:cstheme="minorHAnsi"/>
                <w:sz w:val="18"/>
                <w:szCs w:val="18"/>
              </w:rPr>
              <w:t>Unit Code</w:t>
            </w:r>
          </w:p>
        </w:tc>
        <w:tc>
          <w:tcPr>
            <w:tcW w:w="814" w:type="dxa"/>
            <w:tcBorders>
              <w:top w:val="single" w:color="auto" w:sz="4" w:space="0"/>
              <w:left w:val="single" w:color="auto" w:sz="4" w:space="0"/>
              <w:bottom w:val="single" w:color="auto" w:sz="4" w:space="0"/>
              <w:right w:val="single" w:color="auto" w:sz="4" w:space="0"/>
            </w:tcBorders>
            <w:shd w:val="clear" w:color="auto" w:fill="CCCCCC"/>
            <w:vAlign w:val="center"/>
          </w:tcPr>
          <w:p w14:paraId="2F25EFF3">
            <w:pPr>
              <w:spacing w:after="240"/>
              <w:jc w:val="center"/>
              <w:rPr>
                <w:rFonts w:cstheme="minorHAnsi"/>
                <w:sz w:val="18"/>
                <w:szCs w:val="18"/>
              </w:rPr>
            </w:pPr>
            <w:r>
              <w:rPr>
                <w:rFonts w:cstheme="minorHAnsi"/>
                <w:sz w:val="18"/>
                <w:szCs w:val="18"/>
              </w:rPr>
              <w:t>Unit</w:t>
            </w:r>
          </w:p>
        </w:tc>
        <w:tc>
          <w:tcPr>
            <w:tcW w:w="978" w:type="dxa"/>
            <w:tcBorders>
              <w:top w:val="single" w:color="auto" w:sz="4" w:space="0"/>
              <w:left w:val="single" w:color="auto" w:sz="4" w:space="0"/>
              <w:bottom w:val="single" w:color="auto" w:sz="4" w:space="0"/>
              <w:right w:val="single" w:color="auto" w:sz="4" w:space="0"/>
            </w:tcBorders>
            <w:shd w:val="clear" w:color="auto" w:fill="CCCCCC"/>
            <w:vAlign w:val="center"/>
          </w:tcPr>
          <w:p w14:paraId="5D730AFA">
            <w:pPr>
              <w:spacing w:after="240"/>
              <w:jc w:val="center"/>
              <w:rPr>
                <w:rFonts w:cstheme="minorHAnsi"/>
                <w:sz w:val="18"/>
                <w:szCs w:val="18"/>
              </w:rPr>
            </w:pPr>
            <w:r>
              <w:rPr>
                <w:rFonts w:cstheme="minorHAnsi"/>
                <w:sz w:val="18"/>
                <w:szCs w:val="18"/>
              </w:rPr>
              <w:t>Unit Code</w:t>
            </w:r>
          </w:p>
        </w:tc>
        <w:tc>
          <w:tcPr>
            <w:tcW w:w="1251" w:type="dxa"/>
            <w:tcBorders>
              <w:top w:val="single" w:color="auto" w:sz="4" w:space="0"/>
              <w:left w:val="single" w:color="auto" w:sz="4" w:space="0"/>
              <w:bottom w:val="single" w:color="auto" w:sz="4" w:space="0"/>
              <w:right w:val="single" w:color="auto" w:sz="4" w:space="0"/>
            </w:tcBorders>
            <w:shd w:val="clear" w:color="auto" w:fill="CCCCCC"/>
            <w:vAlign w:val="center"/>
          </w:tcPr>
          <w:p w14:paraId="21790086">
            <w:pPr>
              <w:spacing w:after="240"/>
              <w:jc w:val="center"/>
              <w:rPr>
                <w:rFonts w:cstheme="minorHAnsi"/>
                <w:sz w:val="18"/>
                <w:szCs w:val="18"/>
              </w:rPr>
            </w:pPr>
            <w:r>
              <w:rPr>
                <w:rFonts w:cstheme="minorHAnsi"/>
                <w:sz w:val="18"/>
                <w:szCs w:val="18"/>
              </w:rPr>
              <w:t xml:space="preserve">Unit </w:t>
            </w:r>
          </w:p>
        </w:tc>
        <w:tc>
          <w:tcPr>
            <w:tcW w:w="1003" w:type="dxa"/>
            <w:tcBorders>
              <w:top w:val="single" w:color="auto" w:sz="4" w:space="0"/>
              <w:left w:val="single" w:color="auto" w:sz="4" w:space="0"/>
              <w:bottom w:val="single" w:color="auto" w:sz="4" w:space="0"/>
              <w:right w:val="single" w:color="auto" w:sz="4" w:space="0"/>
            </w:tcBorders>
            <w:shd w:val="clear" w:color="auto" w:fill="CCCCCC"/>
            <w:vAlign w:val="center"/>
          </w:tcPr>
          <w:p w14:paraId="3A15D724">
            <w:pPr>
              <w:spacing w:after="240"/>
              <w:jc w:val="center"/>
              <w:rPr>
                <w:rFonts w:cstheme="minorHAnsi"/>
                <w:sz w:val="18"/>
                <w:szCs w:val="18"/>
              </w:rPr>
            </w:pPr>
            <w:r>
              <w:rPr>
                <w:rFonts w:cstheme="minorHAnsi"/>
                <w:sz w:val="18"/>
                <w:szCs w:val="18"/>
              </w:rPr>
              <w:t>Unit Code</w:t>
            </w:r>
          </w:p>
        </w:tc>
        <w:tc>
          <w:tcPr>
            <w:tcW w:w="1328" w:type="dxa"/>
            <w:tcBorders>
              <w:top w:val="single" w:color="auto" w:sz="4" w:space="0"/>
              <w:left w:val="single" w:color="auto" w:sz="4" w:space="0"/>
              <w:bottom w:val="single" w:color="auto" w:sz="4" w:space="0"/>
              <w:right w:val="single" w:color="auto" w:sz="4" w:space="0"/>
            </w:tcBorders>
            <w:shd w:val="clear" w:color="auto" w:fill="CCCCCC"/>
            <w:vAlign w:val="center"/>
          </w:tcPr>
          <w:p w14:paraId="72EB5E56">
            <w:pPr>
              <w:spacing w:after="240"/>
              <w:jc w:val="center"/>
              <w:rPr>
                <w:rFonts w:cstheme="minorHAnsi"/>
                <w:sz w:val="18"/>
                <w:szCs w:val="18"/>
              </w:rPr>
            </w:pPr>
            <w:r>
              <w:rPr>
                <w:rFonts w:cstheme="minorHAnsi"/>
                <w:sz w:val="18"/>
                <w:szCs w:val="18"/>
              </w:rPr>
              <w:t>Unit</w:t>
            </w:r>
          </w:p>
        </w:tc>
      </w:tr>
      <w:tr w14:paraId="181D4F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exact"/>
          <w:jc w:val="center"/>
        </w:trPr>
        <w:tc>
          <w:tcPr>
            <w:tcW w:w="952" w:type="dxa"/>
            <w:tcBorders>
              <w:top w:val="single" w:color="auto" w:sz="4" w:space="0"/>
              <w:left w:val="single" w:color="auto" w:sz="4" w:space="0"/>
              <w:bottom w:val="single" w:color="auto" w:sz="4" w:space="0"/>
            </w:tcBorders>
            <w:vAlign w:val="center"/>
          </w:tcPr>
          <w:p w14:paraId="69900D02">
            <w:pPr>
              <w:spacing w:after="240"/>
              <w:jc w:val="center"/>
              <w:rPr>
                <w:rFonts w:cstheme="minorHAnsi"/>
                <w:sz w:val="18"/>
                <w:szCs w:val="18"/>
              </w:rPr>
            </w:pPr>
            <w:r>
              <w:rPr>
                <w:rFonts w:cstheme="minorHAnsi"/>
                <w:sz w:val="18"/>
                <w:szCs w:val="18"/>
              </w:rPr>
              <w:t>1130</w:t>
            </w:r>
          </w:p>
        </w:tc>
        <w:tc>
          <w:tcPr>
            <w:tcW w:w="814" w:type="dxa"/>
            <w:tcBorders>
              <w:top w:val="single" w:color="auto" w:sz="4" w:space="0"/>
              <w:bottom w:val="single" w:color="auto" w:sz="4" w:space="0"/>
              <w:right w:val="single" w:color="auto" w:sz="4" w:space="0"/>
            </w:tcBorders>
            <w:vAlign w:val="center"/>
          </w:tcPr>
          <w:p w14:paraId="564FF106">
            <w:pPr>
              <w:spacing w:after="240"/>
              <w:jc w:val="center"/>
              <w:rPr>
                <w:rFonts w:cstheme="minorHAnsi"/>
                <w:sz w:val="18"/>
                <w:szCs w:val="18"/>
              </w:rPr>
            </w:pPr>
            <w:r>
              <w:rPr>
                <w:rFonts w:cstheme="minorHAnsi"/>
                <w:sz w:val="18"/>
                <w:szCs w:val="18"/>
              </w:rPr>
              <w:t>Pa</w:t>
            </w:r>
          </w:p>
        </w:tc>
        <w:tc>
          <w:tcPr>
            <w:tcW w:w="978" w:type="dxa"/>
            <w:tcBorders>
              <w:top w:val="single" w:color="auto" w:sz="4" w:space="0"/>
              <w:bottom w:val="single" w:color="auto" w:sz="4" w:space="0"/>
              <w:right w:val="single" w:color="auto" w:sz="4" w:space="0"/>
            </w:tcBorders>
            <w:vAlign w:val="center"/>
          </w:tcPr>
          <w:p w14:paraId="53DE5137">
            <w:pPr>
              <w:spacing w:after="240"/>
              <w:jc w:val="center"/>
              <w:rPr>
                <w:rFonts w:cstheme="minorHAnsi"/>
                <w:sz w:val="18"/>
                <w:szCs w:val="18"/>
              </w:rPr>
            </w:pPr>
            <w:r>
              <w:rPr>
                <w:rFonts w:cstheme="minorHAnsi"/>
                <w:sz w:val="18"/>
                <w:szCs w:val="18"/>
              </w:rPr>
              <w:t>1140</w:t>
            </w:r>
          </w:p>
        </w:tc>
        <w:tc>
          <w:tcPr>
            <w:tcW w:w="1251" w:type="dxa"/>
            <w:tcBorders>
              <w:top w:val="single" w:color="auto" w:sz="4" w:space="0"/>
              <w:bottom w:val="single" w:color="auto" w:sz="4" w:space="0"/>
              <w:right w:val="single" w:color="auto" w:sz="4" w:space="0"/>
            </w:tcBorders>
            <w:vAlign w:val="center"/>
          </w:tcPr>
          <w:p w14:paraId="12DE8340">
            <w:pPr>
              <w:spacing w:after="240"/>
              <w:jc w:val="center"/>
              <w:rPr>
                <w:rFonts w:cstheme="minorHAnsi"/>
                <w:sz w:val="18"/>
                <w:szCs w:val="18"/>
              </w:rPr>
            </w:pPr>
            <w:r>
              <w:rPr>
                <w:rFonts w:cstheme="minorHAnsi"/>
                <w:sz w:val="18"/>
                <w:szCs w:val="18"/>
              </w:rPr>
              <w:t>atm</w:t>
            </w:r>
          </w:p>
        </w:tc>
        <w:tc>
          <w:tcPr>
            <w:tcW w:w="1003" w:type="dxa"/>
            <w:tcBorders>
              <w:top w:val="single" w:color="auto" w:sz="4" w:space="0"/>
              <w:bottom w:val="single" w:color="auto" w:sz="4" w:space="0"/>
              <w:right w:val="single" w:color="auto" w:sz="4" w:space="0"/>
            </w:tcBorders>
            <w:vAlign w:val="center"/>
          </w:tcPr>
          <w:p w14:paraId="7D5DE0AC">
            <w:pPr>
              <w:spacing w:after="240"/>
              <w:jc w:val="center"/>
              <w:rPr>
                <w:rFonts w:cstheme="minorHAnsi"/>
                <w:sz w:val="18"/>
                <w:szCs w:val="18"/>
              </w:rPr>
            </w:pPr>
            <w:r>
              <w:rPr>
                <w:rFonts w:cstheme="minorHAnsi"/>
                <w:sz w:val="18"/>
                <w:szCs w:val="18"/>
              </w:rPr>
              <w:t>1150</w:t>
            </w:r>
          </w:p>
        </w:tc>
        <w:tc>
          <w:tcPr>
            <w:tcW w:w="1328" w:type="dxa"/>
            <w:tcBorders>
              <w:top w:val="single" w:color="auto" w:sz="4" w:space="0"/>
              <w:bottom w:val="single" w:color="auto" w:sz="4" w:space="0"/>
              <w:right w:val="single" w:color="auto" w:sz="4" w:space="0"/>
            </w:tcBorders>
            <w:vAlign w:val="center"/>
          </w:tcPr>
          <w:p w14:paraId="1581300E">
            <w:pPr>
              <w:spacing w:after="240"/>
              <w:jc w:val="center"/>
              <w:rPr>
                <w:rFonts w:cstheme="minorHAnsi"/>
                <w:sz w:val="18"/>
                <w:szCs w:val="18"/>
              </w:rPr>
            </w:pPr>
            <w:r>
              <w:rPr>
                <w:rFonts w:cstheme="minorHAnsi"/>
                <w:sz w:val="18"/>
                <w:szCs w:val="18"/>
              </w:rPr>
              <w:t>mmH</w:t>
            </w:r>
            <w:r>
              <w:rPr>
                <w:rFonts w:cstheme="minorHAnsi"/>
                <w:sz w:val="18"/>
                <w:szCs w:val="18"/>
                <w:vertAlign w:val="subscript"/>
              </w:rPr>
              <w:t>2</w:t>
            </w:r>
            <w:r>
              <w:rPr>
                <w:rFonts w:cstheme="minorHAnsi"/>
                <w:sz w:val="18"/>
                <w:szCs w:val="18"/>
              </w:rPr>
              <w:t xml:space="preserve">O(4 </w:t>
            </w:r>
            <w:r>
              <w:rPr>
                <w:rFonts w:ascii="Cambria Math" w:hAnsi="Cambria Math" w:cs="Cambria Math"/>
                <w:sz w:val="18"/>
                <w:szCs w:val="18"/>
              </w:rPr>
              <w:t>℃</w:t>
            </w:r>
            <w:r>
              <w:rPr>
                <w:rFonts w:cstheme="minorHAnsi"/>
                <w:sz w:val="18"/>
                <w:szCs w:val="18"/>
              </w:rPr>
              <w:t>)</w:t>
            </w:r>
          </w:p>
        </w:tc>
      </w:tr>
      <w:tr w14:paraId="157A8D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exact"/>
          <w:jc w:val="center"/>
        </w:trPr>
        <w:tc>
          <w:tcPr>
            <w:tcW w:w="952" w:type="dxa"/>
            <w:tcBorders>
              <w:top w:val="single" w:color="auto" w:sz="4" w:space="0"/>
              <w:left w:val="single" w:color="auto" w:sz="4" w:space="0"/>
              <w:bottom w:val="single" w:color="auto" w:sz="4" w:space="0"/>
            </w:tcBorders>
            <w:vAlign w:val="center"/>
          </w:tcPr>
          <w:p w14:paraId="377D9165">
            <w:pPr>
              <w:spacing w:after="240"/>
              <w:jc w:val="center"/>
              <w:rPr>
                <w:rFonts w:cstheme="minorHAnsi"/>
                <w:sz w:val="18"/>
                <w:szCs w:val="18"/>
              </w:rPr>
            </w:pPr>
            <w:r>
              <w:rPr>
                <w:rFonts w:cstheme="minorHAnsi"/>
                <w:sz w:val="18"/>
                <w:szCs w:val="18"/>
              </w:rPr>
              <w:t>1131</w:t>
            </w:r>
          </w:p>
        </w:tc>
        <w:tc>
          <w:tcPr>
            <w:tcW w:w="814" w:type="dxa"/>
            <w:tcBorders>
              <w:top w:val="single" w:color="auto" w:sz="4" w:space="0"/>
              <w:bottom w:val="single" w:color="auto" w:sz="4" w:space="0"/>
              <w:right w:val="single" w:color="auto" w:sz="4" w:space="0"/>
            </w:tcBorders>
            <w:vAlign w:val="center"/>
          </w:tcPr>
          <w:p w14:paraId="673FA662">
            <w:pPr>
              <w:spacing w:after="240"/>
              <w:jc w:val="center"/>
              <w:rPr>
                <w:rFonts w:cstheme="minorHAnsi"/>
                <w:sz w:val="18"/>
                <w:szCs w:val="18"/>
              </w:rPr>
            </w:pPr>
            <w:r>
              <w:rPr>
                <w:rFonts w:cstheme="minorHAnsi"/>
                <w:sz w:val="18"/>
                <w:szCs w:val="18"/>
              </w:rPr>
              <w:t>GPa</w:t>
            </w:r>
          </w:p>
        </w:tc>
        <w:tc>
          <w:tcPr>
            <w:tcW w:w="978" w:type="dxa"/>
            <w:tcBorders>
              <w:top w:val="single" w:color="auto" w:sz="4" w:space="0"/>
              <w:bottom w:val="single" w:color="auto" w:sz="4" w:space="0"/>
              <w:right w:val="single" w:color="auto" w:sz="4" w:space="0"/>
            </w:tcBorders>
            <w:vAlign w:val="center"/>
          </w:tcPr>
          <w:p w14:paraId="0FDEDD83">
            <w:pPr>
              <w:spacing w:after="240"/>
              <w:jc w:val="center"/>
              <w:rPr>
                <w:rFonts w:cstheme="minorHAnsi"/>
                <w:sz w:val="18"/>
                <w:szCs w:val="18"/>
              </w:rPr>
            </w:pPr>
            <w:r>
              <w:rPr>
                <w:rFonts w:cstheme="minorHAnsi"/>
                <w:sz w:val="18"/>
                <w:szCs w:val="18"/>
              </w:rPr>
              <w:t>1141</w:t>
            </w:r>
          </w:p>
        </w:tc>
        <w:tc>
          <w:tcPr>
            <w:tcW w:w="1251" w:type="dxa"/>
            <w:tcBorders>
              <w:top w:val="single" w:color="auto" w:sz="4" w:space="0"/>
              <w:bottom w:val="single" w:color="auto" w:sz="4" w:space="0"/>
              <w:right w:val="single" w:color="auto" w:sz="4" w:space="0"/>
            </w:tcBorders>
            <w:vAlign w:val="center"/>
          </w:tcPr>
          <w:p w14:paraId="73E4B13F">
            <w:pPr>
              <w:spacing w:after="240"/>
              <w:jc w:val="center"/>
              <w:rPr>
                <w:rFonts w:cstheme="minorHAnsi"/>
                <w:sz w:val="18"/>
                <w:szCs w:val="18"/>
              </w:rPr>
            </w:pPr>
            <w:r>
              <w:rPr>
                <w:rFonts w:cstheme="minorHAnsi"/>
                <w:sz w:val="18"/>
                <w:szCs w:val="18"/>
              </w:rPr>
              <w:t>psi</w:t>
            </w:r>
          </w:p>
        </w:tc>
        <w:tc>
          <w:tcPr>
            <w:tcW w:w="1003" w:type="dxa"/>
            <w:tcBorders>
              <w:top w:val="single" w:color="auto" w:sz="4" w:space="0"/>
              <w:bottom w:val="single" w:color="auto" w:sz="4" w:space="0"/>
              <w:right w:val="single" w:color="auto" w:sz="4" w:space="0"/>
            </w:tcBorders>
            <w:vAlign w:val="center"/>
          </w:tcPr>
          <w:p w14:paraId="2770A2BE">
            <w:pPr>
              <w:spacing w:after="240"/>
              <w:jc w:val="center"/>
              <w:rPr>
                <w:rFonts w:cstheme="minorHAnsi"/>
                <w:sz w:val="18"/>
                <w:szCs w:val="18"/>
              </w:rPr>
            </w:pPr>
            <w:r>
              <w:rPr>
                <w:rFonts w:cstheme="minorHAnsi"/>
                <w:sz w:val="18"/>
                <w:szCs w:val="18"/>
              </w:rPr>
              <w:t>1151</w:t>
            </w:r>
          </w:p>
        </w:tc>
        <w:tc>
          <w:tcPr>
            <w:tcW w:w="1328" w:type="dxa"/>
            <w:tcBorders>
              <w:top w:val="single" w:color="auto" w:sz="4" w:space="0"/>
              <w:bottom w:val="single" w:color="auto" w:sz="4" w:space="0"/>
              <w:right w:val="single" w:color="auto" w:sz="4" w:space="0"/>
            </w:tcBorders>
            <w:vAlign w:val="center"/>
          </w:tcPr>
          <w:p w14:paraId="27201962">
            <w:pPr>
              <w:spacing w:after="240"/>
              <w:jc w:val="center"/>
              <w:rPr>
                <w:rFonts w:cstheme="minorHAnsi"/>
                <w:sz w:val="18"/>
                <w:szCs w:val="18"/>
              </w:rPr>
            </w:pPr>
            <w:r>
              <w:rPr>
                <w:rFonts w:cstheme="minorHAnsi"/>
                <w:sz w:val="18"/>
                <w:szCs w:val="18"/>
              </w:rPr>
              <w:t>mmH</w:t>
            </w:r>
            <w:r>
              <w:rPr>
                <w:rFonts w:cstheme="minorHAnsi"/>
                <w:sz w:val="18"/>
                <w:szCs w:val="18"/>
                <w:vertAlign w:val="subscript"/>
              </w:rPr>
              <w:t>2</w:t>
            </w:r>
            <w:r>
              <w:rPr>
                <w:rFonts w:cstheme="minorHAnsi"/>
                <w:sz w:val="18"/>
                <w:szCs w:val="18"/>
              </w:rPr>
              <w:t xml:space="preserve">O(68 </w:t>
            </w:r>
            <w:r>
              <w:rPr>
                <w:rFonts w:ascii="Cambria Math" w:hAnsi="Cambria Math" w:cs="Cambria Math"/>
                <w:sz w:val="18"/>
                <w:szCs w:val="18"/>
              </w:rPr>
              <w:t>℃</w:t>
            </w:r>
            <w:r>
              <w:rPr>
                <w:rFonts w:cstheme="minorHAnsi"/>
                <w:sz w:val="18"/>
                <w:szCs w:val="18"/>
              </w:rPr>
              <w:t>)</w:t>
            </w:r>
          </w:p>
        </w:tc>
      </w:tr>
      <w:tr w14:paraId="4C9D0F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exact"/>
          <w:jc w:val="center"/>
        </w:trPr>
        <w:tc>
          <w:tcPr>
            <w:tcW w:w="952" w:type="dxa"/>
            <w:tcBorders>
              <w:top w:val="single" w:color="auto" w:sz="4" w:space="0"/>
              <w:left w:val="single" w:color="auto" w:sz="4" w:space="0"/>
              <w:bottom w:val="single" w:color="auto" w:sz="4" w:space="0"/>
            </w:tcBorders>
            <w:vAlign w:val="center"/>
          </w:tcPr>
          <w:p w14:paraId="199663D3">
            <w:pPr>
              <w:spacing w:after="240"/>
              <w:jc w:val="center"/>
              <w:rPr>
                <w:rFonts w:cstheme="minorHAnsi"/>
                <w:sz w:val="18"/>
                <w:szCs w:val="18"/>
              </w:rPr>
            </w:pPr>
            <w:r>
              <w:rPr>
                <w:rFonts w:cstheme="minorHAnsi"/>
                <w:sz w:val="18"/>
                <w:szCs w:val="18"/>
              </w:rPr>
              <w:t>1132</w:t>
            </w:r>
          </w:p>
        </w:tc>
        <w:tc>
          <w:tcPr>
            <w:tcW w:w="814" w:type="dxa"/>
            <w:tcBorders>
              <w:top w:val="single" w:color="auto" w:sz="4" w:space="0"/>
              <w:bottom w:val="single" w:color="auto" w:sz="4" w:space="0"/>
              <w:right w:val="single" w:color="auto" w:sz="4" w:space="0"/>
            </w:tcBorders>
            <w:vAlign w:val="center"/>
          </w:tcPr>
          <w:p w14:paraId="39804F33">
            <w:pPr>
              <w:spacing w:after="240"/>
              <w:jc w:val="center"/>
              <w:rPr>
                <w:rFonts w:cstheme="minorHAnsi"/>
                <w:sz w:val="18"/>
                <w:szCs w:val="18"/>
              </w:rPr>
            </w:pPr>
            <w:r>
              <w:rPr>
                <w:rFonts w:cstheme="minorHAnsi"/>
                <w:sz w:val="18"/>
                <w:szCs w:val="18"/>
              </w:rPr>
              <w:t>MPa</w:t>
            </w:r>
          </w:p>
        </w:tc>
        <w:tc>
          <w:tcPr>
            <w:tcW w:w="978" w:type="dxa"/>
            <w:tcBorders>
              <w:top w:val="single" w:color="auto" w:sz="4" w:space="0"/>
              <w:bottom w:val="single" w:color="auto" w:sz="4" w:space="0"/>
              <w:right w:val="single" w:color="auto" w:sz="4" w:space="0"/>
            </w:tcBorders>
            <w:vAlign w:val="center"/>
          </w:tcPr>
          <w:p w14:paraId="0A6B1E30">
            <w:pPr>
              <w:spacing w:after="240"/>
              <w:jc w:val="center"/>
              <w:rPr>
                <w:rFonts w:cstheme="minorHAnsi"/>
                <w:sz w:val="18"/>
                <w:szCs w:val="18"/>
              </w:rPr>
            </w:pPr>
            <w:r>
              <w:rPr>
                <w:rFonts w:cstheme="minorHAnsi"/>
                <w:sz w:val="18"/>
                <w:szCs w:val="18"/>
              </w:rPr>
              <w:t>1142</w:t>
            </w:r>
          </w:p>
        </w:tc>
        <w:tc>
          <w:tcPr>
            <w:tcW w:w="1251" w:type="dxa"/>
            <w:tcBorders>
              <w:top w:val="single" w:color="auto" w:sz="4" w:space="0"/>
              <w:bottom w:val="single" w:color="auto" w:sz="4" w:space="0"/>
              <w:right w:val="single" w:color="auto" w:sz="4" w:space="0"/>
            </w:tcBorders>
            <w:vAlign w:val="center"/>
          </w:tcPr>
          <w:p w14:paraId="4A71D5ED">
            <w:pPr>
              <w:spacing w:after="240"/>
              <w:jc w:val="center"/>
              <w:rPr>
                <w:rFonts w:cstheme="minorHAnsi"/>
                <w:sz w:val="18"/>
                <w:szCs w:val="18"/>
              </w:rPr>
            </w:pPr>
            <w:r>
              <w:rPr>
                <w:rFonts w:cstheme="minorHAnsi"/>
                <w:sz w:val="18"/>
                <w:szCs w:val="18"/>
              </w:rPr>
              <w:t>psia</w:t>
            </w:r>
          </w:p>
        </w:tc>
        <w:tc>
          <w:tcPr>
            <w:tcW w:w="1003" w:type="dxa"/>
            <w:tcBorders>
              <w:top w:val="single" w:color="auto" w:sz="4" w:space="0"/>
              <w:bottom w:val="single" w:color="auto" w:sz="4" w:space="0"/>
              <w:right w:val="single" w:color="auto" w:sz="4" w:space="0"/>
            </w:tcBorders>
            <w:vAlign w:val="center"/>
          </w:tcPr>
          <w:p w14:paraId="0C28D1AC">
            <w:pPr>
              <w:spacing w:after="240"/>
              <w:jc w:val="center"/>
              <w:rPr>
                <w:rFonts w:cstheme="minorHAnsi"/>
                <w:sz w:val="18"/>
                <w:szCs w:val="18"/>
              </w:rPr>
            </w:pPr>
            <w:r>
              <w:rPr>
                <w:rFonts w:cstheme="minorHAnsi"/>
                <w:sz w:val="18"/>
                <w:szCs w:val="18"/>
              </w:rPr>
              <w:t>1152</w:t>
            </w:r>
          </w:p>
        </w:tc>
        <w:tc>
          <w:tcPr>
            <w:tcW w:w="1328" w:type="dxa"/>
            <w:tcBorders>
              <w:top w:val="single" w:color="auto" w:sz="4" w:space="0"/>
              <w:bottom w:val="single" w:color="auto" w:sz="4" w:space="0"/>
              <w:right w:val="single" w:color="auto" w:sz="4" w:space="0"/>
            </w:tcBorders>
            <w:vAlign w:val="center"/>
          </w:tcPr>
          <w:p w14:paraId="15006E88">
            <w:pPr>
              <w:spacing w:after="240"/>
              <w:jc w:val="center"/>
              <w:rPr>
                <w:rFonts w:cstheme="minorHAnsi"/>
                <w:sz w:val="18"/>
                <w:szCs w:val="18"/>
              </w:rPr>
            </w:pPr>
            <w:r>
              <w:rPr>
                <w:rFonts w:cstheme="minorHAnsi"/>
                <w:sz w:val="18"/>
                <w:szCs w:val="18"/>
              </w:rPr>
              <w:t>ftH</w:t>
            </w:r>
            <w:r>
              <w:rPr>
                <w:rFonts w:cstheme="minorHAnsi"/>
                <w:sz w:val="18"/>
                <w:szCs w:val="18"/>
                <w:vertAlign w:val="subscript"/>
              </w:rPr>
              <w:t>2</w:t>
            </w:r>
            <w:r>
              <w:rPr>
                <w:rFonts w:cstheme="minorHAnsi"/>
                <w:sz w:val="18"/>
                <w:szCs w:val="18"/>
              </w:rPr>
              <w:t>O</w:t>
            </w:r>
          </w:p>
        </w:tc>
      </w:tr>
      <w:tr w14:paraId="1A9E28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exact"/>
          <w:jc w:val="center"/>
        </w:trPr>
        <w:tc>
          <w:tcPr>
            <w:tcW w:w="952" w:type="dxa"/>
            <w:tcBorders>
              <w:top w:val="single" w:color="auto" w:sz="4" w:space="0"/>
              <w:left w:val="single" w:color="auto" w:sz="4" w:space="0"/>
              <w:bottom w:val="single" w:color="auto" w:sz="4" w:space="0"/>
            </w:tcBorders>
            <w:vAlign w:val="center"/>
          </w:tcPr>
          <w:p w14:paraId="407AC8FB">
            <w:pPr>
              <w:spacing w:after="240"/>
              <w:jc w:val="center"/>
              <w:rPr>
                <w:rFonts w:cstheme="minorHAnsi"/>
                <w:sz w:val="18"/>
                <w:szCs w:val="18"/>
              </w:rPr>
            </w:pPr>
            <w:r>
              <w:rPr>
                <w:rFonts w:cstheme="minorHAnsi"/>
                <w:sz w:val="18"/>
                <w:szCs w:val="18"/>
              </w:rPr>
              <w:t>1133</w:t>
            </w:r>
          </w:p>
        </w:tc>
        <w:tc>
          <w:tcPr>
            <w:tcW w:w="814" w:type="dxa"/>
            <w:tcBorders>
              <w:top w:val="single" w:color="auto" w:sz="4" w:space="0"/>
              <w:bottom w:val="single" w:color="auto" w:sz="4" w:space="0"/>
              <w:right w:val="single" w:color="auto" w:sz="4" w:space="0"/>
            </w:tcBorders>
            <w:vAlign w:val="center"/>
          </w:tcPr>
          <w:p w14:paraId="417D12E2">
            <w:pPr>
              <w:spacing w:after="240"/>
              <w:jc w:val="center"/>
              <w:rPr>
                <w:rFonts w:cstheme="minorHAnsi"/>
                <w:sz w:val="18"/>
                <w:szCs w:val="18"/>
              </w:rPr>
            </w:pPr>
            <w:r>
              <w:rPr>
                <w:rFonts w:cstheme="minorHAnsi"/>
                <w:sz w:val="18"/>
                <w:szCs w:val="18"/>
              </w:rPr>
              <w:t>kPa</w:t>
            </w:r>
          </w:p>
        </w:tc>
        <w:tc>
          <w:tcPr>
            <w:tcW w:w="978" w:type="dxa"/>
            <w:tcBorders>
              <w:top w:val="single" w:color="auto" w:sz="4" w:space="0"/>
              <w:bottom w:val="single" w:color="auto" w:sz="4" w:space="0"/>
              <w:right w:val="single" w:color="auto" w:sz="4" w:space="0"/>
            </w:tcBorders>
            <w:vAlign w:val="center"/>
          </w:tcPr>
          <w:p w14:paraId="764A4FCD">
            <w:pPr>
              <w:spacing w:after="240"/>
              <w:jc w:val="center"/>
              <w:rPr>
                <w:rFonts w:cstheme="minorHAnsi"/>
                <w:sz w:val="18"/>
                <w:szCs w:val="18"/>
              </w:rPr>
            </w:pPr>
            <w:r>
              <w:rPr>
                <w:rFonts w:cstheme="minorHAnsi"/>
                <w:sz w:val="18"/>
                <w:szCs w:val="18"/>
              </w:rPr>
              <w:t>1143</w:t>
            </w:r>
          </w:p>
        </w:tc>
        <w:tc>
          <w:tcPr>
            <w:tcW w:w="1251" w:type="dxa"/>
            <w:tcBorders>
              <w:top w:val="single" w:color="auto" w:sz="4" w:space="0"/>
              <w:bottom w:val="single" w:color="auto" w:sz="4" w:space="0"/>
              <w:right w:val="single" w:color="auto" w:sz="4" w:space="0"/>
            </w:tcBorders>
            <w:vAlign w:val="center"/>
          </w:tcPr>
          <w:p w14:paraId="1BE4544D">
            <w:pPr>
              <w:spacing w:after="240"/>
              <w:jc w:val="center"/>
              <w:rPr>
                <w:rFonts w:cstheme="minorHAnsi"/>
                <w:sz w:val="18"/>
                <w:szCs w:val="18"/>
              </w:rPr>
            </w:pPr>
            <w:r>
              <w:rPr>
                <w:rFonts w:cstheme="minorHAnsi"/>
                <w:sz w:val="18"/>
                <w:szCs w:val="18"/>
              </w:rPr>
              <w:t>psig</w:t>
            </w:r>
          </w:p>
        </w:tc>
        <w:tc>
          <w:tcPr>
            <w:tcW w:w="1003" w:type="dxa"/>
            <w:tcBorders>
              <w:top w:val="single" w:color="auto" w:sz="4" w:space="0"/>
              <w:bottom w:val="single" w:color="auto" w:sz="4" w:space="0"/>
              <w:right w:val="single" w:color="auto" w:sz="4" w:space="0"/>
            </w:tcBorders>
            <w:vAlign w:val="center"/>
          </w:tcPr>
          <w:p w14:paraId="2182C5F2">
            <w:pPr>
              <w:spacing w:after="240"/>
              <w:jc w:val="center"/>
              <w:rPr>
                <w:rFonts w:cstheme="minorHAnsi"/>
                <w:sz w:val="18"/>
                <w:szCs w:val="18"/>
              </w:rPr>
            </w:pPr>
            <w:r>
              <w:rPr>
                <w:rFonts w:cstheme="minorHAnsi"/>
                <w:sz w:val="18"/>
                <w:szCs w:val="18"/>
              </w:rPr>
              <w:t>1153</w:t>
            </w:r>
          </w:p>
        </w:tc>
        <w:tc>
          <w:tcPr>
            <w:tcW w:w="1328" w:type="dxa"/>
            <w:tcBorders>
              <w:top w:val="single" w:color="auto" w:sz="4" w:space="0"/>
              <w:bottom w:val="single" w:color="auto" w:sz="4" w:space="0"/>
              <w:right w:val="single" w:color="auto" w:sz="4" w:space="0"/>
            </w:tcBorders>
            <w:vAlign w:val="center"/>
          </w:tcPr>
          <w:p w14:paraId="30F0A2B1">
            <w:pPr>
              <w:spacing w:after="240"/>
              <w:jc w:val="center"/>
              <w:rPr>
                <w:rFonts w:cstheme="minorHAnsi"/>
                <w:sz w:val="18"/>
                <w:szCs w:val="18"/>
              </w:rPr>
            </w:pPr>
            <w:r>
              <w:rPr>
                <w:rFonts w:cstheme="minorHAnsi"/>
                <w:sz w:val="18"/>
                <w:szCs w:val="18"/>
              </w:rPr>
              <w:t>ftH</w:t>
            </w:r>
            <w:r>
              <w:rPr>
                <w:rFonts w:cstheme="minorHAnsi"/>
                <w:sz w:val="18"/>
                <w:szCs w:val="18"/>
                <w:vertAlign w:val="subscript"/>
              </w:rPr>
              <w:t>2</w:t>
            </w:r>
            <w:r>
              <w:rPr>
                <w:rFonts w:cstheme="minorHAnsi"/>
                <w:sz w:val="18"/>
                <w:szCs w:val="18"/>
              </w:rPr>
              <w:t xml:space="preserve">O(4 </w:t>
            </w:r>
            <w:r>
              <w:rPr>
                <w:rFonts w:ascii="Cambria Math" w:hAnsi="Cambria Math" w:cs="Cambria Math"/>
                <w:sz w:val="18"/>
                <w:szCs w:val="18"/>
              </w:rPr>
              <w:t>℃</w:t>
            </w:r>
            <w:r>
              <w:rPr>
                <w:rFonts w:cstheme="minorHAnsi"/>
                <w:sz w:val="18"/>
                <w:szCs w:val="18"/>
              </w:rPr>
              <w:t>)</w:t>
            </w:r>
          </w:p>
        </w:tc>
      </w:tr>
      <w:tr w14:paraId="1687FE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exact"/>
          <w:jc w:val="center"/>
        </w:trPr>
        <w:tc>
          <w:tcPr>
            <w:tcW w:w="952" w:type="dxa"/>
            <w:tcBorders>
              <w:top w:val="single" w:color="auto" w:sz="4" w:space="0"/>
              <w:left w:val="single" w:color="auto" w:sz="4" w:space="0"/>
              <w:bottom w:val="single" w:color="auto" w:sz="4" w:space="0"/>
            </w:tcBorders>
            <w:vAlign w:val="center"/>
          </w:tcPr>
          <w:p w14:paraId="4088A703">
            <w:pPr>
              <w:spacing w:after="240"/>
              <w:jc w:val="center"/>
              <w:rPr>
                <w:rFonts w:cstheme="minorHAnsi"/>
                <w:sz w:val="18"/>
                <w:szCs w:val="18"/>
              </w:rPr>
            </w:pPr>
            <w:r>
              <w:rPr>
                <w:rFonts w:cstheme="minorHAnsi"/>
                <w:sz w:val="18"/>
                <w:szCs w:val="18"/>
              </w:rPr>
              <w:t>1134</w:t>
            </w:r>
          </w:p>
        </w:tc>
        <w:tc>
          <w:tcPr>
            <w:tcW w:w="814" w:type="dxa"/>
            <w:tcBorders>
              <w:top w:val="single" w:color="auto" w:sz="4" w:space="0"/>
              <w:bottom w:val="single" w:color="auto" w:sz="4" w:space="0"/>
              <w:right w:val="single" w:color="auto" w:sz="4" w:space="0"/>
            </w:tcBorders>
            <w:vAlign w:val="center"/>
          </w:tcPr>
          <w:p w14:paraId="557BFCB9">
            <w:pPr>
              <w:spacing w:after="240"/>
              <w:jc w:val="center"/>
              <w:rPr>
                <w:rFonts w:cstheme="minorHAnsi"/>
                <w:sz w:val="18"/>
                <w:szCs w:val="18"/>
              </w:rPr>
            </w:pPr>
            <w:r>
              <w:rPr>
                <w:rFonts w:cstheme="minorHAnsi"/>
                <w:sz w:val="18"/>
                <w:szCs w:val="18"/>
              </w:rPr>
              <w:t>mPa</w:t>
            </w:r>
          </w:p>
        </w:tc>
        <w:tc>
          <w:tcPr>
            <w:tcW w:w="978" w:type="dxa"/>
            <w:tcBorders>
              <w:top w:val="single" w:color="auto" w:sz="4" w:space="0"/>
              <w:bottom w:val="single" w:color="auto" w:sz="4" w:space="0"/>
              <w:right w:val="single" w:color="auto" w:sz="4" w:space="0"/>
            </w:tcBorders>
            <w:vAlign w:val="center"/>
          </w:tcPr>
          <w:p w14:paraId="109B2EDC">
            <w:pPr>
              <w:spacing w:after="240"/>
              <w:jc w:val="center"/>
              <w:rPr>
                <w:rFonts w:cstheme="minorHAnsi"/>
                <w:sz w:val="18"/>
                <w:szCs w:val="18"/>
              </w:rPr>
            </w:pPr>
            <w:r>
              <w:rPr>
                <w:rFonts w:cstheme="minorHAnsi"/>
                <w:sz w:val="18"/>
                <w:szCs w:val="18"/>
              </w:rPr>
              <w:t>1144</w:t>
            </w:r>
          </w:p>
        </w:tc>
        <w:tc>
          <w:tcPr>
            <w:tcW w:w="1251" w:type="dxa"/>
            <w:tcBorders>
              <w:top w:val="single" w:color="auto" w:sz="4" w:space="0"/>
              <w:bottom w:val="single" w:color="auto" w:sz="4" w:space="0"/>
              <w:right w:val="single" w:color="auto" w:sz="4" w:space="0"/>
            </w:tcBorders>
            <w:vAlign w:val="center"/>
          </w:tcPr>
          <w:p w14:paraId="2C6165BF">
            <w:pPr>
              <w:spacing w:after="240"/>
              <w:jc w:val="center"/>
              <w:rPr>
                <w:rFonts w:cstheme="minorHAnsi"/>
                <w:sz w:val="18"/>
                <w:szCs w:val="18"/>
              </w:rPr>
            </w:pPr>
            <w:r>
              <w:rPr>
                <w:rFonts w:cstheme="minorHAnsi"/>
                <w:sz w:val="18"/>
                <w:szCs w:val="18"/>
              </w:rPr>
              <w:t>g/cm</w:t>
            </w:r>
            <w:r>
              <w:rPr>
                <w:rFonts w:cstheme="minorHAnsi"/>
                <w:sz w:val="18"/>
                <w:szCs w:val="18"/>
                <w:vertAlign w:val="superscript"/>
              </w:rPr>
              <w:t>2</w:t>
            </w:r>
          </w:p>
        </w:tc>
        <w:tc>
          <w:tcPr>
            <w:tcW w:w="1003" w:type="dxa"/>
            <w:tcBorders>
              <w:top w:val="single" w:color="auto" w:sz="4" w:space="0"/>
              <w:bottom w:val="single" w:color="auto" w:sz="4" w:space="0"/>
              <w:right w:val="single" w:color="auto" w:sz="4" w:space="0"/>
            </w:tcBorders>
            <w:vAlign w:val="center"/>
          </w:tcPr>
          <w:p w14:paraId="2F89103A">
            <w:pPr>
              <w:spacing w:after="240"/>
              <w:jc w:val="center"/>
              <w:rPr>
                <w:rFonts w:cstheme="minorHAnsi"/>
                <w:sz w:val="18"/>
                <w:szCs w:val="18"/>
              </w:rPr>
            </w:pPr>
            <w:r>
              <w:rPr>
                <w:rFonts w:cstheme="minorHAnsi"/>
                <w:sz w:val="18"/>
                <w:szCs w:val="18"/>
              </w:rPr>
              <w:t>1154</w:t>
            </w:r>
          </w:p>
        </w:tc>
        <w:tc>
          <w:tcPr>
            <w:tcW w:w="1328" w:type="dxa"/>
            <w:tcBorders>
              <w:top w:val="single" w:color="auto" w:sz="4" w:space="0"/>
              <w:bottom w:val="single" w:color="auto" w:sz="4" w:space="0"/>
              <w:right w:val="single" w:color="auto" w:sz="4" w:space="0"/>
            </w:tcBorders>
            <w:vAlign w:val="center"/>
          </w:tcPr>
          <w:p w14:paraId="3840519E">
            <w:pPr>
              <w:spacing w:after="240"/>
              <w:jc w:val="center"/>
              <w:rPr>
                <w:rFonts w:cstheme="minorHAnsi"/>
                <w:sz w:val="18"/>
                <w:szCs w:val="18"/>
              </w:rPr>
            </w:pPr>
            <w:r>
              <w:rPr>
                <w:rFonts w:cstheme="minorHAnsi"/>
                <w:sz w:val="18"/>
                <w:szCs w:val="18"/>
              </w:rPr>
              <w:t>ftH</w:t>
            </w:r>
            <w:r>
              <w:rPr>
                <w:rFonts w:cstheme="minorHAnsi"/>
                <w:sz w:val="18"/>
                <w:szCs w:val="18"/>
                <w:vertAlign w:val="subscript"/>
              </w:rPr>
              <w:t>2</w:t>
            </w:r>
            <w:r>
              <w:rPr>
                <w:rFonts w:cstheme="minorHAnsi"/>
                <w:sz w:val="18"/>
                <w:szCs w:val="18"/>
              </w:rPr>
              <w:t xml:space="preserve">O(68 </w:t>
            </w:r>
            <w:r>
              <w:rPr>
                <w:rFonts w:ascii="Cambria Math" w:hAnsi="Cambria Math" w:cs="Cambria Math"/>
                <w:sz w:val="18"/>
                <w:szCs w:val="18"/>
              </w:rPr>
              <w:t>℃</w:t>
            </w:r>
            <w:r>
              <w:rPr>
                <w:rFonts w:cstheme="minorHAnsi"/>
                <w:sz w:val="18"/>
                <w:szCs w:val="18"/>
              </w:rPr>
              <w:t>)</w:t>
            </w:r>
          </w:p>
        </w:tc>
      </w:tr>
      <w:tr w14:paraId="23868A3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exact"/>
          <w:jc w:val="center"/>
        </w:trPr>
        <w:tc>
          <w:tcPr>
            <w:tcW w:w="952" w:type="dxa"/>
            <w:tcBorders>
              <w:top w:val="single" w:color="auto" w:sz="4" w:space="0"/>
              <w:left w:val="single" w:color="auto" w:sz="4" w:space="0"/>
              <w:bottom w:val="single" w:color="auto" w:sz="4" w:space="0"/>
            </w:tcBorders>
            <w:vAlign w:val="center"/>
          </w:tcPr>
          <w:p w14:paraId="7A35A85F">
            <w:pPr>
              <w:spacing w:after="240"/>
              <w:jc w:val="center"/>
              <w:rPr>
                <w:rFonts w:cstheme="minorHAnsi"/>
                <w:sz w:val="18"/>
                <w:szCs w:val="18"/>
              </w:rPr>
            </w:pPr>
            <w:r>
              <w:rPr>
                <w:rFonts w:cstheme="minorHAnsi"/>
                <w:sz w:val="18"/>
                <w:szCs w:val="18"/>
              </w:rPr>
              <w:t>1135</w:t>
            </w:r>
          </w:p>
        </w:tc>
        <w:tc>
          <w:tcPr>
            <w:tcW w:w="814" w:type="dxa"/>
            <w:tcBorders>
              <w:top w:val="single" w:color="auto" w:sz="4" w:space="0"/>
              <w:bottom w:val="single" w:color="auto" w:sz="4" w:space="0"/>
              <w:right w:val="single" w:color="auto" w:sz="4" w:space="0"/>
            </w:tcBorders>
            <w:vAlign w:val="center"/>
          </w:tcPr>
          <w:p w14:paraId="77893101">
            <w:pPr>
              <w:spacing w:after="240"/>
              <w:jc w:val="center"/>
              <w:rPr>
                <w:rFonts w:cstheme="minorHAnsi"/>
                <w:sz w:val="18"/>
                <w:szCs w:val="18"/>
              </w:rPr>
            </w:pPr>
            <w:r>
              <w:rPr>
                <w:rFonts w:cstheme="minorHAnsi"/>
                <w:sz w:val="18"/>
                <w:szCs w:val="18"/>
              </w:rPr>
              <w:t>μPa</w:t>
            </w:r>
          </w:p>
        </w:tc>
        <w:tc>
          <w:tcPr>
            <w:tcW w:w="978" w:type="dxa"/>
            <w:tcBorders>
              <w:top w:val="single" w:color="auto" w:sz="4" w:space="0"/>
              <w:bottom w:val="single" w:color="auto" w:sz="4" w:space="0"/>
              <w:right w:val="single" w:color="auto" w:sz="4" w:space="0"/>
            </w:tcBorders>
            <w:vAlign w:val="center"/>
          </w:tcPr>
          <w:p w14:paraId="6529F42A">
            <w:pPr>
              <w:spacing w:after="240"/>
              <w:jc w:val="center"/>
              <w:rPr>
                <w:rFonts w:cstheme="minorHAnsi"/>
                <w:sz w:val="18"/>
                <w:szCs w:val="18"/>
              </w:rPr>
            </w:pPr>
            <w:r>
              <w:rPr>
                <w:rFonts w:cstheme="minorHAnsi"/>
                <w:sz w:val="18"/>
                <w:szCs w:val="18"/>
              </w:rPr>
              <w:t>1145</w:t>
            </w:r>
          </w:p>
        </w:tc>
        <w:tc>
          <w:tcPr>
            <w:tcW w:w="1251" w:type="dxa"/>
            <w:tcBorders>
              <w:top w:val="single" w:color="auto" w:sz="4" w:space="0"/>
              <w:bottom w:val="single" w:color="auto" w:sz="4" w:space="0"/>
              <w:right w:val="single" w:color="auto" w:sz="4" w:space="0"/>
            </w:tcBorders>
            <w:vAlign w:val="center"/>
          </w:tcPr>
          <w:p w14:paraId="1588D264">
            <w:pPr>
              <w:spacing w:after="240"/>
              <w:jc w:val="center"/>
              <w:rPr>
                <w:rFonts w:cstheme="minorHAnsi"/>
                <w:sz w:val="18"/>
                <w:szCs w:val="18"/>
              </w:rPr>
            </w:pPr>
            <w:r>
              <w:rPr>
                <w:rFonts w:cstheme="minorHAnsi"/>
                <w:sz w:val="18"/>
                <w:szCs w:val="18"/>
              </w:rPr>
              <w:t>kg/cm</w:t>
            </w:r>
            <w:r>
              <w:rPr>
                <w:rFonts w:cstheme="minorHAnsi"/>
                <w:sz w:val="18"/>
                <w:szCs w:val="18"/>
                <w:vertAlign w:val="superscript"/>
              </w:rPr>
              <w:t>2</w:t>
            </w:r>
          </w:p>
        </w:tc>
        <w:tc>
          <w:tcPr>
            <w:tcW w:w="1003" w:type="dxa"/>
            <w:tcBorders>
              <w:top w:val="single" w:color="auto" w:sz="4" w:space="0"/>
              <w:bottom w:val="single" w:color="auto" w:sz="4" w:space="0"/>
              <w:right w:val="single" w:color="auto" w:sz="4" w:space="0"/>
            </w:tcBorders>
            <w:vAlign w:val="center"/>
          </w:tcPr>
          <w:p w14:paraId="3CFC05B8">
            <w:pPr>
              <w:spacing w:after="240"/>
              <w:jc w:val="center"/>
              <w:rPr>
                <w:rFonts w:cstheme="minorHAnsi"/>
                <w:sz w:val="18"/>
                <w:szCs w:val="18"/>
              </w:rPr>
            </w:pPr>
            <w:r>
              <w:rPr>
                <w:rFonts w:cstheme="minorHAnsi"/>
                <w:sz w:val="18"/>
                <w:szCs w:val="18"/>
              </w:rPr>
              <w:t>1155</w:t>
            </w:r>
          </w:p>
        </w:tc>
        <w:tc>
          <w:tcPr>
            <w:tcW w:w="1328" w:type="dxa"/>
            <w:tcBorders>
              <w:top w:val="single" w:color="auto" w:sz="4" w:space="0"/>
              <w:bottom w:val="single" w:color="auto" w:sz="4" w:space="0"/>
              <w:right w:val="single" w:color="auto" w:sz="4" w:space="0"/>
            </w:tcBorders>
            <w:vAlign w:val="center"/>
          </w:tcPr>
          <w:p w14:paraId="2B7430F2">
            <w:pPr>
              <w:spacing w:after="240"/>
              <w:jc w:val="center"/>
              <w:rPr>
                <w:rFonts w:cstheme="minorHAnsi"/>
                <w:sz w:val="18"/>
                <w:szCs w:val="18"/>
              </w:rPr>
            </w:pPr>
            <w:r>
              <w:rPr>
                <w:rFonts w:cstheme="minorHAnsi"/>
                <w:sz w:val="18"/>
                <w:szCs w:val="18"/>
              </w:rPr>
              <w:t>inHg</w:t>
            </w:r>
          </w:p>
        </w:tc>
      </w:tr>
      <w:tr w14:paraId="352620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exact"/>
          <w:jc w:val="center"/>
        </w:trPr>
        <w:tc>
          <w:tcPr>
            <w:tcW w:w="952" w:type="dxa"/>
            <w:tcBorders>
              <w:top w:val="single" w:color="auto" w:sz="4" w:space="0"/>
              <w:left w:val="single" w:color="auto" w:sz="4" w:space="0"/>
              <w:bottom w:val="single" w:color="auto" w:sz="4" w:space="0"/>
            </w:tcBorders>
            <w:vAlign w:val="center"/>
          </w:tcPr>
          <w:p w14:paraId="7B71DCDC">
            <w:pPr>
              <w:spacing w:after="240"/>
              <w:jc w:val="center"/>
              <w:rPr>
                <w:rFonts w:cstheme="minorHAnsi"/>
                <w:sz w:val="18"/>
                <w:szCs w:val="18"/>
              </w:rPr>
            </w:pPr>
            <w:r>
              <w:rPr>
                <w:rFonts w:cstheme="minorHAnsi"/>
                <w:sz w:val="18"/>
                <w:szCs w:val="18"/>
              </w:rPr>
              <w:t>1136</w:t>
            </w:r>
          </w:p>
        </w:tc>
        <w:tc>
          <w:tcPr>
            <w:tcW w:w="814" w:type="dxa"/>
            <w:tcBorders>
              <w:top w:val="single" w:color="auto" w:sz="4" w:space="0"/>
              <w:bottom w:val="single" w:color="auto" w:sz="4" w:space="0"/>
              <w:right w:val="single" w:color="auto" w:sz="4" w:space="0"/>
            </w:tcBorders>
            <w:vAlign w:val="center"/>
          </w:tcPr>
          <w:p w14:paraId="5A32E58C">
            <w:pPr>
              <w:spacing w:after="240"/>
              <w:jc w:val="center"/>
              <w:rPr>
                <w:rFonts w:cstheme="minorHAnsi"/>
                <w:sz w:val="18"/>
                <w:szCs w:val="18"/>
              </w:rPr>
            </w:pPr>
            <w:r>
              <w:rPr>
                <w:rFonts w:cstheme="minorHAnsi"/>
                <w:sz w:val="18"/>
                <w:szCs w:val="18"/>
              </w:rPr>
              <w:t>hPa</w:t>
            </w:r>
          </w:p>
        </w:tc>
        <w:tc>
          <w:tcPr>
            <w:tcW w:w="978" w:type="dxa"/>
            <w:tcBorders>
              <w:top w:val="single" w:color="auto" w:sz="4" w:space="0"/>
              <w:bottom w:val="single" w:color="auto" w:sz="4" w:space="0"/>
              <w:right w:val="single" w:color="auto" w:sz="4" w:space="0"/>
            </w:tcBorders>
            <w:vAlign w:val="center"/>
          </w:tcPr>
          <w:p w14:paraId="6D9D0EFD">
            <w:pPr>
              <w:spacing w:after="240"/>
              <w:jc w:val="center"/>
              <w:rPr>
                <w:rFonts w:cstheme="minorHAnsi"/>
                <w:sz w:val="18"/>
                <w:szCs w:val="18"/>
              </w:rPr>
            </w:pPr>
            <w:r>
              <w:rPr>
                <w:rFonts w:cstheme="minorHAnsi"/>
                <w:sz w:val="18"/>
                <w:szCs w:val="18"/>
              </w:rPr>
              <w:t>1146</w:t>
            </w:r>
          </w:p>
        </w:tc>
        <w:tc>
          <w:tcPr>
            <w:tcW w:w="1251" w:type="dxa"/>
            <w:tcBorders>
              <w:top w:val="single" w:color="auto" w:sz="4" w:space="0"/>
              <w:bottom w:val="single" w:color="auto" w:sz="4" w:space="0"/>
              <w:right w:val="single" w:color="auto" w:sz="4" w:space="0"/>
            </w:tcBorders>
            <w:vAlign w:val="center"/>
          </w:tcPr>
          <w:p w14:paraId="3D54E5AA">
            <w:pPr>
              <w:spacing w:after="240"/>
              <w:jc w:val="center"/>
              <w:rPr>
                <w:rFonts w:cstheme="minorHAnsi"/>
                <w:sz w:val="18"/>
                <w:szCs w:val="18"/>
              </w:rPr>
            </w:pPr>
            <w:r>
              <w:rPr>
                <w:rFonts w:cstheme="minorHAnsi"/>
                <w:sz w:val="18"/>
                <w:szCs w:val="18"/>
              </w:rPr>
              <w:t>inH</w:t>
            </w:r>
            <w:r>
              <w:rPr>
                <w:rFonts w:cstheme="minorHAnsi"/>
                <w:sz w:val="18"/>
                <w:szCs w:val="18"/>
                <w:vertAlign w:val="subscript"/>
              </w:rPr>
              <w:t>2</w:t>
            </w:r>
            <w:r>
              <w:rPr>
                <w:rFonts w:cstheme="minorHAnsi"/>
                <w:sz w:val="18"/>
                <w:szCs w:val="18"/>
              </w:rPr>
              <w:t>O</w:t>
            </w:r>
          </w:p>
        </w:tc>
        <w:tc>
          <w:tcPr>
            <w:tcW w:w="1003" w:type="dxa"/>
            <w:tcBorders>
              <w:top w:val="single" w:color="auto" w:sz="4" w:space="0"/>
              <w:bottom w:val="single" w:color="auto" w:sz="4" w:space="0"/>
              <w:right w:val="single" w:color="auto" w:sz="4" w:space="0"/>
            </w:tcBorders>
            <w:vAlign w:val="center"/>
          </w:tcPr>
          <w:p w14:paraId="7CFB7801">
            <w:pPr>
              <w:spacing w:after="240"/>
              <w:jc w:val="center"/>
              <w:rPr>
                <w:rFonts w:cstheme="minorHAnsi"/>
                <w:sz w:val="18"/>
                <w:szCs w:val="18"/>
              </w:rPr>
            </w:pPr>
            <w:r>
              <w:rPr>
                <w:rFonts w:cstheme="minorHAnsi"/>
                <w:sz w:val="18"/>
                <w:szCs w:val="18"/>
              </w:rPr>
              <w:t>1156</w:t>
            </w:r>
          </w:p>
        </w:tc>
        <w:tc>
          <w:tcPr>
            <w:tcW w:w="1328" w:type="dxa"/>
            <w:tcBorders>
              <w:top w:val="single" w:color="auto" w:sz="4" w:space="0"/>
              <w:bottom w:val="single" w:color="auto" w:sz="4" w:space="0"/>
              <w:right w:val="single" w:color="auto" w:sz="4" w:space="0"/>
            </w:tcBorders>
            <w:vAlign w:val="center"/>
          </w:tcPr>
          <w:p w14:paraId="5637C8FB">
            <w:pPr>
              <w:spacing w:after="240"/>
              <w:jc w:val="center"/>
              <w:rPr>
                <w:rFonts w:cstheme="minorHAnsi"/>
                <w:sz w:val="18"/>
                <w:szCs w:val="18"/>
              </w:rPr>
            </w:pPr>
            <w:r>
              <w:rPr>
                <w:rFonts w:cstheme="minorHAnsi"/>
                <w:sz w:val="18"/>
                <w:szCs w:val="18"/>
              </w:rPr>
              <w:t xml:space="preserve">inHg(0 </w:t>
            </w:r>
            <w:r>
              <w:rPr>
                <w:rFonts w:ascii="Cambria Math" w:hAnsi="Cambria Math" w:cs="Cambria Math"/>
                <w:sz w:val="18"/>
                <w:szCs w:val="18"/>
              </w:rPr>
              <w:t>℃</w:t>
            </w:r>
            <w:r>
              <w:rPr>
                <w:rFonts w:cstheme="minorHAnsi"/>
                <w:sz w:val="18"/>
                <w:szCs w:val="18"/>
              </w:rPr>
              <w:t>)</w:t>
            </w:r>
          </w:p>
        </w:tc>
      </w:tr>
      <w:tr w14:paraId="4FDD15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exact"/>
          <w:jc w:val="center"/>
        </w:trPr>
        <w:tc>
          <w:tcPr>
            <w:tcW w:w="952" w:type="dxa"/>
            <w:tcBorders>
              <w:top w:val="single" w:color="auto" w:sz="4" w:space="0"/>
              <w:left w:val="single" w:color="auto" w:sz="4" w:space="0"/>
              <w:bottom w:val="single" w:color="auto" w:sz="4" w:space="0"/>
            </w:tcBorders>
            <w:vAlign w:val="center"/>
          </w:tcPr>
          <w:p w14:paraId="12BA7845">
            <w:pPr>
              <w:spacing w:after="240"/>
              <w:jc w:val="center"/>
              <w:rPr>
                <w:rFonts w:cstheme="minorHAnsi"/>
                <w:sz w:val="18"/>
                <w:szCs w:val="18"/>
              </w:rPr>
            </w:pPr>
            <w:r>
              <w:rPr>
                <w:rFonts w:cstheme="minorHAnsi"/>
                <w:sz w:val="18"/>
                <w:szCs w:val="18"/>
              </w:rPr>
              <w:t>1137</w:t>
            </w:r>
          </w:p>
        </w:tc>
        <w:tc>
          <w:tcPr>
            <w:tcW w:w="814" w:type="dxa"/>
            <w:tcBorders>
              <w:top w:val="single" w:color="auto" w:sz="4" w:space="0"/>
              <w:bottom w:val="single" w:color="auto" w:sz="4" w:space="0"/>
              <w:right w:val="single" w:color="auto" w:sz="4" w:space="0"/>
            </w:tcBorders>
            <w:vAlign w:val="center"/>
          </w:tcPr>
          <w:p w14:paraId="16A49C67">
            <w:pPr>
              <w:spacing w:after="240"/>
              <w:jc w:val="center"/>
              <w:rPr>
                <w:rFonts w:cstheme="minorHAnsi"/>
                <w:sz w:val="18"/>
                <w:szCs w:val="18"/>
              </w:rPr>
            </w:pPr>
            <w:r>
              <w:rPr>
                <w:rFonts w:cstheme="minorHAnsi"/>
                <w:sz w:val="18"/>
                <w:szCs w:val="18"/>
              </w:rPr>
              <w:t>bar</w:t>
            </w:r>
          </w:p>
        </w:tc>
        <w:tc>
          <w:tcPr>
            <w:tcW w:w="978" w:type="dxa"/>
            <w:tcBorders>
              <w:top w:val="single" w:color="auto" w:sz="4" w:space="0"/>
              <w:bottom w:val="single" w:color="auto" w:sz="4" w:space="0"/>
              <w:right w:val="single" w:color="auto" w:sz="4" w:space="0"/>
            </w:tcBorders>
            <w:vAlign w:val="center"/>
          </w:tcPr>
          <w:p w14:paraId="4410CAC6">
            <w:pPr>
              <w:spacing w:after="240"/>
              <w:jc w:val="center"/>
              <w:rPr>
                <w:rFonts w:cstheme="minorHAnsi"/>
                <w:sz w:val="18"/>
                <w:szCs w:val="18"/>
              </w:rPr>
            </w:pPr>
            <w:r>
              <w:rPr>
                <w:rFonts w:cstheme="minorHAnsi"/>
                <w:sz w:val="18"/>
                <w:szCs w:val="18"/>
              </w:rPr>
              <w:t>1147</w:t>
            </w:r>
          </w:p>
        </w:tc>
        <w:tc>
          <w:tcPr>
            <w:tcW w:w="1251" w:type="dxa"/>
            <w:tcBorders>
              <w:top w:val="single" w:color="auto" w:sz="4" w:space="0"/>
              <w:bottom w:val="single" w:color="auto" w:sz="4" w:space="0"/>
              <w:right w:val="single" w:color="auto" w:sz="4" w:space="0"/>
            </w:tcBorders>
            <w:vAlign w:val="center"/>
          </w:tcPr>
          <w:p w14:paraId="533FDFFA">
            <w:pPr>
              <w:spacing w:after="240"/>
              <w:jc w:val="center"/>
              <w:rPr>
                <w:rFonts w:cstheme="minorHAnsi"/>
                <w:sz w:val="18"/>
                <w:szCs w:val="18"/>
              </w:rPr>
            </w:pPr>
            <w:r>
              <w:rPr>
                <w:rFonts w:cstheme="minorHAnsi"/>
                <w:sz w:val="18"/>
                <w:szCs w:val="18"/>
              </w:rPr>
              <w:t>inH</w:t>
            </w:r>
            <w:r>
              <w:rPr>
                <w:rFonts w:cstheme="minorHAnsi"/>
                <w:sz w:val="18"/>
                <w:szCs w:val="18"/>
                <w:vertAlign w:val="subscript"/>
              </w:rPr>
              <w:t>2</w:t>
            </w:r>
            <w:r>
              <w:rPr>
                <w:rFonts w:cstheme="minorHAnsi"/>
                <w:sz w:val="18"/>
                <w:szCs w:val="18"/>
              </w:rPr>
              <w:t xml:space="preserve">O(4 </w:t>
            </w:r>
            <w:r>
              <w:rPr>
                <w:rFonts w:ascii="Cambria Math" w:hAnsi="Cambria Math" w:cs="Cambria Math"/>
                <w:sz w:val="18"/>
                <w:szCs w:val="18"/>
              </w:rPr>
              <w:t>℃</w:t>
            </w:r>
            <w:r>
              <w:rPr>
                <w:rFonts w:cstheme="minorHAnsi"/>
                <w:sz w:val="18"/>
                <w:szCs w:val="18"/>
              </w:rPr>
              <w:t>)</w:t>
            </w:r>
          </w:p>
        </w:tc>
        <w:tc>
          <w:tcPr>
            <w:tcW w:w="1003" w:type="dxa"/>
            <w:tcBorders>
              <w:top w:val="single" w:color="auto" w:sz="4" w:space="0"/>
              <w:bottom w:val="single" w:color="auto" w:sz="4" w:space="0"/>
              <w:right w:val="single" w:color="auto" w:sz="4" w:space="0"/>
            </w:tcBorders>
            <w:vAlign w:val="center"/>
          </w:tcPr>
          <w:p w14:paraId="54804FB0">
            <w:pPr>
              <w:spacing w:after="240"/>
              <w:jc w:val="center"/>
              <w:rPr>
                <w:rFonts w:cstheme="minorHAnsi"/>
                <w:sz w:val="18"/>
                <w:szCs w:val="18"/>
              </w:rPr>
            </w:pPr>
            <w:r>
              <w:rPr>
                <w:rFonts w:cstheme="minorHAnsi"/>
                <w:sz w:val="18"/>
                <w:szCs w:val="18"/>
              </w:rPr>
              <w:t>1157</w:t>
            </w:r>
          </w:p>
        </w:tc>
        <w:tc>
          <w:tcPr>
            <w:tcW w:w="1328" w:type="dxa"/>
            <w:tcBorders>
              <w:top w:val="single" w:color="auto" w:sz="4" w:space="0"/>
              <w:bottom w:val="single" w:color="auto" w:sz="4" w:space="0"/>
              <w:right w:val="single" w:color="auto" w:sz="4" w:space="0"/>
            </w:tcBorders>
            <w:vAlign w:val="center"/>
          </w:tcPr>
          <w:p w14:paraId="597DF2EB">
            <w:pPr>
              <w:spacing w:after="240"/>
              <w:jc w:val="center"/>
              <w:rPr>
                <w:rFonts w:cstheme="minorHAnsi"/>
                <w:sz w:val="18"/>
                <w:szCs w:val="18"/>
              </w:rPr>
            </w:pPr>
            <w:r>
              <w:rPr>
                <w:rFonts w:cstheme="minorHAnsi"/>
                <w:sz w:val="18"/>
                <w:szCs w:val="18"/>
              </w:rPr>
              <w:t>mmHg</w:t>
            </w:r>
          </w:p>
        </w:tc>
      </w:tr>
      <w:tr w14:paraId="5A70CDE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exact"/>
          <w:jc w:val="center"/>
        </w:trPr>
        <w:tc>
          <w:tcPr>
            <w:tcW w:w="952" w:type="dxa"/>
            <w:tcBorders>
              <w:top w:val="single" w:color="auto" w:sz="4" w:space="0"/>
              <w:left w:val="single" w:color="auto" w:sz="4" w:space="0"/>
              <w:bottom w:val="single" w:color="auto" w:sz="4" w:space="0"/>
            </w:tcBorders>
            <w:vAlign w:val="center"/>
          </w:tcPr>
          <w:p w14:paraId="6F894B27">
            <w:pPr>
              <w:spacing w:after="240"/>
              <w:jc w:val="center"/>
              <w:rPr>
                <w:rFonts w:cstheme="minorHAnsi"/>
                <w:sz w:val="18"/>
                <w:szCs w:val="18"/>
              </w:rPr>
            </w:pPr>
            <w:r>
              <w:rPr>
                <w:rFonts w:cstheme="minorHAnsi"/>
                <w:sz w:val="18"/>
                <w:szCs w:val="18"/>
              </w:rPr>
              <w:t>1138</w:t>
            </w:r>
          </w:p>
        </w:tc>
        <w:tc>
          <w:tcPr>
            <w:tcW w:w="814" w:type="dxa"/>
            <w:tcBorders>
              <w:top w:val="single" w:color="auto" w:sz="4" w:space="0"/>
              <w:bottom w:val="single" w:color="auto" w:sz="4" w:space="0"/>
              <w:right w:val="single" w:color="auto" w:sz="4" w:space="0"/>
            </w:tcBorders>
            <w:vAlign w:val="center"/>
          </w:tcPr>
          <w:p w14:paraId="0115041E">
            <w:pPr>
              <w:spacing w:after="240"/>
              <w:jc w:val="center"/>
              <w:rPr>
                <w:rFonts w:cstheme="minorHAnsi"/>
                <w:sz w:val="18"/>
                <w:szCs w:val="18"/>
              </w:rPr>
            </w:pPr>
            <w:r>
              <w:rPr>
                <w:rFonts w:cstheme="minorHAnsi"/>
                <w:sz w:val="18"/>
                <w:szCs w:val="18"/>
              </w:rPr>
              <w:t>mbar</w:t>
            </w:r>
          </w:p>
        </w:tc>
        <w:tc>
          <w:tcPr>
            <w:tcW w:w="978" w:type="dxa"/>
            <w:tcBorders>
              <w:top w:val="single" w:color="auto" w:sz="4" w:space="0"/>
              <w:bottom w:val="single" w:color="auto" w:sz="4" w:space="0"/>
              <w:right w:val="single" w:color="auto" w:sz="4" w:space="0"/>
            </w:tcBorders>
            <w:vAlign w:val="center"/>
          </w:tcPr>
          <w:p w14:paraId="1E4BAA93">
            <w:pPr>
              <w:spacing w:after="240"/>
              <w:jc w:val="center"/>
              <w:rPr>
                <w:rFonts w:cstheme="minorHAnsi"/>
                <w:sz w:val="18"/>
                <w:szCs w:val="18"/>
              </w:rPr>
            </w:pPr>
            <w:r>
              <w:rPr>
                <w:rFonts w:cstheme="minorHAnsi"/>
                <w:sz w:val="18"/>
                <w:szCs w:val="18"/>
              </w:rPr>
              <w:t>1148</w:t>
            </w:r>
          </w:p>
        </w:tc>
        <w:tc>
          <w:tcPr>
            <w:tcW w:w="1251" w:type="dxa"/>
            <w:tcBorders>
              <w:top w:val="single" w:color="auto" w:sz="4" w:space="0"/>
              <w:bottom w:val="single" w:color="auto" w:sz="4" w:space="0"/>
              <w:right w:val="single" w:color="auto" w:sz="4" w:space="0"/>
            </w:tcBorders>
            <w:vAlign w:val="center"/>
          </w:tcPr>
          <w:p w14:paraId="57DB7B4E">
            <w:pPr>
              <w:spacing w:after="240"/>
              <w:jc w:val="center"/>
              <w:rPr>
                <w:rFonts w:cstheme="minorHAnsi"/>
                <w:sz w:val="18"/>
                <w:szCs w:val="18"/>
              </w:rPr>
            </w:pPr>
            <w:r>
              <w:rPr>
                <w:rFonts w:cstheme="minorHAnsi"/>
                <w:sz w:val="18"/>
                <w:szCs w:val="18"/>
              </w:rPr>
              <w:t>inH</w:t>
            </w:r>
            <w:r>
              <w:rPr>
                <w:rFonts w:cstheme="minorHAnsi"/>
                <w:sz w:val="18"/>
                <w:szCs w:val="18"/>
                <w:vertAlign w:val="subscript"/>
              </w:rPr>
              <w:t>2</w:t>
            </w:r>
            <w:r>
              <w:rPr>
                <w:rFonts w:cstheme="minorHAnsi"/>
                <w:sz w:val="18"/>
                <w:szCs w:val="18"/>
              </w:rPr>
              <w:t xml:space="preserve">O(68 </w:t>
            </w:r>
            <w:r>
              <w:rPr>
                <w:rFonts w:ascii="Cambria Math" w:hAnsi="Cambria Math" w:cs="Cambria Math"/>
                <w:sz w:val="18"/>
                <w:szCs w:val="18"/>
              </w:rPr>
              <w:t>℃</w:t>
            </w:r>
            <w:r>
              <w:rPr>
                <w:rFonts w:cstheme="minorHAnsi"/>
                <w:sz w:val="18"/>
                <w:szCs w:val="18"/>
              </w:rPr>
              <w:t>)</w:t>
            </w:r>
          </w:p>
        </w:tc>
        <w:tc>
          <w:tcPr>
            <w:tcW w:w="1003" w:type="dxa"/>
            <w:tcBorders>
              <w:top w:val="single" w:color="auto" w:sz="4" w:space="0"/>
              <w:bottom w:val="single" w:color="auto" w:sz="4" w:space="0"/>
              <w:right w:val="single" w:color="auto" w:sz="4" w:space="0"/>
            </w:tcBorders>
            <w:vAlign w:val="center"/>
          </w:tcPr>
          <w:p w14:paraId="1A1643A1">
            <w:pPr>
              <w:spacing w:after="240"/>
              <w:jc w:val="center"/>
              <w:rPr>
                <w:rFonts w:cstheme="minorHAnsi"/>
                <w:sz w:val="18"/>
                <w:szCs w:val="18"/>
              </w:rPr>
            </w:pPr>
            <w:r>
              <w:rPr>
                <w:rFonts w:cstheme="minorHAnsi"/>
                <w:sz w:val="18"/>
                <w:szCs w:val="18"/>
              </w:rPr>
              <w:t>1158</w:t>
            </w:r>
          </w:p>
        </w:tc>
        <w:tc>
          <w:tcPr>
            <w:tcW w:w="1328" w:type="dxa"/>
            <w:tcBorders>
              <w:top w:val="single" w:color="auto" w:sz="4" w:space="0"/>
              <w:bottom w:val="single" w:color="auto" w:sz="4" w:space="0"/>
              <w:right w:val="single" w:color="auto" w:sz="4" w:space="0"/>
            </w:tcBorders>
            <w:vAlign w:val="center"/>
          </w:tcPr>
          <w:p w14:paraId="632D4304">
            <w:pPr>
              <w:spacing w:after="240"/>
              <w:jc w:val="center"/>
              <w:rPr>
                <w:rFonts w:cstheme="minorHAnsi"/>
                <w:sz w:val="18"/>
                <w:szCs w:val="18"/>
              </w:rPr>
            </w:pPr>
            <w:r>
              <w:rPr>
                <w:rFonts w:cstheme="minorHAnsi"/>
                <w:sz w:val="18"/>
                <w:szCs w:val="18"/>
              </w:rPr>
              <w:t xml:space="preserve">mmHg(0 </w:t>
            </w:r>
            <w:r>
              <w:rPr>
                <w:rFonts w:ascii="Cambria Math" w:hAnsi="Cambria Math" w:cs="Cambria Math"/>
                <w:sz w:val="18"/>
                <w:szCs w:val="18"/>
              </w:rPr>
              <w:t>℃</w:t>
            </w:r>
            <w:r>
              <w:rPr>
                <w:rFonts w:cstheme="minorHAnsi"/>
                <w:sz w:val="18"/>
                <w:szCs w:val="18"/>
              </w:rPr>
              <w:t>)</w:t>
            </w:r>
          </w:p>
        </w:tc>
      </w:tr>
      <w:tr w14:paraId="4F0E56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exact"/>
          <w:jc w:val="center"/>
        </w:trPr>
        <w:tc>
          <w:tcPr>
            <w:tcW w:w="952" w:type="dxa"/>
            <w:tcBorders>
              <w:top w:val="single" w:color="auto" w:sz="4" w:space="0"/>
              <w:left w:val="single" w:color="auto" w:sz="4" w:space="0"/>
              <w:bottom w:val="single" w:color="auto" w:sz="4" w:space="0"/>
              <w:right w:val="single" w:color="auto" w:sz="4" w:space="0"/>
            </w:tcBorders>
            <w:vAlign w:val="center"/>
          </w:tcPr>
          <w:p w14:paraId="34976AB6">
            <w:pPr>
              <w:spacing w:after="240"/>
              <w:jc w:val="center"/>
              <w:rPr>
                <w:rFonts w:cstheme="minorHAnsi"/>
                <w:sz w:val="18"/>
                <w:szCs w:val="18"/>
              </w:rPr>
            </w:pPr>
            <w:r>
              <w:rPr>
                <w:rFonts w:cstheme="minorHAnsi"/>
                <w:sz w:val="18"/>
                <w:szCs w:val="18"/>
              </w:rPr>
              <w:t>1139</w:t>
            </w:r>
          </w:p>
        </w:tc>
        <w:tc>
          <w:tcPr>
            <w:tcW w:w="814" w:type="dxa"/>
            <w:tcBorders>
              <w:top w:val="single" w:color="auto" w:sz="4" w:space="0"/>
              <w:left w:val="single" w:color="auto" w:sz="4" w:space="0"/>
              <w:bottom w:val="single" w:color="auto" w:sz="4" w:space="0"/>
              <w:right w:val="single" w:color="auto" w:sz="4" w:space="0"/>
            </w:tcBorders>
            <w:vAlign w:val="center"/>
          </w:tcPr>
          <w:p w14:paraId="2FE59B84">
            <w:pPr>
              <w:spacing w:after="240"/>
              <w:jc w:val="center"/>
              <w:rPr>
                <w:rFonts w:cstheme="minorHAnsi"/>
                <w:sz w:val="18"/>
                <w:szCs w:val="18"/>
              </w:rPr>
            </w:pPr>
            <w:r>
              <w:rPr>
                <w:rFonts w:cstheme="minorHAnsi"/>
                <w:sz w:val="18"/>
                <w:szCs w:val="18"/>
              </w:rPr>
              <w:t>torr</w:t>
            </w:r>
          </w:p>
        </w:tc>
        <w:tc>
          <w:tcPr>
            <w:tcW w:w="978" w:type="dxa"/>
            <w:tcBorders>
              <w:top w:val="single" w:color="auto" w:sz="4" w:space="0"/>
              <w:left w:val="single" w:color="auto" w:sz="4" w:space="0"/>
              <w:bottom w:val="single" w:color="auto" w:sz="4" w:space="0"/>
              <w:right w:val="single" w:color="auto" w:sz="4" w:space="0"/>
            </w:tcBorders>
            <w:vAlign w:val="center"/>
          </w:tcPr>
          <w:p w14:paraId="168BD0CD">
            <w:pPr>
              <w:spacing w:after="240"/>
              <w:jc w:val="center"/>
              <w:rPr>
                <w:rFonts w:cstheme="minorHAnsi"/>
                <w:sz w:val="18"/>
                <w:szCs w:val="18"/>
              </w:rPr>
            </w:pPr>
            <w:r>
              <w:rPr>
                <w:rFonts w:cstheme="minorHAnsi"/>
                <w:sz w:val="18"/>
                <w:szCs w:val="18"/>
              </w:rPr>
              <w:t>1149</w:t>
            </w:r>
          </w:p>
        </w:tc>
        <w:tc>
          <w:tcPr>
            <w:tcW w:w="1251" w:type="dxa"/>
            <w:tcBorders>
              <w:top w:val="single" w:color="auto" w:sz="4" w:space="0"/>
              <w:left w:val="single" w:color="auto" w:sz="4" w:space="0"/>
              <w:bottom w:val="single" w:color="auto" w:sz="4" w:space="0"/>
              <w:right w:val="single" w:color="auto" w:sz="4" w:space="0"/>
            </w:tcBorders>
            <w:vAlign w:val="center"/>
          </w:tcPr>
          <w:p w14:paraId="0CD604A5">
            <w:pPr>
              <w:spacing w:after="240"/>
              <w:jc w:val="center"/>
              <w:rPr>
                <w:rFonts w:cstheme="minorHAnsi"/>
                <w:sz w:val="18"/>
                <w:szCs w:val="18"/>
              </w:rPr>
            </w:pPr>
            <w:r>
              <w:rPr>
                <w:rFonts w:cstheme="minorHAnsi"/>
                <w:sz w:val="18"/>
                <w:szCs w:val="18"/>
              </w:rPr>
              <w:t>mmH</w:t>
            </w:r>
            <w:r>
              <w:rPr>
                <w:rFonts w:cstheme="minorHAnsi"/>
                <w:sz w:val="18"/>
                <w:szCs w:val="18"/>
                <w:vertAlign w:val="subscript"/>
              </w:rPr>
              <w:t>2</w:t>
            </w:r>
            <w:r>
              <w:rPr>
                <w:rFonts w:cstheme="minorHAnsi"/>
                <w:sz w:val="18"/>
                <w:szCs w:val="18"/>
              </w:rPr>
              <w:t>O</w:t>
            </w:r>
          </w:p>
        </w:tc>
        <w:tc>
          <w:tcPr>
            <w:tcW w:w="1003" w:type="dxa"/>
            <w:tcBorders>
              <w:top w:val="single" w:color="auto" w:sz="4" w:space="0"/>
              <w:left w:val="single" w:color="auto" w:sz="4" w:space="0"/>
              <w:bottom w:val="single" w:color="auto" w:sz="4" w:space="0"/>
              <w:right w:val="single" w:color="auto" w:sz="4" w:space="0"/>
            </w:tcBorders>
            <w:vAlign w:val="center"/>
          </w:tcPr>
          <w:p w14:paraId="097CDBF3">
            <w:pPr>
              <w:spacing w:after="240"/>
              <w:jc w:val="center"/>
              <w:rPr>
                <w:rFonts w:cstheme="minorHAnsi"/>
                <w:sz w:val="18"/>
                <w:szCs w:val="18"/>
              </w:rPr>
            </w:pPr>
          </w:p>
        </w:tc>
        <w:tc>
          <w:tcPr>
            <w:tcW w:w="1328" w:type="dxa"/>
            <w:tcBorders>
              <w:top w:val="single" w:color="auto" w:sz="4" w:space="0"/>
              <w:left w:val="single" w:color="auto" w:sz="4" w:space="0"/>
              <w:bottom w:val="single" w:color="auto" w:sz="4" w:space="0"/>
              <w:right w:val="single" w:color="auto" w:sz="4" w:space="0"/>
            </w:tcBorders>
            <w:vAlign w:val="center"/>
          </w:tcPr>
          <w:p w14:paraId="160EC0FD">
            <w:pPr>
              <w:spacing w:after="240"/>
              <w:jc w:val="center"/>
              <w:rPr>
                <w:rFonts w:cstheme="minorHAnsi"/>
                <w:sz w:val="18"/>
                <w:szCs w:val="18"/>
              </w:rPr>
            </w:pPr>
          </w:p>
        </w:tc>
      </w:tr>
    </w:tbl>
    <w:p w14:paraId="74275BE3">
      <w:pPr>
        <w:pStyle w:val="4"/>
        <w:spacing w:before="120" w:beforeLines="50" w:after="120" w:afterLines="50"/>
        <w:rPr>
          <w:rFonts w:asciiTheme="minorHAnsi" w:hAnsiTheme="minorHAnsi" w:cstheme="minorHAnsi"/>
        </w:rPr>
      </w:pPr>
      <w:bookmarkStart w:id="66" w:name="_Toc199429775"/>
      <w:r>
        <w:rPr>
          <w:rFonts w:asciiTheme="minorHAnsi" w:hAnsiTheme="minorHAnsi" w:cstheme="minorHAnsi"/>
        </w:rPr>
        <w:t>Steps to Set Bus Address - Mode 13</w:t>
      </w:r>
      <w:bookmarkEnd w:id="66"/>
    </w:p>
    <w:p w14:paraId="24FCFA1E">
      <w:pPr>
        <w:pStyle w:val="40"/>
        <w:spacing w:after="240" w:line="240" w:lineRule="auto"/>
        <w:ind w:left="0"/>
        <w:rPr>
          <w:rFonts w:cstheme="minorHAnsi"/>
          <w:sz w:val="21"/>
          <w:szCs w:val="21"/>
        </w:rPr>
      </w:pPr>
      <w:r>
        <w:rPr>
          <w:rFonts w:cstheme="minorHAnsi"/>
          <w:sz w:val="21"/>
          <w:szCs w:val="21"/>
        </w:rPr>
        <w:t>In mode 13, you can set the user address of the device in PROFIBUS. The allowed range is 0 to 126.</w:t>
      </w:r>
    </w:p>
    <w:p w14:paraId="1814250C">
      <w:pPr>
        <w:pStyle w:val="40"/>
        <w:spacing w:after="240" w:line="240" w:lineRule="auto"/>
        <w:ind w:left="0"/>
        <w:rPr>
          <w:rFonts w:cstheme="minorHAnsi"/>
          <w:sz w:val="21"/>
          <w:szCs w:val="21"/>
        </w:rPr>
      </w:pPr>
      <w:r>
        <w:rPr>
          <w:rFonts w:cstheme="minorHAnsi"/>
          <w:sz w:val="21"/>
          <w:szCs w:val="21"/>
        </w:rPr>
        <w:t>Set the PROFIBUS address as follows:</w:t>
      </w:r>
    </w:p>
    <w:p w14:paraId="57DDF029">
      <w:pPr>
        <w:pStyle w:val="40"/>
        <w:spacing w:after="240" w:line="240" w:lineRule="auto"/>
        <w:ind w:left="0"/>
        <w:rPr>
          <w:rFonts w:cstheme="minorHAnsi"/>
          <w:sz w:val="21"/>
          <w:szCs w:val="21"/>
        </w:rPr>
      </w:pPr>
      <w:r>
        <w:rPr>
          <w:rFonts w:cstheme="minorHAnsi"/>
          <w:sz w:val="21"/>
          <w:szCs w:val="21"/>
        </w:rPr>
        <w:t>− Set mode 13. The current user address will appear in the measured value display;</w:t>
      </w:r>
    </w:p>
    <w:p w14:paraId="78533493">
      <w:pPr>
        <w:pStyle w:val="40"/>
        <w:spacing w:after="240" w:line="240" w:lineRule="auto"/>
        <w:ind w:left="0"/>
        <w:rPr>
          <w:rFonts w:cstheme="minorHAnsi"/>
          <w:sz w:val="21"/>
          <w:szCs w:val="21"/>
        </w:rPr>
      </w:pPr>
      <w:r>
        <w:rPr>
          <w:rFonts w:cstheme="minorHAnsi"/>
          <w:sz w:val="21"/>
          <w:szCs w:val="21"/>
        </w:rPr>
        <w:t>− Use [↑] and [↓] to modify this address within the allowed range;</w:t>
      </w:r>
    </w:p>
    <w:p w14:paraId="2B14E9E2">
      <w:pPr>
        <w:pStyle w:val="40"/>
        <w:spacing w:after="240" w:line="240" w:lineRule="auto"/>
        <w:ind w:left="0"/>
        <w:rPr>
          <w:rFonts w:cstheme="minorHAnsi"/>
          <w:sz w:val="21"/>
          <w:szCs w:val="21"/>
        </w:rPr>
      </w:pPr>
      <w:r>
        <w:rPr>
          <w:rFonts w:cstheme="minorHAnsi"/>
          <w:sz w:val="21"/>
          <w:szCs w:val="21"/>
        </w:rPr>
        <w:t>− Press the [Enter] key to set, “OK” will be displayed if successful, and “Err” will be displayed if unsuccessful.</w:t>
      </w:r>
    </w:p>
    <w:p w14:paraId="5C5D4DF4">
      <w:pPr>
        <w:pStyle w:val="40"/>
        <w:spacing w:after="240" w:line="240" w:lineRule="auto"/>
        <w:ind w:left="0"/>
        <w:rPr>
          <w:rFonts w:cstheme="minorHAnsi"/>
          <w:sz w:val="21"/>
          <w:szCs w:val="21"/>
        </w:rPr>
      </w:pPr>
      <w:r>
        <w:rPr>
          <w:rFonts w:cstheme="minorHAnsi"/>
          <w:sz w:val="21"/>
          <w:szCs w:val="21"/>
        </w:rPr>
        <w:t>− Use [M] for mode switching</w:t>
      </w:r>
    </w:p>
    <w:p w14:paraId="02847518">
      <w:pPr>
        <w:pStyle w:val="4"/>
        <w:spacing w:before="120" w:beforeLines="50" w:after="120" w:afterLines="50"/>
        <w:rPr>
          <w:rFonts w:asciiTheme="minorHAnsi" w:hAnsiTheme="minorHAnsi" w:cstheme="minorHAnsi"/>
        </w:rPr>
      </w:pPr>
      <w:bookmarkStart w:id="67" w:name="_Toc199429776"/>
      <w:r>
        <w:rPr>
          <w:rFonts w:asciiTheme="minorHAnsi" w:hAnsiTheme="minorHAnsi" w:cstheme="minorHAnsi"/>
        </w:rPr>
        <w:t>Steps for setting the decimal point - Mode 14</w:t>
      </w:r>
      <w:bookmarkEnd w:id="67"/>
    </w:p>
    <w:p w14:paraId="2E8CB8F7">
      <w:pPr>
        <w:pStyle w:val="40"/>
        <w:spacing w:after="240" w:line="240" w:lineRule="auto"/>
        <w:ind w:left="0"/>
        <w:rPr>
          <w:rFonts w:cstheme="minorHAnsi"/>
          <w:sz w:val="21"/>
          <w:szCs w:val="21"/>
        </w:rPr>
      </w:pPr>
      <w:r>
        <w:rPr>
          <w:rFonts w:cstheme="minorHAnsi"/>
          <w:sz w:val="21"/>
          <w:szCs w:val="21"/>
        </w:rPr>
        <w:t>Measurements can be displayed with up to 5 decimal places of precision.</w:t>
      </w:r>
    </w:p>
    <w:p w14:paraId="67A0ABC1">
      <w:pPr>
        <w:pStyle w:val="40"/>
        <w:spacing w:after="240" w:line="240" w:lineRule="auto"/>
        <w:ind w:left="0"/>
        <w:rPr>
          <w:rFonts w:cstheme="minorHAnsi"/>
          <w:sz w:val="21"/>
          <w:szCs w:val="21"/>
        </w:rPr>
      </w:pPr>
      <w:r>
        <w:rPr>
          <w:rFonts w:cstheme="minorHAnsi"/>
          <w:sz w:val="21"/>
          <w:szCs w:val="21"/>
        </w:rPr>
        <w:t>Move the decimal point position as follows:</w:t>
      </w:r>
    </w:p>
    <w:p w14:paraId="19E9FBA9">
      <w:pPr>
        <w:pStyle w:val="40"/>
        <w:spacing w:after="240" w:line="240" w:lineRule="auto"/>
        <w:ind w:left="0"/>
        <w:rPr>
          <w:rFonts w:cstheme="minorHAnsi"/>
          <w:sz w:val="21"/>
          <w:szCs w:val="21"/>
        </w:rPr>
      </w:pPr>
      <w:r>
        <w:rPr>
          <w:rFonts w:cstheme="minorHAnsi"/>
          <w:sz w:val="21"/>
          <w:szCs w:val="21"/>
        </w:rPr>
        <w:t>− Set mode 14. The format of the current position of the decimal point appears in the measurement value display area;</w:t>
      </w:r>
    </w:p>
    <w:p w14:paraId="40682F21">
      <w:pPr>
        <w:pStyle w:val="40"/>
        <w:spacing w:after="240" w:line="240" w:lineRule="auto"/>
        <w:ind w:left="0"/>
        <w:rPr>
          <w:rFonts w:cstheme="minorHAnsi"/>
          <w:sz w:val="21"/>
          <w:szCs w:val="21"/>
        </w:rPr>
      </w:pPr>
      <w:r>
        <w:rPr>
          <w:rFonts w:cstheme="minorHAnsi"/>
          <w:sz w:val="21"/>
          <w:szCs w:val="21"/>
        </w:rPr>
        <w:t>− Use [↑] and [↓] to select the desired display format;</w:t>
      </w:r>
    </w:p>
    <w:p w14:paraId="77E4C952">
      <w:pPr>
        <w:pStyle w:val="40"/>
        <w:spacing w:after="240" w:line="240" w:lineRule="auto"/>
        <w:ind w:left="0"/>
        <w:rPr>
          <w:rFonts w:cstheme="minorHAnsi"/>
          <w:sz w:val="21"/>
          <w:szCs w:val="21"/>
        </w:rPr>
      </w:pPr>
      <w:r>
        <w:rPr>
          <w:rFonts w:cstheme="minorHAnsi"/>
          <w:sz w:val="21"/>
          <w:szCs w:val="21"/>
        </w:rPr>
        <w:t>8.88888 88.8888 888.888 8888.88 88888.8 888888</w:t>
      </w:r>
    </w:p>
    <w:p w14:paraId="1F0C41CE">
      <w:pPr>
        <w:pStyle w:val="40"/>
        <w:spacing w:after="240" w:line="240" w:lineRule="auto"/>
        <w:ind w:left="0"/>
        <w:rPr>
          <w:rFonts w:cstheme="minorHAnsi"/>
          <w:sz w:val="21"/>
          <w:szCs w:val="21"/>
        </w:rPr>
      </w:pPr>
      <w:r>
        <w:rPr>
          <w:rFonts w:cstheme="minorHAnsi"/>
          <w:sz w:val="21"/>
          <w:szCs w:val="21"/>
        </w:rPr>
        <w:t>− Use [M] for mode switching</w:t>
      </w:r>
    </w:p>
    <w:p w14:paraId="34454EC8">
      <w:pPr>
        <w:pStyle w:val="4"/>
        <w:spacing w:before="120" w:beforeLines="50" w:after="120" w:afterLines="50"/>
        <w:rPr>
          <w:rFonts w:asciiTheme="minorHAnsi" w:hAnsiTheme="minorHAnsi" w:cstheme="minorHAnsi"/>
        </w:rPr>
      </w:pPr>
      <w:bookmarkStart w:id="68" w:name="_Toc199429777"/>
      <w:r>
        <w:rPr>
          <w:rFonts w:asciiTheme="minorHAnsi" w:hAnsiTheme="minorHAnsi" w:cstheme="minorHAnsi"/>
        </w:rPr>
        <w:t>Operation steps for setting the main variable zero point - Mode 15</w:t>
      </w:r>
      <w:bookmarkEnd w:id="68"/>
    </w:p>
    <w:p w14:paraId="61EC2B6A">
      <w:pPr>
        <w:pStyle w:val="40"/>
        <w:spacing w:after="240" w:line="240" w:lineRule="auto"/>
        <w:ind w:left="0"/>
        <w:rPr>
          <w:rFonts w:cstheme="minorHAnsi"/>
          <w:sz w:val="21"/>
          <w:szCs w:val="21"/>
        </w:rPr>
      </w:pPr>
      <w:r>
        <w:rPr>
          <w:rFonts w:cstheme="minorHAnsi"/>
          <w:sz w:val="21"/>
          <w:szCs w:val="21"/>
        </w:rPr>
        <w:t>When the transmitter is installed and ready for operation, external influences such as the installation location, ambient temperature or allowable pressure associated with the installation (such as a water column in the pressure line leading to the transmitter) may cause the initial The zero point moves.</w:t>
      </w:r>
    </w:p>
    <w:p w14:paraId="3C4A7CC4">
      <w:pPr>
        <w:pStyle w:val="40"/>
        <w:spacing w:after="240" w:line="240" w:lineRule="auto"/>
        <w:ind w:left="0"/>
        <w:rPr>
          <w:rFonts w:cstheme="minorHAnsi"/>
          <w:sz w:val="21"/>
          <w:szCs w:val="21"/>
        </w:rPr>
      </w:pPr>
      <w:r>
        <w:rPr>
          <w:rFonts w:cstheme="minorHAnsi"/>
          <w:sz w:val="21"/>
          <w:szCs w:val="21"/>
        </w:rPr>
        <w:t>Zero calibration can be performed as follows:</w:t>
      </w:r>
    </w:p>
    <w:p w14:paraId="10A13D54">
      <w:pPr>
        <w:pStyle w:val="40"/>
        <w:spacing w:after="240" w:line="240" w:lineRule="auto"/>
        <w:ind w:left="0"/>
        <w:rPr>
          <w:rFonts w:cstheme="minorHAnsi"/>
          <w:sz w:val="21"/>
          <w:szCs w:val="21"/>
        </w:rPr>
      </w:pPr>
      <w:r>
        <w:rPr>
          <w:rFonts w:cstheme="minorHAnsi"/>
          <w:sz w:val="21"/>
          <w:szCs w:val="21"/>
        </w:rPr>
        <w:t>− create a pressure scale;</w:t>
      </w:r>
    </w:p>
    <w:p w14:paraId="14BA75FE">
      <w:pPr>
        <w:pStyle w:val="40"/>
        <w:spacing w:after="240" w:line="240" w:lineRule="auto"/>
        <w:ind w:left="0"/>
        <w:rPr>
          <w:rFonts w:cstheme="minorHAnsi"/>
          <w:sz w:val="21"/>
          <w:szCs w:val="21"/>
        </w:rPr>
      </w:pPr>
      <w:r>
        <w:rPr>
          <w:rFonts w:cstheme="minorHAnsi"/>
          <w:sz w:val="21"/>
          <w:szCs w:val="21"/>
        </w:rPr>
        <w:t>− set mode 15;</w:t>
      </w:r>
    </w:p>
    <w:p w14:paraId="504D46C6">
      <w:pPr>
        <w:pStyle w:val="40"/>
        <w:spacing w:after="240" w:line="240" w:lineRule="auto"/>
        <w:ind w:left="0"/>
        <w:rPr>
          <w:rFonts w:cstheme="minorHAnsi"/>
          <w:sz w:val="21"/>
          <w:szCs w:val="21"/>
        </w:rPr>
      </w:pPr>
      <w:r>
        <w:rPr>
          <w:rFonts w:cstheme="minorHAnsi"/>
          <w:sz w:val="21"/>
          <w:szCs w:val="21"/>
        </w:rPr>
        <w:t>− Press the [Enter] key to set, “OK” will be displayed if successful, and “Err” will be displayed if unsuccessful.</w:t>
      </w:r>
    </w:p>
    <w:p w14:paraId="3FA0E7EE">
      <w:pPr>
        <w:pStyle w:val="40"/>
        <w:spacing w:after="240" w:line="240" w:lineRule="auto"/>
        <w:ind w:left="0"/>
        <w:rPr>
          <w:rFonts w:cstheme="minorHAnsi"/>
          <w:sz w:val="21"/>
          <w:szCs w:val="21"/>
        </w:rPr>
      </w:pPr>
      <w:r>
        <w:rPr>
          <w:rFonts w:cstheme="minorHAnsi"/>
          <w:sz w:val="21"/>
          <w:szCs w:val="21"/>
        </w:rPr>
        <w:t>− After successful calibration, return to measurement value display mode immediately.</w:t>
      </w:r>
    </w:p>
    <w:p w14:paraId="1AEE72AD">
      <w:pPr>
        <w:pStyle w:val="40"/>
        <w:spacing w:after="240" w:line="240" w:lineRule="auto"/>
        <w:ind w:left="0"/>
        <w:rPr>
          <w:rFonts w:cstheme="minorHAnsi"/>
          <w:sz w:val="21"/>
          <w:szCs w:val="21"/>
        </w:rPr>
      </w:pPr>
      <w:r>
        <w:rPr>
          <w:rFonts w:cstheme="minorHAnsi"/>
          <w:sz w:val="21"/>
          <w:szCs w:val="21"/>
        </w:rPr>
        <w:t>The value 0 appears in the display area</w:t>
      </w:r>
    </w:p>
    <w:p w14:paraId="48B208D3">
      <w:pPr>
        <w:pStyle w:val="4"/>
        <w:spacing w:before="120" w:beforeLines="50" w:after="120" w:afterLines="50"/>
        <w:rPr>
          <w:rFonts w:asciiTheme="minorHAnsi" w:hAnsiTheme="minorHAnsi" w:cstheme="minorHAnsi"/>
        </w:rPr>
      </w:pPr>
      <w:bookmarkStart w:id="69" w:name="_Toc199429778"/>
      <w:r>
        <w:rPr>
          <w:rFonts w:asciiTheme="minorHAnsi" w:hAnsiTheme="minorHAnsi" w:cstheme="minorHAnsi"/>
        </w:rPr>
        <w:t>Operation steps for setting the lower limit of the range - Mode 16</w:t>
      </w:r>
      <w:bookmarkEnd w:id="69"/>
    </w:p>
    <w:p w14:paraId="71096668">
      <w:pPr>
        <w:pStyle w:val="40"/>
        <w:spacing w:after="240" w:line="240" w:lineRule="auto"/>
        <w:ind w:left="0"/>
        <w:rPr>
          <w:rFonts w:cstheme="minorHAnsi"/>
          <w:sz w:val="21"/>
          <w:szCs w:val="21"/>
        </w:rPr>
      </w:pPr>
      <w:r>
        <w:rPr>
          <w:rFonts w:cstheme="minorHAnsi"/>
          <w:sz w:val="21"/>
          <w:szCs w:val="21"/>
        </w:rPr>
        <w:t>The slope of the characteristic curve can be changed in this mode. The characteristic curve is rotated around the high set point. This function replaces zero adjustment (mode 08).</w:t>
      </w:r>
    </w:p>
    <w:p w14:paraId="10AAA93B">
      <w:pPr>
        <w:pStyle w:val="40"/>
        <w:spacing w:after="240" w:line="240" w:lineRule="auto"/>
        <w:ind w:left="0"/>
        <w:rPr>
          <w:rFonts w:cstheme="minorHAnsi"/>
          <w:sz w:val="21"/>
          <w:szCs w:val="21"/>
        </w:rPr>
      </w:pPr>
      <w:r>
        <w:rPr>
          <w:rFonts w:cstheme="minorHAnsi"/>
          <w:sz w:val="21"/>
          <w:szCs w:val="21"/>
        </w:rPr>
        <w:t>Perform the adjustment of the lower limit of the range as follows:</w:t>
      </w:r>
    </w:p>
    <w:p w14:paraId="7E2B033D">
      <w:pPr>
        <w:pStyle w:val="40"/>
        <w:spacing w:after="240" w:line="240" w:lineRule="auto"/>
        <w:ind w:left="0"/>
        <w:rPr>
          <w:rFonts w:cstheme="minorHAnsi"/>
          <w:sz w:val="21"/>
          <w:szCs w:val="21"/>
        </w:rPr>
      </w:pPr>
      <w:r>
        <w:rPr>
          <w:rFonts w:cstheme="minorHAnsi"/>
          <w:sz w:val="21"/>
          <w:szCs w:val="21"/>
        </w:rPr>
        <w:t>− Set mode 16. Displays the last adjusted process value and its associated units;</w:t>
      </w:r>
    </w:p>
    <w:p w14:paraId="53282DF3">
      <w:pPr>
        <w:pStyle w:val="40"/>
        <w:spacing w:after="240" w:line="240" w:lineRule="auto"/>
        <w:ind w:left="0"/>
        <w:rPr>
          <w:rFonts w:cstheme="minorHAnsi"/>
          <w:sz w:val="21"/>
          <w:szCs w:val="21"/>
        </w:rPr>
      </w:pPr>
      <w:r>
        <w:rPr>
          <w:rFonts w:cstheme="minorHAnsi"/>
          <w:sz w:val="21"/>
          <w:szCs w:val="21"/>
        </w:rPr>
        <w:t>− If you only want to view this information, you can press the [M] key to switch the mode, otherwise you will apply the reference pressure;</w:t>
      </w:r>
    </w:p>
    <w:p w14:paraId="4777A79B">
      <w:pPr>
        <w:pStyle w:val="40"/>
        <w:spacing w:after="240" w:line="240" w:lineRule="auto"/>
        <w:ind w:left="0"/>
        <w:rPr>
          <w:rFonts w:cstheme="minorHAnsi"/>
          <w:sz w:val="21"/>
          <w:szCs w:val="21"/>
        </w:rPr>
      </w:pPr>
      <w:r>
        <w:rPr>
          <w:rFonts w:cstheme="minorHAnsi"/>
          <w:sz w:val="21"/>
          <w:szCs w:val="21"/>
        </w:rPr>
        <w:t>− Use [↑] and [↓] to enter a reference pressure value starting from this value;</w:t>
      </w:r>
    </w:p>
    <w:p w14:paraId="5465C777">
      <w:pPr>
        <w:pStyle w:val="40"/>
        <w:spacing w:after="240" w:line="240" w:lineRule="auto"/>
        <w:ind w:left="0"/>
        <w:rPr>
          <w:rFonts w:cstheme="minorHAnsi"/>
          <w:sz w:val="21"/>
          <w:szCs w:val="21"/>
        </w:rPr>
      </w:pPr>
      <w:r>
        <w:rPr>
          <w:rFonts w:cstheme="minorHAnsi"/>
          <w:sz w:val="21"/>
          <w:szCs w:val="21"/>
        </w:rPr>
        <w:t>− Press the [Enter] key to set, “OK” will be displayed if successful, and “Err” will be displayed if unsuccessful.</w:t>
      </w:r>
    </w:p>
    <w:p w14:paraId="5FA1F81F">
      <w:pPr>
        <w:pStyle w:val="40"/>
        <w:spacing w:after="240" w:line="240" w:lineRule="auto"/>
        <w:ind w:left="0"/>
        <w:rPr>
          <w:rFonts w:cstheme="minorHAnsi"/>
          <w:sz w:val="21"/>
          <w:szCs w:val="21"/>
        </w:rPr>
      </w:pPr>
      <w:r>
        <w:rPr>
          <w:rFonts w:cstheme="minorHAnsi"/>
          <w:sz w:val="21"/>
          <w:szCs w:val="21"/>
        </w:rPr>
        <w:t>− Use [M] for mode switching</w:t>
      </w:r>
    </w:p>
    <w:p w14:paraId="63B89992">
      <w:pPr>
        <w:pStyle w:val="4"/>
        <w:spacing w:before="120" w:beforeLines="50" w:after="120" w:afterLines="50"/>
        <w:rPr>
          <w:rFonts w:asciiTheme="minorHAnsi" w:hAnsiTheme="minorHAnsi" w:cstheme="minorHAnsi"/>
        </w:rPr>
      </w:pPr>
      <w:bookmarkStart w:id="70" w:name="_Toc199429779"/>
      <w:r>
        <w:rPr>
          <w:rFonts w:asciiTheme="minorHAnsi" w:hAnsiTheme="minorHAnsi" w:cstheme="minorHAnsi"/>
        </w:rPr>
        <w:t>Operation steps for setting the upper range limit - Mode 17</w:t>
      </w:r>
      <w:bookmarkEnd w:id="70"/>
    </w:p>
    <w:p w14:paraId="3BE86DDA">
      <w:pPr>
        <w:pStyle w:val="40"/>
        <w:spacing w:after="240" w:line="240" w:lineRule="auto"/>
        <w:ind w:left="0"/>
        <w:rPr>
          <w:rFonts w:cstheme="minorHAnsi"/>
          <w:sz w:val="21"/>
          <w:szCs w:val="21"/>
        </w:rPr>
      </w:pPr>
      <w:r>
        <w:rPr>
          <w:rFonts w:cstheme="minorHAnsi"/>
          <w:sz w:val="21"/>
          <w:szCs w:val="21"/>
        </w:rPr>
        <w:t>The slope of the characteristic curve can be changed in this mode. The characteristic curve rotates around the low set point.</w:t>
      </w:r>
    </w:p>
    <w:p w14:paraId="5ECB08AE">
      <w:pPr>
        <w:pStyle w:val="40"/>
        <w:spacing w:after="240" w:line="240" w:lineRule="auto"/>
        <w:ind w:left="0"/>
        <w:rPr>
          <w:rFonts w:cstheme="minorHAnsi"/>
          <w:sz w:val="21"/>
          <w:szCs w:val="21"/>
        </w:rPr>
      </w:pPr>
      <w:r>
        <w:rPr>
          <w:rFonts w:cstheme="minorHAnsi"/>
          <w:sz w:val="21"/>
          <w:szCs w:val="21"/>
        </w:rPr>
        <w:t>Perform the adjustment of the upper range limit as follows:</w:t>
      </w:r>
    </w:p>
    <w:p w14:paraId="2E18D5CD">
      <w:pPr>
        <w:pStyle w:val="40"/>
        <w:spacing w:after="240" w:line="240" w:lineRule="auto"/>
        <w:ind w:left="0"/>
        <w:rPr>
          <w:rFonts w:cstheme="minorHAnsi"/>
          <w:sz w:val="21"/>
          <w:szCs w:val="21"/>
        </w:rPr>
      </w:pPr>
      <w:r>
        <w:rPr>
          <w:rFonts w:cstheme="minorHAnsi"/>
          <w:sz w:val="21"/>
          <w:szCs w:val="21"/>
        </w:rPr>
        <w:t>− Set mode 17. Displays the last adjusted process value and its associated units;</w:t>
      </w:r>
    </w:p>
    <w:p w14:paraId="09CEE41B">
      <w:pPr>
        <w:pStyle w:val="40"/>
        <w:spacing w:after="240" w:line="240" w:lineRule="auto"/>
        <w:ind w:left="0"/>
        <w:rPr>
          <w:rFonts w:cstheme="minorHAnsi"/>
          <w:sz w:val="21"/>
          <w:szCs w:val="21"/>
        </w:rPr>
      </w:pPr>
      <w:r>
        <w:rPr>
          <w:rFonts w:cstheme="minorHAnsi"/>
          <w:sz w:val="21"/>
          <w:szCs w:val="21"/>
        </w:rPr>
        <w:t>− If you only want to view this information, you can press the [M] key to switch the mode, otherwise you will apply the reference pressure;</w:t>
      </w:r>
    </w:p>
    <w:p w14:paraId="61118FFC">
      <w:pPr>
        <w:pStyle w:val="40"/>
        <w:spacing w:after="240" w:line="240" w:lineRule="auto"/>
        <w:ind w:left="0"/>
        <w:rPr>
          <w:rFonts w:cstheme="minorHAnsi"/>
          <w:sz w:val="21"/>
          <w:szCs w:val="21"/>
        </w:rPr>
      </w:pPr>
      <w:r>
        <w:rPr>
          <w:rFonts w:cstheme="minorHAnsi"/>
          <w:sz w:val="21"/>
          <w:szCs w:val="21"/>
        </w:rPr>
        <w:t>− Use [↑] and [↓] to enter a reference pressure value starting from this value;</w:t>
      </w:r>
    </w:p>
    <w:p w14:paraId="79CDAEE1">
      <w:pPr>
        <w:pStyle w:val="40"/>
        <w:spacing w:after="240" w:line="240" w:lineRule="auto"/>
        <w:ind w:left="0"/>
        <w:rPr>
          <w:rFonts w:cstheme="minorHAnsi"/>
          <w:sz w:val="21"/>
          <w:szCs w:val="21"/>
        </w:rPr>
      </w:pPr>
      <w:r>
        <w:rPr>
          <w:rFonts w:cstheme="minorHAnsi"/>
          <w:sz w:val="21"/>
          <w:szCs w:val="21"/>
        </w:rPr>
        <w:t>− Press the [Enter] key to set, “OK” will be displayed if successful, and “Err” will be displayed if unsuccessful.</w:t>
      </w:r>
    </w:p>
    <w:p w14:paraId="62BAE300">
      <w:pPr>
        <w:pStyle w:val="40"/>
        <w:spacing w:after="240" w:line="240" w:lineRule="auto"/>
        <w:ind w:left="0"/>
        <w:rPr>
          <w:rFonts w:cstheme="minorHAnsi"/>
          <w:sz w:val="21"/>
          <w:szCs w:val="21"/>
        </w:rPr>
      </w:pPr>
      <w:r>
        <w:rPr>
          <w:rFonts w:cstheme="minorHAnsi"/>
          <w:sz w:val="21"/>
          <w:szCs w:val="21"/>
        </w:rPr>
        <w:t>− Use [M] for mode switching</w:t>
      </w:r>
    </w:p>
    <w:p w14:paraId="36A35B2E">
      <w:pPr>
        <w:pStyle w:val="4"/>
        <w:spacing w:before="120" w:beforeLines="50" w:after="120" w:afterLines="50"/>
        <w:rPr>
          <w:rFonts w:asciiTheme="minorHAnsi" w:hAnsiTheme="minorHAnsi" w:cstheme="minorHAnsi"/>
        </w:rPr>
      </w:pPr>
      <w:bookmarkStart w:id="71" w:name="_Toc199429780"/>
      <w:r>
        <w:rPr>
          <w:rFonts w:asciiTheme="minorHAnsi" w:hAnsiTheme="minorHAnsi" w:cstheme="minorHAnsi"/>
        </w:rPr>
        <w:t>Operation steps for setting the lower limit of the input range - Mode 18</w:t>
      </w:r>
      <w:bookmarkEnd w:id="71"/>
    </w:p>
    <w:p w14:paraId="33EDC7EE">
      <w:pPr>
        <w:pStyle w:val="40"/>
        <w:spacing w:after="240" w:line="240" w:lineRule="auto"/>
        <w:ind w:left="0"/>
        <w:rPr>
          <w:rFonts w:cstheme="minorHAnsi"/>
          <w:sz w:val="21"/>
          <w:szCs w:val="21"/>
        </w:rPr>
      </w:pPr>
      <w:r>
        <w:rPr>
          <w:rFonts w:cstheme="minorHAnsi"/>
          <w:sz w:val="21"/>
          <w:szCs w:val="21"/>
        </w:rPr>
        <w:t>In this mode, the lower limit of the input range can be passively adjusted.</w:t>
      </w:r>
    </w:p>
    <w:p w14:paraId="441BD598">
      <w:pPr>
        <w:pStyle w:val="40"/>
        <w:spacing w:after="240" w:line="240" w:lineRule="auto"/>
        <w:ind w:left="0"/>
        <w:rPr>
          <w:rFonts w:cstheme="minorHAnsi"/>
          <w:sz w:val="21"/>
          <w:szCs w:val="21"/>
        </w:rPr>
      </w:pPr>
      <w:r>
        <w:rPr>
          <w:rFonts w:cstheme="minorHAnsi"/>
          <w:sz w:val="21"/>
          <w:szCs w:val="21"/>
        </w:rPr>
        <w:t>Perform the adjustment of the upper range limit as follows:</w:t>
      </w:r>
    </w:p>
    <w:p w14:paraId="7ADE03C7">
      <w:pPr>
        <w:pStyle w:val="40"/>
        <w:spacing w:after="240" w:line="240" w:lineRule="auto"/>
        <w:ind w:left="0"/>
        <w:rPr>
          <w:rFonts w:cstheme="minorHAnsi"/>
          <w:sz w:val="21"/>
          <w:szCs w:val="21"/>
        </w:rPr>
      </w:pPr>
      <w:r>
        <w:rPr>
          <w:rFonts w:cstheme="minorHAnsi"/>
          <w:sz w:val="21"/>
          <w:szCs w:val="21"/>
        </w:rPr>
        <w:t>− Set mode 18. Displays the last adjusted process value and its associated units;</w:t>
      </w:r>
    </w:p>
    <w:p w14:paraId="3243E826">
      <w:pPr>
        <w:pStyle w:val="40"/>
        <w:spacing w:after="240" w:line="240" w:lineRule="auto"/>
        <w:ind w:left="0"/>
        <w:rPr>
          <w:rFonts w:cstheme="minorHAnsi"/>
          <w:sz w:val="21"/>
          <w:szCs w:val="21"/>
        </w:rPr>
      </w:pPr>
      <w:r>
        <w:rPr>
          <w:rFonts w:cstheme="minorHAnsi"/>
          <w:sz w:val="21"/>
          <w:szCs w:val="21"/>
        </w:rPr>
        <w:t>− Use [↑] and [↓] to enter a reference value starting from this value;</w:t>
      </w:r>
    </w:p>
    <w:p w14:paraId="722DC135">
      <w:pPr>
        <w:pStyle w:val="40"/>
        <w:spacing w:after="240" w:line="240" w:lineRule="auto"/>
        <w:ind w:left="0"/>
        <w:rPr>
          <w:rFonts w:cstheme="minorHAnsi"/>
          <w:sz w:val="21"/>
          <w:szCs w:val="21"/>
        </w:rPr>
      </w:pPr>
      <w:r>
        <w:rPr>
          <w:rFonts w:cstheme="minorHAnsi"/>
          <w:sz w:val="21"/>
          <w:szCs w:val="21"/>
        </w:rPr>
        <w:t>− Press the [Enter] key to set, “OK” will be displayed if successful, and “Err” will be displayed if unsuccessful.</w:t>
      </w:r>
    </w:p>
    <w:p w14:paraId="605A126D">
      <w:pPr>
        <w:pStyle w:val="40"/>
        <w:spacing w:after="240" w:line="240" w:lineRule="auto"/>
        <w:ind w:left="0"/>
        <w:rPr>
          <w:rFonts w:cstheme="minorHAnsi"/>
          <w:sz w:val="21"/>
          <w:szCs w:val="21"/>
        </w:rPr>
      </w:pPr>
      <w:r>
        <w:rPr>
          <w:rFonts w:cstheme="minorHAnsi"/>
          <w:sz w:val="21"/>
          <w:szCs w:val="21"/>
        </w:rPr>
        <w:t>− Use [M] for mode switching</w:t>
      </w:r>
    </w:p>
    <w:p w14:paraId="7A81C951">
      <w:pPr>
        <w:pStyle w:val="4"/>
        <w:spacing w:before="120" w:beforeLines="50" w:after="120" w:afterLines="50"/>
        <w:rPr>
          <w:rFonts w:asciiTheme="minorHAnsi" w:hAnsiTheme="minorHAnsi" w:cstheme="minorHAnsi"/>
        </w:rPr>
      </w:pPr>
      <w:bookmarkStart w:id="72" w:name="_Toc199429781"/>
      <w:r>
        <w:rPr>
          <w:rFonts w:asciiTheme="minorHAnsi" w:hAnsiTheme="minorHAnsi" w:cstheme="minorHAnsi"/>
        </w:rPr>
        <w:t>Operation steps for setting the upper limit of the input range - Mode 19</w:t>
      </w:r>
      <w:bookmarkEnd w:id="72"/>
    </w:p>
    <w:p w14:paraId="601533F1">
      <w:pPr>
        <w:pStyle w:val="40"/>
        <w:spacing w:after="240" w:line="240" w:lineRule="auto"/>
        <w:ind w:left="0"/>
        <w:rPr>
          <w:rFonts w:cstheme="minorHAnsi"/>
          <w:sz w:val="21"/>
          <w:szCs w:val="21"/>
        </w:rPr>
      </w:pPr>
      <w:r>
        <w:rPr>
          <w:rFonts w:cstheme="minorHAnsi"/>
          <w:sz w:val="21"/>
          <w:szCs w:val="21"/>
        </w:rPr>
        <w:t>In this mode, the upper limit of the input range can be passively adjusted.</w:t>
      </w:r>
    </w:p>
    <w:p w14:paraId="287686C9">
      <w:pPr>
        <w:pStyle w:val="40"/>
        <w:spacing w:after="240" w:line="240" w:lineRule="auto"/>
        <w:ind w:left="0"/>
        <w:rPr>
          <w:rFonts w:cstheme="minorHAnsi"/>
          <w:sz w:val="21"/>
          <w:szCs w:val="21"/>
        </w:rPr>
      </w:pPr>
      <w:r>
        <w:rPr>
          <w:rFonts w:cstheme="minorHAnsi"/>
          <w:sz w:val="21"/>
          <w:szCs w:val="21"/>
        </w:rPr>
        <w:t>Perform the adjustment of the upper range limit as follows:</w:t>
      </w:r>
    </w:p>
    <w:p w14:paraId="661D8583">
      <w:pPr>
        <w:pStyle w:val="40"/>
        <w:spacing w:after="240" w:line="240" w:lineRule="auto"/>
        <w:ind w:left="0"/>
        <w:rPr>
          <w:rFonts w:cstheme="minorHAnsi"/>
          <w:sz w:val="21"/>
          <w:szCs w:val="21"/>
        </w:rPr>
      </w:pPr>
      <w:r>
        <w:rPr>
          <w:rFonts w:cstheme="minorHAnsi"/>
          <w:sz w:val="21"/>
          <w:szCs w:val="21"/>
        </w:rPr>
        <w:t>− Set mode 19. Displays the last adjusted process value and its associated units;</w:t>
      </w:r>
    </w:p>
    <w:p w14:paraId="1597F126">
      <w:pPr>
        <w:pStyle w:val="40"/>
        <w:spacing w:after="240" w:line="240" w:lineRule="auto"/>
        <w:ind w:left="0"/>
        <w:rPr>
          <w:rFonts w:cstheme="minorHAnsi"/>
          <w:sz w:val="21"/>
          <w:szCs w:val="21"/>
        </w:rPr>
      </w:pPr>
      <w:r>
        <w:rPr>
          <w:rFonts w:cstheme="minorHAnsi"/>
          <w:sz w:val="21"/>
          <w:szCs w:val="21"/>
        </w:rPr>
        <w:t>− Use [↑] and [↓] to enter a reference value starting from this value;</w:t>
      </w:r>
    </w:p>
    <w:p w14:paraId="010AEA44">
      <w:pPr>
        <w:pStyle w:val="40"/>
        <w:spacing w:after="240" w:line="240" w:lineRule="auto"/>
        <w:ind w:left="0"/>
        <w:rPr>
          <w:rFonts w:cstheme="minorHAnsi"/>
          <w:sz w:val="21"/>
          <w:szCs w:val="21"/>
        </w:rPr>
      </w:pPr>
      <w:r>
        <w:rPr>
          <w:rFonts w:cstheme="minorHAnsi"/>
          <w:sz w:val="21"/>
          <w:szCs w:val="21"/>
        </w:rPr>
        <w:t>− Press the [Enter] key to set, “OK” will be displayed if successful, and “Err” will be displayed if unsuccessful.</w:t>
      </w:r>
    </w:p>
    <w:p w14:paraId="1AC9F3AB">
      <w:pPr>
        <w:pStyle w:val="40"/>
        <w:spacing w:after="240" w:line="240" w:lineRule="auto"/>
        <w:ind w:left="0"/>
        <w:rPr>
          <w:rFonts w:cstheme="minorHAnsi"/>
          <w:sz w:val="21"/>
          <w:szCs w:val="21"/>
        </w:rPr>
      </w:pPr>
      <w:r>
        <w:rPr>
          <w:rFonts w:cstheme="minorHAnsi"/>
          <w:sz w:val="21"/>
          <w:szCs w:val="21"/>
        </w:rPr>
        <w:t>− Use [M] for mode switching</w:t>
      </w:r>
    </w:p>
    <w:p w14:paraId="5095AD1B">
      <w:pPr>
        <w:pStyle w:val="4"/>
        <w:spacing w:before="120" w:beforeLines="50" w:after="120" w:afterLines="50"/>
        <w:rPr>
          <w:rFonts w:asciiTheme="minorHAnsi" w:hAnsiTheme="minorHAnsi" w:cstheme="minorHAnsi"/>
        </w:rPr>
      </w:pPr>
      <w:bookmarkStart w:id="73" w:name="_Toc199429782"/>
      <w:r>
        <w:rPr>
          <w:rFonts w:asciiTheme="minorHAnsi" w:hAnsiTheme="minorHAnsi" w:cstheme="minorHAnsi"/>
        </w:rPr>
        <w:t>Operation steps for setting the lower limit of the output range - Mode 20</w:t>
      </w:r>
      <w:bookmarkEnd w:id="73"/>
    </w:p>
    <w:p w14:paraId="191EBCD1">
      <w:pPr>
        <w:pStyle w:val="40"/>
        <w:spacing w:after="240" w:line="240" w:lineRule="auto"/>
        <w:ind w:left="0"/>
        <w:rPr>
          <w:rFonts w:cstheme="minorHAnsi"/>
          <w:sz w:val="21"/>
          <w:szCs w:val="21"/>
        </w:rPr>
      </w:pPr>
      <w:r>
        <w:rPr>
          <w:rFonts w:cstheme="minorHAnsi"/>
          <w:sz w:val="21"/>
          <w:szCs w:val="21"/>
        </w:rPr>
        <w:t>In this mode, the lower limit of the output range can be passively adjusted.</w:t>
      </w:r>
    </w:p>
    <w:p w14:paraId="4B3E4B2F">
      <w:pPr>
        <w:pStyle w:val="40"/>
        <w:spacing w:after="240" w:line="240" w:lineRule="auto"/>
        <w:ind w:left="0"/>
        <w:rPr>
          <w:rFonts w:cstheme="minorHAnsi"/>
          <w:sz w:val="21"/>
          <w:szCs w:val="21"/>
        </w:rPr>
      </w:pPr>
      <w:r>
        <w:rPr>
          <w:rFonts w:cstheme="minorHAnsi"/>
          <w:sz w:val="21"/>
          <w:szCs w:val="21"/>
        </w:rPr>
        <w:t>Perform the adjustment of the upper range limit as follows:</w:t>
      </w:r>
    </w:p>
    <w:p w14:paraId="2FD718D3">
      <w:pPr>
        <w:pStyle w:val="40"/>
        <w:spacing w:after="240" w:line="240" w:lineRule="auto"/>
        <w:ind w:left="0"/>
        <w:rPr>
          <w:rFonts w:cstheme="minorHAnsi"/>
          <w:sz w:val="21"/>
          <w:szCs w:val="21"/>
        </w:rPr>
      </w:pPr>
      <w:r>
        <w:rPr>
          <w:rFonts w:cstheme="minorHAnsi"/>
          <w:sz w:val="21"/>
          <w:szCs w:val="21"/>
        </w:rPr>
        <w:t>− Set mode 20. Displays the last adjusted process value and its associated units;</w:t>
      </w:r>
    </w:p>
    <w:p w14:paraId="69E02CD1">
      <w:pPr>
        <w:pStyle w:val="40"/>
        <w:spacing w:after="240" w:line="240" w:lineRule="auto"/>
        <w:ind w:left="0"/>
        <w:rPr>
          <w:rFonts w:cstheme="minorHAnsi"/>
          <w:sz w:val="21"/>
          <w:szCs w:val="21"/>
        </w:rPr>
      </w:pPr>
      <w:r>
        <w:rPr>
          <w:rFonts w:cstheme="minorHAnsi"/>
          <w:sz w:val="21"/>
          <w:szCs w:val="21"/>
        </w:rPr>
        <w:t>− Use [↑] and [↓] to enter a reference value starting from this value;</w:t>
      </w:r>
    </w:p>
    <w:p w14:paraId="582449C8">
      <w:pPr>
        <w:pStyle w:val="40"/>
        <w:spacing w:after="240" w:line="240" w:lineRule="auto"/>
        <w:ind w:left="0"/>
        <w:rPr>
          <w:rFonts w:cstheme="minorHAnsi"/>
          <w:sz w:val="21"/>
          <w:szCs w:val="21"/>
        </w:rPr>
      </w:pPr>
      <w:r>
        <w:rPr>
          <w:rFonts w:cstheme="minorHAnsi"/>
          <w:sz w:val="21"/>
          <w:szCs w:val="21"/>
        </w:rPr>
        <w:t>− Press the [Enter] key to set, “OK” will be displayed if successful, and “Err” will be displayed if unsuccessful.</w:t>
      </w:r>
    </w:p>
    <w:p w14:paraId="032F612A">
      <w:pPr>
        <w:pStyle w:val="40"/>
        <w:spacing w:after="240" w:line="240" w:lineRule="auto"/>
        <w:ind w:left="0"/>
        <w:rPr>
          <w:rFonts w:cstheme="minorHAnsi"/>
          <w:sz w:val="21"/>
          <w:szCs w:val="21"/>
        </w:rPr>
      </w:pPr>
      <w:r>
        <w:rPr>
          <w:rFonts w:cstheme="minorHAnsi"/>
          <w:sz w:val="21"/>
          <w:szCs w:val="21"/>
        </w:rPr>
        <w:t>− Use [M] for mode switching</w:t>
      </w:r>
    </w:p>
    <w:p w14:paraId="4BAF4420">
      <w:pPr>
        <w:pStyle w:val="4"/>
        <w:spacing w:before="120" w:beforeLines="50" w:after="120" w:afterLines="50"/>
        <w:rPr>
          <w:rFonts w:asciiTheme="minorHAnsi" w:hAnsiTheme="minorHAnsi" w:cstheme="minorHAnsi"/>
        </w:rPr>
      </w:pPr>
      <w:bookmarkStart w:id="74" w:name="_Toc199429783"/>
      <w:r>
        <w:rPr>
          <w:rFonts w:asciiTheme="minorHAnsi" w:hAnsiTheme="minorHAnsi" w:cstheme="minorHAnsi"/>
        </w:rPr>
        <w:t>Operation steps for setting the upper limit of the output range – Mode 21</w:t>
      </w:r>
      <w:bookmarkEnd w:id="74"/>
    </w:p>
    <w:p w14:paraId="1DD55E7D">
      <w:pPr>
        <w:pStyle w:val="40"/>
        <w:spacing w:after="240" w:line="240" w:lineRule="auto"/>
        <w:ind w:left="0"/>
        <w:rPr>
          <w:rFonts w:cstheme="minorHAnsi"/>
          <w:sz w:val="21"/>
          <w:szCs w:val="21"/>
        </w:rPr>
      </w:pPr>
      <w:r>
        <w:rPr>
          <w:rFonts w:cstheme="minorHAnsi"/>
          <w:sz w:val="21"/>
          <w:szCs w:val="21"/>
        </w:rPr>
        <w:t>In this mode, the upper limit of the output range can be passively adjusted.</w:t>
      </w:r>
    </w:p>
    <w:p w14:paraId="1D96AA3E">
      <w:pPr>
        <w:pStyle w:val="40"/>
        <w:spacing w:after="240" w:line="240" w:lineRule="auto"/>
        <w:ind w:left="0"/>
        <w:rPr>
          <w:rFonts w:cstheme="minorHAnsi"/>
          <w:sz w:val="21"/>
          <w:szCs w:val="21"/>
        </w:rPr>
      </w:pPr>
      <w:r>
        <w:rPr>
          <w:rFonts w:cstheme="minorHAnsi"/>
          <w:sz w:val="21"/>
          <w:szCs w:val="21"/>
        </w:rPr>
        <w:t>Perform the adjustment of the upper range limit as follows:</w:t>
      </w:r>
    </w:p>
    <w:p w14:paraId="380DD548">
      <w:pPr>
        <w:pStyle w:val="40"/>
        <w:spacing w:after="240" w:line="240" w:lineRule="auto"/>
        <w:ind w:left="0"/>
        <w:rPr>
          <w:rFonts w:cstheme="minorHAnsi"/>
          <w:sz w:val="21"/>
          <w:szCs w:val="21"/>
        </w:rPr>
      </w:pPr>
      <w:r>
        <w:rPr>
          <w:rFonts w:cstheme="minorHAnsi"/>
          <w:sz w:val="21"/>
          <w:szCs w:val="21"/>
        </w:rPr>
        <w:t>− Set mode 21. Displays the last adjusted process value and its associated units;</w:t>
      </w:r>
    </w:p>
    <w:p w14:paraId="05BBECF2">
      <w:pPr>
        <w:pStyle w:val="40"/>
        <w:spacing w:after="240" w:line="240" w:lineRule="auto"/>
        <w:ind w:left="0"/>
        <w:rPr>
          <w:rFonts w:cstheme="minorHAnsi"/>
          <w:sz w:val="21"/>
          <w:szCs w:val="21"/>
        </w:rPr>
      </w:pPr>
      <w:r>
        <w:rPr>
          <w:rFonts w:cstheme="minorHAnsi"/>
          <w:sz w:val="21"/>
          <w:szCs w:val="21"/>
        </w:rPr>
        <w:t>− Use [↑] and [↓] to enter a reference value starting from this value;</w:t>
      </w:r>
    </w:p>
    <w:p w14:paraId="157DC5D3">
      <w:pPr>
        <w:pStyle w:val="40"/>
        <w:spacing w:after="240" w:line="240" w:lineRule="auto"/>
        <w:ind w:left="0"/>
        <w:rPr>
          <w:rFonts w:cstheme="minorHAnsi"/>
          <w:sz w:val="21"/>
          <w:szCs w:val="21"/>
        </w:rPr>
      </w:pPr>
      <w:r>
        <w:rPr>
          <w:rFonts w:cstheme="minorHAnsi"/>
          <w:sz w:val="21"/>
          <w:szCs w:val="21"/>
        </w:rPr>
        <w:t>− Press the [Enter] key to set, “OK” will be displayed if successful, and “Err” will be displayed if unsuccessful.</w:t>
      </w:r>
    </w:p>
    <w:p w14:paraId="151AF530">
      <w:pPr>
        <w:pStyle w:val="40"/>
        <w:spacing w:after="240" w:line="240" w:lineRule="auto"/>
        <w:ind w:left="0"/>
        <w:rPr>
          <w:rFonts w:cstheme="minorHAnsi"/>
          <w:sz w:val="21"/>
          <w:szCs w:val="21"/>
        </w:rPr>
      </w:pPr>
      <w:r>
        <w:rPr>
          <w:rFonts w:cstheme="minorHAnsi"/>
          <w:sz w:val="21"/>
          <w:szCs w:val="21"/>
        </w:rPr>
        <w:t>− Use [M] for mode switching</w:t>
      </w:r>
    </w:p>
    <w:p w14:paraId="463CFB7E">
      <w:pPr>
        <w:pStyle w:val="3"/>
        <w:spacing w:before="120" w:beforeLines="50" w:after="120" w:afterLines="50" w:line="240" w:lineRule="auto"/>
        <w:ind w:left="578" w:hanging="578"/>
        <w:rPr>
          <w:rFonts w:asciiTheme="minorHAnsi" w:hAnsiTheme="minorHAnsi" w:cstheme="minorHAnsi"/>
        </w:rPr>
      </w:pPr>
      <w:bookmarkStart w:id="75" w:name="_Toc199429784"/>
      <w:r>
        <w:rPr>
          <w:rFonts w:asciiTheme="minorHAnsi" w:hAnsiTheme="minorHAnsi" w:cstheme="minorHAnsi"/>
        </w:rPr>
        <w:t>On-site calibration of DP type intelligent transmitter</w:t>
      </w:r>
      <w:bookmarkEnd w:id="75"/>
    </w:p>
    <w:p w14:paraId="2C88EE6F">
      <w:pPr>
        <w:pStyle w:val="40"/>
        <w:spacing w:after="240" w:line="240" w:lineRule="auto"/>
        <w:ind w:left="0"/>
        <w:rPr>
          <w:rFonts w:cstheme="minorHAnsi"/>
          <w:sz w:val="21"/>
          <w:szCs w:val="21"/>
        </w:rPr>
      </w:pPr>
      <w:r>
        <w:rPr>
          <w:rFonts w:cstheme="minorHAnsi"/>
          <w:sz w:val="21"/>
          <w:szCs w:val="21"/>
        </w:rPr>
        <w:t>Through on-site adjustment, the adjustment functions of the transmitter's bus address, display variable type, decimal point position, zero point, unit, range lower limit and range upper limit can be realized. For specific functions and key operations, see Table 4.5</w:t>
      </w:r>
    </w:p>
    <w:p w14:paraId="1C2FF41D">
      <w:pPr>
        <w:pStyle w:val="12"/>
        <w:keepNext/>
        <w:spacing w:before="120" w:after="120"/>
        <w:rPr>
          <w:rFonts w:asciiTheme="minorHAnsi" w:hAnsiTheme="minorHAnsi" w:cstheme="minorHAnsi"/>
        </w:rPr>
      </w:pPr>
      <w:r>
        <w:rPr>
          <w:rFonts w:asciiTheme="minorHAnsi" w:hAnsiTheme="minorHAnsi" w:cstheme="minorHAnsi"/>
        </w:rPr>
        <w:t xml:space="preserve">Table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表 \* ARABIC \s 1 </w:instrText>
      </w:r>
      <w:r>
        <w:rPr>
          <w:rFonts w:asciiTheme="minorHAnsi" w:hAnsiTheme="minorHAnsi" w:cstheme="minorHAnsi"/>
        </w:rPr>
        <w:fldChar w:fldCharType="separate"/>
      </w:r>
      <w:r>
        <w:rPr>
          <w:rFonts w:asciiTheme="minorHAnsi" w:hAnsiTheme="minorHAnsi" w:cstheme="minorHAnsi"/>
        </w:rPr>
        <w:t>5</w:t>
      </w:r>
      <w:r>
        <w:rPr>
          <w:rFonts w:asciiTheme="minorHAnsi" w:hAnsiTheme="minorHAnsi" w:cstheme="minorHAnsi"/>
        </w:rPr>
        <w:fldChar w:fldCharType="end"/>
      </w:r>
      <w:r>
        <w:rPr>
          <w:rFonts w:asciiTheme="minorHAnsi" w:hAnsiTheme="minorHAnsi" w:cstheme="minorHAnsi"/>
        </w:rPr>
        <w:t xml:space="preserve"> Specific functions and key operations</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881"/>
        <w:gridCol w:w="1140"/>
        <w:gridCol w:w="1156"/>
        <w:gridCol w:w="1014"/>
        <w:gridCol w:w="1174"/>
        <w:gridCol w:w="3015"/>
      </w:tblGrid>
      <w:tr w14:paraId="6AD2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9" w:type="pct"/>
            <w:vMerge w:val="restart"/>
            <w:shd w:val="clear" w:color="auto" w:fill="CCCCCC"/>
            <w:vAlign w:val="center"/>
          </w:tcPr>
          <w:p w14:paraId="76B4C390">
            <w:pPr>
              <w:spacing w:after="240"/>
              <w:jc w:val="center"/>
              <w:rPr>
                <w:rFonts w:cstheme="minorHAnsi"/>
                <w:sz w:val="18"/>
                <w:szCs w:val="18"/>
              </w:rPr>
            </w:pPr>
            <w:r>
              <w:rPr>
                <w:rFonts w:cstheme="minorHAnsi"/>
                <w:sz w:val="18"/>
                <w:szCs w:val="18"/>
              </w:rPr>
              <w:t>Function</w:t>
            </w:r>
          </w:p>
        </w:tc>
        <w:tc>
          <w:tcPr>
            <w:tcW w:w="444" w:type="pct"/>
            <w:shd w:val="clear" w:color="auto" w:fill="CCCCCC"/>
            <w:vAlign w:val="center"/>
          </w:tcPr>
          <w:p w14:paraId="0FBF7303">
            <w:pPr>
              <w:spacing w:after="240"/>
              <w:jc w:val="center"/>
              <w:rPr>
                <w:rFonts w:cstheme="minorHAnsi"/>
                <w:sz w:val="18"/>
                <w:szCs w:val="18"/>
              </w:rPr>
            </w:pPr>
            <w:r>
              <w:rPr>
                <w:rFonts w:cstheme="minorHAnsi"/>
                <w:sz w:val="18"/>
                <w:szCs w:val="18"/>
              </w:rPr>
              <w:t>model</w:t>
            </w:r>
          </w:p>
        </w:tc>
        <w:tc>
          <w:tcPr>
            <w:tcW w:w="1652" w:type="pct"/>
            <w:gridSpan w:val="3"/>
            <w:shd w:val="clear" w:color="auto" w:fill="CCCCCC"/>
            <w:vAlign w:val="center"/>
          </w:tcPr>
          <w:p w14:paraId="3EABEBC5">
            <w:pPr>
              <w:spacing w:after="240"/>
              <w:jc w:val="center"/>
              <w:rPr>
                <w:rFonts w:cstheme="minorHAnsi"/>
                <w:sz w:val="18"/>
                <w:szCs w:val="18"/>
              </w:rPr>
            </w:pPr>
            <w:r>
              <w:rPr>
                <w:rFonts w:cstheme="minorHAnsi"/>
                <w:sz w:val="18"/>
                <w:szCs w:val="18"/>
              </w:rPr>
              <w:t>Key Function</w:t>
            </w:r>
          </w:p>
        </w:tc>
        <w:tc>
          <w:tcPr>
            <w:tcW w:w="591" w:type="pct"/>
            <w:vMerge w:val="restart"/>
            <w:shd w:val="clear" w:color="auto" w:fill="CCCCCC"/>
            <w:vAlign w:val="center"/>
          </w:tcPr>
          <w:p w14:paraId="6480A873">
            <w:pPr>
              <w:spacing w:after="240"/>
              <w:jc w:val="center"/>
              <w:rPr>
                <w:rFonts w:cstheme="minorHAnsi"/>
                <w:sz w:val="18"/>
                <w:szCs w:val="18"/>
              </w:rPr>
            </w:pPr>
            <w:r>
              <w:rPr>
                <w:rFonts w:cstheme="minorHAnsi"/>
                <w:sz w:val="18"/>
                <w:szCs w:val="18"/>
              </w:rPr>
              <w:t>Function</w:t>
            </w:r>
          </w:p>
          <w:p w14:paraId="36CB3359">
            <w:pPr>
              <w:spacing w:after="240"/>
              <w:jc w:val="center"/>
              <w:rPr>
                <w:rFonts w:cstheme="minorHAnsi"/>
                <w:sz w:val="18"/>
                <w:szCs w:val="18"/>
              </w:rPr>
            </w:pPr>
            <w:r>
              <w:rPr>
                <w:rFonts w:cstheme="minorHAnsi"/>
                <w:sz w:val="18"/>
                <w:szCs w:val="18"/>
              </w:rPr>
              <w:t>show</w:t>
            </w:r>
          </w:p>
        </w:tc>
        <w:tc>
          <w:tcPr>
            <w:tcW w:w="1514" w:type="pct"/>
            <w:vMerge w:val="restart"/>
            <w:shd w:val="clear" w:color="auto" w:fill="CCCCCC"/>
            <w:vAlign w:val="center"/>
          </w:tcPr>
          <w:p w14:paraId="2C7DA291">
            <w:pPr>
              <w:spacing w:after="240"/>
              <w:jc w:val="center"/>
              <w:rPr>
                <w:rFonts w:cstheme="minorHAnsi"/>
                <w:sz w:val="18"/>
                <w:szCs w:val="18"/>
              </w:rPr>
            </w:pPr>
            <w:r>
              <w:rPr>
                <w:rFonts w:cstheme="minorHAnsi"/>
                <w:sz w:val="18"/>
                <w:szCs w:val="18"/>
              </w:rPr>
              <w:t>show, explain</w:t>
            </w:r>
          </w:p>
        </w:tc>
      </w:tr>
      <w:tr w14:paraId="0933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9" w:type="pct"/>
            <w:vMerge w:val="continue"/>
            <w:shd w:val="clear" w:color="auto" w:fill="CCCCCC"/>
            <w:vAlign w:val="center"/>
          </w:tcPr>
          <w:p w14:paraId="24F51A7E">
            <w:pPr>
              <w:spacing w:after="240"/>
              <w:jc w:val="center"/>
              <w:rPr>
                <w:rFonts w:cstheme="minorHAnsi"/>
                <w:sz w:val="18"/>
                <w:szCs w:val="18"/>
              </w:rPr>
            </w:pPr>
          </w:p>
        </w:tc>
        <w:tc>
          <w:tcPr>
            <w:tcW w:w="444" w:type="pct"/>
            <w:shd w:val="clear" w:color="auto" w:fill="CCCCCC"/>
            <w:vAlign w:val="center"/>
          </w:tcPr>
          <w:p w14:paraId="6A0607D9">
            <w:pPr>
              <w:spacing w:after="240"/>
              <w:jc w:val="center"/>
              <w:rPr>
                <w:rFonts w:cstheme="minorHAnsi"/>
                <w:sz w:val="18"/>
                <w:szCs w:val="18"/>
              </w:rPr>
            </w:pPr>
            <w:r>
              <w:rPr>
                <w:rFonts w:cstheme="minorHAnsi"/>
                <w:sz w:val="18"/>
                <w:szCs w:val="18"/>
              </w:rPr>
              <w:t>[M]</w:t>
            </w:r>
          </w:p>
        </w:tc>
        <w:tc>
          <w:tcPr>
            <w:tcW w:w="574" w:type="pct"/>
            <w:shd w:val="clear" w:color="auto" w:fill="CCCCCC"/>
            <w:vAlign w:val="center"/>
          </w:tcPr>
          <w:p w14:paraId="0467F2E4">
            <w:pPr>
              <w:spacing w:after="240"/>
              <w:jc w:val="center"/>
              <w:rPr>
                <w:rFonts w:cstheme="minorHAnsi"/>
                <w:sz w:val="18"/>
                <w:szCs w:val="18"/>
              </w:rPr>
            </w:pPr>
            <w:r>
              <w:rPr>
                <w:rFonts w:cstheme="minorHAnsi"/>
                <w:sz w:val="18"/>
                <w:szCs w:val="18"/>
              </w:rPr>
              <w:t>[↑]</w:t>
            </w:r>
          </w:p>
        </w:tc>
        <w:tc>
          <w:tcPr>
            <w:tcW w:w="582" w:type="pct"/>
            <w:shd w:val="clear" w:color="auto" w:fill="CCCCCC"/>
            <w:vAlign w:val="center"/>
          </w:tcPr>
          <w:p w14:paraId="22DDCD40">
            <w:pPr>
              <w:spacing w:after="240"/>
              <w:jc w:val="center"/>
              <w:rPr>
                <w:rFonts w:cstheme="minorHAnsi"/>
                <w:sz w:val="18"/>
                <w:szCs w:val="18"/>
              </w:rPr>
            </w:pPr>
            <w:r>
              <w:rPr>
                <w:rFonts w:cstheme="minorHAnsi"/>
                <w:sz w:val="18"/>
                <w:szCs w:val="18"/>
              </w:rPr>
              <w:t>[↓]</w:t>
            </w:r>
          </w:p>
        </w:tc>
        <w:tc>
          <w:tcPr>
            <w:tcW w:w="496" w:type="pct"/>
            <w:shd w:val="clear" w:color="auto" w:fill="CCCCCC"/>
            <w:vAlign w:val="center"/>
          </w:tcPr>
          <w:p w14:paraId="3217E179">
            <w:pPr>
              <w:spacing w:after="240"/>
              <w:jc w:val="center"/>
              <w:rPr>
                <w:rFonts w:cstheme="minorHAnsi"/>
                <w:sz w:val="18"/>
                <w:szCs w:val="18"/>
              </w:rPr>
            </w:pPr>
            <w:r>
              <w:rPr>
                <w:rFonts w:cstheme="minorHAnsi"/>
                <w:sz w:val="18"/>
                <w:szCs w:val="18"/>
              </w:rPr>
              <w:t>[Enter]</w:t>
            </w:r>
          </w:p>
        </w:tc>
        <w:tc>
          <w:tcPr>
            <w:tcW w:w="591" w:type="pct"/>
            <w:vMerge w:val="continue"/>
            <w:shd w:val="clear" w:color="auto" w:fill="CCCCCC"/>
            <w:vAlign w:val="center"/>
          </w:tcPr>
          <w:p w14:paraId="5931B4E6">
            <w:pPr>
              <w:spacing w:after="240"/>
              <w:jc w:val="center"/>
              <w:rPr>
                <w:rFonts w:cstheme="minorHAnsi"/>
                <w:sz w:val="18"/>
                <w:szCs w:val="18"/>
              </w:rPr>
            </w:pPr>
          </w:p>
        </w:tc>
        <w:tc>
          <w:tcPr>
            <w:tcW w:w="1514" w:type="pct"/>
            <w:vMerge w:val="continue"/>
            <w:shd w:val="clear" w:color="auto" w:fill="CCCCCC"/>
            <w:vAlign w:val="center"/>
          </w:tcPr>
          <w:p w14:paraId="62F5C281">
            <w:pPr>
              <w:spacing w:after="240"/>
              <w:jc w:val="center"/>
              <w:rPr>
                <w:rFonts w:cstheme="minorHAnsi"/>
                <w:sz w:val="18"/>
                <w:szCs w:val="18"/>
              </w:rPr>
            </w:pPr>
          </w:p>
        </w:tc>
      </w:tr>
      <w:tr w14:paraId="3B23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Align w:val="center"/>
          </w:tcPr>
          <w:p w14:paraId="2128ED0B">
            <w:pPr>
              <w:spacing w:after="240"/>
              <w:jc w:val="center"/>
              <w:rPr>
                <w:rFonts w:cstheme="minorHAnsi"/>
                <w:sz w:val="18"/>
                <w:szCs w:val="18"/>
              </w:rPr>
            </w:pPr>
            <w:r>
              <w:rPr>
                <w:rFonts w:cstheme="minorHAnsi"/>
                <w:sz w:val="18"/>
                <w:szCs w:val="18"/>
              </w:rPr>
              <w:t>Measurement value display</w:t>
            </w:r>
          </w:p>
        </w:tc>
        <w:tc>
          <w:tcPr>
            <w:tcW w:w="444" w:type="pct"/>
            <w:vAlign w:val="center"/>
          </w:tcPr>
          <w:p w14:paraId="3A1A820F">
            <w:pPr>
              <w:spacing w:after="240"/>
              <w:jc w:val="center"/>
              <w:rPr>
                <w:rFonts w:cstheme="minorHAnsi"/>
                <w:sz w:val="18"/>
                <w:szCs w:val="18"/>
              </w:rPr>
            </w:pPr>
          </w:p>
        </w:tc>
        <w:tc>
          <w:tcPr>
            <w:tcW w:w="574" w:type="pct"/>
            <w:vAlign w:val="center"/>
          </w:tcPr>
          <w:p w14:paraId="25FC42BB">
            <w:pPr>
              <w:spacing w:after="240"/>
              <w:jc w:val="center"/>
              <w:rPr>
                <w:rFonts w:cstheme="minorHAnsi"/>
                <w:sz w:val="18"/>
                <w:szCs w:val="18"/>
              </w:rPr>
            </w:pPr>
          </w:p>
        </w:tc>
        <w:tc>
          <w:tcPr>
            <w:tcW w:w="582" w:type="pct"/>
            <w:vAlign w:val="center"/>
          </w:tcPr>
          <w:p w14:paraId="5998CC22">
            <w:pPr>
              <w:spacing w:after="240"/>
              <w:jc w:val="center"/>
              <w:rPr>
                <w:rFonts w:cstheme="minorHAnsi"/>
                <w:sz w:val="18"/>
                <w:szCs w:val="18"/>
              </w:rPr>
            </w:pPr>
          </w:p>
        </w:tc>
        <w:tc>
          <w:tcPr>
            <w:tcW w:w="496" w:type="pct"/>
            <w:vAlign w:val="center"/>
          </w:tcPr>
          <w:p w14:paraId="55DC2A23">
            <w:pPr>
              <w:spacing w:after="240"/>
              <w:jc w:val="center"/>
              <w:rPr>
                <w:rFonts w:cstheme="minorHAnsi"/>
                <w:sz w:val="18"/>
                <w:szCs w:val="18"/>
              </w:rPr>
            </w:pPr>
          </w:p>
        </w:tc>
        <w:tc>
          <w:tcPr>
            <w:tcW w:w="591" w:type="pct"/>
            <w:vAlign w:val="center"/>
          </w:tcPr>
          <w:p w14:paraId="7A496F3B">
            <w:pPr>
              <w:spacing w:after="240"/>
              <w:jc w:val="center"/>
              <w:rPr>
                <w:rFonts w:cstheme="minorHAnsi"/>
                <w:sz w:val="18"/>
                <w:szCs w:val="18"/>
              </w:rPr>
            </w:pPr>
          </w:p>
        </w:tc>
        <w:tc>
          <w:tcPr>
            <w:tcW w:w="1514" w:type="pct"/>
            <w:vAlign w:val="center"/>
          </w:tcPr>
          <w:p w14:paraId="6E3D2790">
            <w:pPr>
              <w:spacing w:after="240"/>
              <w:jc w:val="center"/>
              <w:rPr>
                <w:rFonts w:cstheme="minorHAnsi"/>
                <w:sz w:val="18"/>
                <w:szCs w:val="18"/>
              </w:rPr>
            </w:pPr>
            <w:r>
              <w:rPr>
                <w:rFonts w:cstheme="minorHAnsi"/>
                <w:sz w:val="18"/>
                <w:szCs w:val="18"/>
              </w:rPr>
              <w:t>Display the measured value selected in mode 11</w:t>
            </w:r>
          </w:p>
        </w:tc>
      </w:tr>
      <w:tr w14:paraId="2B23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Align w:val="center"/>
          </w:tcPr>
          <w:p w14:paraId="61B12827">
            <w:pPr>
              <w:spacing w:after="240"/>
              <w:jc w:val="center"/>
              <w:rPr>
                <w:rFonts w:cstheme="minorHAnsi"/>
                <w:sz w:val="18"/>
                <w:szCs w:val="18"/>
              </w:rPr>
            </w:pPr>
            <w:r>
              <w:rPr>
                <w:rFonts w:cstheme="minorHAnsi"/>
                <w:sz w:val="18"/>
                <w:szCs w:val="18"/>
              </w:rPr>
              <w:t>Error display</w:t>
            </w:r>
          </w:p>
        </w:tc>
        <w:tc>
          <w:tcPr>
            <w:tcW w:w="444" w:type="pct"/>
            <w:vAlign w:val="center"/>
          </w:tcPr>
          <w:p w14:paraId="645E441F">
            <w:pPr>
              <w:spacing w:after="240"/>
              <w:jc w:val="center"/>
              <w:rPr>
                <w:rFonts w:cstheme="minorHAnsi"/>
                <w:sz w:val="18"/>
                <w:szCs w:val="18"/>
              </w:rPr>
            </w:pPr>
          </w:p>
        </w:tc>
        <w:tc>
          <w:tcPr>
            <w:tcW w:w="574" w:type="pct"/>
            <w:vAlign w:val="center"/>
          </w:tcPr>
          <w:p w14:paraId="0F683EF1">
            <w:pPr>
              <w:spacing w:after="240"/>
              <w:jc w:val="center"/>
              <w:rPr>
                <w:rFonts w:cstheme="minorHAnsi"/>
                <w:sz w:val="18"/>
                <w:szCs w:val="18"/>
              </w:rPr>
            </w:pPr>
          </w:p>
        </w:tc>
        <w:tc>
          <w:tcPr>
            <w:tcW w:w="582" w:type="pct"/>
            <w:vAlign w:val="center"/>
          </w:tcPr>
          <w:p w14:paraId="2D4369AF">
            <w:pPr>
              <w:spacing w:after="240"/>
              <w:jc w:val="center"/>
              <w:rPr>
                <w:rFonts w:cstheme="minorHAnsi"/>
                <w:sz w:val="18"/>
                <w:szCs w:val="18"/>
              </w:rPr>
            </w:pPr>
          </w:p>
        </w:tc>
        <w:tc>
          <w:tcPr>
            <w:tcW w:w="496" w:type="pct"/>
            <w:vAlign w:val="center"/>
          </w:tcPr>
          <w:p w14:paraId="0E3A3904">
            <w:pPr>
              <w:spacing w:after="240"/>
              <w:jc w:val="center"/>
              <w:rPr>
                <w:rFonts w:cstheme="minorHAnsi"/>
                <w:sz w:val="18"/>
                <w:szCs w:val="18"/>
              </w:rPr>
            </w:pPr>
          </w:p>
        </w:tc>
        <w:tc>
          <w:tcPr>
            <w:tcW w:w="591" w:type="pct"/>
            <w:vAlign w:val="center"/>
          </w:tcPr>
          <w:p w14:paraId="6AAA0B25">
            <w:pPr>
              <w:spacing w:after="240"/>
              <w:jc w:val="center"/>
              <w:rPr>
                <w:rFonts w:cstheme="minorHAnsi"/>
                <w:sz w:val="18"/>
                <w:szCs w:val="18"/>
              </w:rPr>
            </w:pPr>
          </w:p>
        </w:tc>
        <w:tc>
          <w:tcPr>
            <w:tcW w:w="1514" w:type="pct"/>
            <w:vAlign w:val="center"/>
          </w:tcPr>
          <w:p w14:paraId="187A693A">
            <w:pPr>
              <w:spacing w:after="240"/>
              <w:jc w:val="center"/>
              <w:rPr>
                <w:rFonts w:cstheme="minorHAnsi"/>
                <w:sz w:val="18"/>
                <w:szCs w:val="18"/>
              </w:rPr>
            </w:pPr>
            <w:r>
              <w:rPr>
                <w:rFonts w:cstheme="minorHAnsi"/>
                <w:sz w:val="18"/>
                <w:szCs w:val="18"/>
              </w:rPr>
              <w:t>Mistake! When the transmitter fails, the text of the cause of the failure is displayed</w:t>
            </w:r>
          </w:p>
        </w:tc>
      </w:tr>
      <w:tr w14:paraId="5387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Align w:val="center"/>
          </w:tcPr>
          <w:p w14:paraId="11D5BE31">
            <w:pPr>
              <w:spacing w:after="240"/>
              <w:jc w:val="center"/>
              <w:rPr>
                <w:rFonts w:cstheme="minorHAnsi"/>
                <w:sz w:val="18"/>
                <w:szCs w:val="18"/>
              </w:rPr>
            </w:pPr>
            <w:r>
              <w:rPr>
                <w:rFonts w:cstheme="minorHAnsi"/>
                <w:sz w:val="18"/>
                <w:szCs w:val="18"/>
              </w:rPr>
              <w:t>Electronic damping</w:t>
            </w:r>
          </w:p>
        </w:tc>
        <w:tc>
          <w:tcPr>
            <w:tcW w:w="444" w:type="pct"/>
            <w:vAlign w:val="center"/>
          </w:tcPr>
          <w:p w14:paraId="4FEE1E63">
            <w:pPr>
              <w:spacing w:after="240"/>
              <w:jc w:val="center"/>
              <w:rPr>
                <w:rFonts w:cstheme="minorHAnsi"/>
                <w:sz w:val="18"/>
                <w:szCs w:val="18"/>
              </w:rPr>
            </w:pPr>
            <w:r>
              <w:rPr>
                <w:rFonts w:cstheme="minorHAnsi"/>
                <w:sz w:val="18"/>
                <w:szCs w:val="18"/>
              </w:rPr>
              <w:t>05</w:t>
            </w:r>
          </w:p>
        </w:tc>
        <w:tc>
          <w:tcPr>
            <w:tcW w:w="574" w:type="pct"/>
            <w:vAlign w:val="center"/>
          </w:tcPr>
          <w:p w14:paraId="7D10ABD4">
            <w:pPr>
              <w:spacing w:after="240"/>
              <w:jc w:val="center"/>
              <w:rPr>
                <w:rFonts w:cstheme="minorHAnsi"/>
                <w:sz w:val="18"/>
                <w:szCs w:val="18"/>
              </w:rPr>
            </w:pPr>
            <w:r>
              <w:rPr>
                <w:rFonts w:cstheme="minorHAnsi"/>
                <w:sz w:val="18"/>
                <w:szCs w:val="18"/>
              </w:rPr>
              <w:t>increment</w:t>
            </w:r>
          </w:p>
        </w:tc>
        <w:tc>
          <w:tcPr>
            <w:tcW w:w="582" w:type="pct"/>
            <w:vAlign w:val="center"/>
          </w:tcPr>
          <w:p w14:paraId="039CEB7D">
            <w:pPr>
              <w:spacing w:after="240"/>
              <w:jc w:val="center"/>
              <w:rPr>
                <w:rFonts w:cstheme="minorHAnsi"/>
                <w:sz w:val="18"/>
                <w:szCs w:val="18"/>
              </w:rPr>
            </w:pPr>
            <w:r>
              <w:rPr>
                <w:rFonts w:cstheme="minorHAnsi"/>
                <w:sz w:val="18"/>
                <w:szCs w:val="18"/>
              </w:rPr>
              <w:t>Decrease</w:t>
            </w:r>
          </w:p>
        </w:tc>
        <w:tc>
          <w:tcPr>
            <w:tcW w:w="496" w:type="pct"/>
            <w:vAlign w:val="center"/>
          </w:tcPr>
          <w:p w14:paraId="3602DD79">
            <w:pPr>
              <w:spacing w:after="240"/>
              <w:jc w:val="center"/>
              <w:rPr>
                <w:rFonts w:cstheme="minorHAnsi"/>
                <w:sz w:val="18"/>
                <w:szCs w:val="18"/>
              </w:rPr>
            </w:pPr>
          </w:p>
        </w:tc>
        <w:tc>
          <w:tcPr>
            <w:tcW w:w="591" w:type="pct"/>
            <w:vAlign w:val="center"/>
          </w:tcPr>
          <w:p w14:paraId="26F7343D">
            <w:pPr>
              <w:spacing w:after="240"/>
              <w:jc w:val="center"/>
              <w:rPr>
                <w:rFonts w:cstheme="minorHAnsi"/>
                <w:sz w:val="18"/>
                <w:szCs w:val="18"/>
              </w:rPr>
            </w:pPr>
            <w:r>
              <w:rPr>
                <w:rFonts w:cstheme="minorHAnsi"/>
                <w:sz w:val="18"/>
                <w:szCs w:val="18"/>
              </w:rPr>
              <w:t>Fun05</w:t>
            </w:r>
          </w:p>
          <w:p w14:paraId="749BD45C">
            <w:pPr>
              <w:spacing w:after="240"/>
              <w:jc w:val="center"/>
              <w:rPr>
                <w:rFonts w:cstheme="minorHAnsi"/>
                <w:sz w:val="18"/>
                <w:szCs w:val="18"/>
              </w:rPr>
            </w:pPr>
            <w:r>
              <w:rPr>
                <w:rFonts w:cstheme="minorHAnsi"/>
                <w:sz w:val="18"/>
                <w:szCs w:val="18"/>
              </w:rPr>
              <w:t>DAMP</w:t>
            </w:r>
          </w:p>
        </w:tc>
        <w:tc>
          <w:tcPr>
            <w:tcW w:w="1514" w:type="pct"/>
            <w:vAlign w:val="center"/>
          </w:tcPr>
          <w:p w14:paraId="192EC336">
            <w:pPr>
              <w:spacing w:after="240"/>
              <w:jc w:val="center"/>
              <w:rPr>
                <w:rFonts w:cstheme="minorHAnsi"/>
                <w:sz w:val="18"/>
                <w:szCs w:val="18"/>
              </w:rPr>
            </w:pPr>
            <w:r>
              <w:rPr>
                <w:rFonts w:cstheme="minorHAnsi"/>
                <w:sz w:val="18"/>
                <w:szCs w:val="18"/>
              </w:rPr>
              <w:t>time constant in seconds</w:t>
            </w:r>
          </w:p>
          <w:p w14:paraId="3203B6C6">
            <w:pPr>
              <w:spacing w:after="240"/>
              <w:jc w:val="center"/>
              <w:rPr>
                <w:rFonts w:cstheme="minorHAnsi"/>
                <w:sz w:val="18"/>
                <w:szCs w:val="18"/>
              </w:rPr>
            </w:pPr>
            <w:r>
              <w:rPr>
                <w:rFonts w:cstheme="minorHAnsi"/>
                <w:sz w:val="18"/>
                <w:szCs w:val="18"/>
              </w:rPr>
              <w:t>Setting range: 0.0 to 32.0</w:t>
            </w:r>
          </w:p>
        </w:tc>
      </w:tr>
      <w:tr w14:paraId="44FF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Align w:val="center"/>
          </w:tcPr>
          <w:p w14:paraId="152CB38B">
            <w:pPr>
              <w:spacing w:after="240"/>
              <w:jc w:val="center"/>
              <w:rPr>
                <w:rFonts w:cstheme="minorHAnsi"/>
                <w:sz w:val="18"/>
                <w:szCs w:val="18"/>
              </w:rPr>
            </w:pPr>
            <w:r>
              <w:rPr>
                <w:rFonts w:cstheme="minorHAnsi"/>
                <w:sz w:val="18"/>
                <w:szCs w:val="18"/>
              </w:rPr>
              <w:t>Measurements</w:t>
            </w:r>
          </w:p>
          <w:p w14:paraId="6EF09E08">
            <w:pPr>
              <w:spacing w:after="240"/>
              <w:jc w:val="center"/>
              <w:rPr>
                <w:rFonts w:cstheme="minorHAnsi"/>
                <w:sz w:val="18"/>
                <w:szCs w:val="18"/>
              </w:rPr>
            </w:pPr>
            <w:r>
              <w:rPr>
                <w:rFonts w:cstheme="minorHAnsi"/>
                <w:sz w:val="18"/>
                <w:szCs w:val="18"/>
              </w:rPr>
              <w:t>show source</w:t>
            </w:r>
          </w:p>
        </w:tc>
        <w:tc>
          <w:tcPr>
            <w:tcW w:w="444" w:type="pct"/>
            <w:vAlign w:val="center"/>
          </w:tcPr>
          <w:p w14:paraId="1FEB7E23">
            <w:pPr>
              <w:spacing w:after="240"/>
              <w:jc w:val="center"/>
              <w:rPr>
                <w:rFonts w:cstheme="minorHAnsi"/>
                <w:sz w:val="18"/>
                <w:szCs w:val="18"/>
              </w:rPr>
            </w:pPr>
            <w:r>
              <w:rPr>
                <w:rFonts w:cstheme="minorHAnsi"/>
                <w:sz w:val="18"/>
                <w:szCs w:val="18"/>
              </w:rPr>
              <w:t>11</w:t>
            </w:r>
          </w:p>
        </w:tc>
        <w:tc>
          <w:tcPr>
            <w:tcW w:w="1156" w:type="pct"/>
            <w:gridSpan w:val="2"/>
            <w:vAlign w:val="center"/>
          </w:tcPr>
          <w:p w14:paraId="2852C77A">
            <w:pPr>
              <w:spacing w:after="240"/>
              <w:jc w:val="center"/>
              <w:rPr>
                <w:rFonts w:cstheme="minorHAnsi"/>
                <w:sz w:val="18"/>
                <w:szCs w:val="18"/>
              </w:rPr>
            </w:pPr>
            <w:r>
              <w:rPr>
                <w:rFonts w:cstheme="minorHAnsi"/>
                <w:sz w:val="18"/>
                <w:szCs w:val="18"/>
              </w:rPr>
              <w:t>Choose from a variety of possibilities</w:t>
            </w:r>
          </w:p>
        </w:tc>
        <w:tc>
          <w:tcPr>
            <w:tcW w:w="496" w:type="pct"/>
            <w:vAlign w:val="center"/>
          </w:tcPr>
          <w:p w14:paraId="0ABB6718">
            <w:pPr>
              <w:spacing w:after="240"/>
              <w:jc w:val="center"/>
              <w:rPr>
                <w:rFonts w:cstheme="minorHAnsi"/>
                <w:sz w:val="18"/>
                <w:szCs w:val="18"/>
              </w:rPr>
            </w:pPr>
          </w:p>
        </w:tc>
        <w:tc>
          <w:tcPr>
            <w:tcW w:w="591" w:type="pct"/>
            <w:vAlign w:val="center"/>
          </w:tcPr>
          <w:p w14:paraId="526EBA0A">
            <w:pPr>
              <w:spacing w:after="240"/>
              <w:jc w:val="center"/>
              <w:rPr>
                <w:rFonts w:cstheme="minorHAnsi"/>
                <w:sz w:val="18"/>
                <w:szCs w:val="18"/>
              </w:rPr>
            </w:pPr>
            <w:r>
              <w:rPr>
                <w:rFonts w:cstheme="minorHAnsi"/>
                <w:sz w:val="18"/>
                <w:szCs w:val="18"/>
              </w:rPr>
              <w:t>Fun11</w:t>
            </w:r>
          </w:p>
          <w:p w14:paraId="7CE405EB">
            <w:pPr>
              <w:spacing w:after="240"/>
              <w:jc w:val="center"/>
              <w:rPr>
                <w:rFonts w:cstheme="minorHAnsi"/>
                <w:sz w:val="18"/>
                <w:szCs w:val="18"/>
              </w:rPr>
            </w:pPr>
            <w:r>
              <w:rPr>
                <w:rFonts w:cstheme="minorHAnsi"/>
                <w:sz w:val="18"/>
                <w:szCs w:val="18"/>
              </w:rPr>
              <w:t>DISP</w:t>
            </w:r>
          </w:p>
        </w:tc>
        <w:tc>
          <w:tcPr>
            <w:tcW w:w="1514" w:type="pct"/>
            <w:vAlign w:val="center"/>
          </w:tcPr>
          <w:p w14:paraId="52C404FA">
            <w:pPr>
              <w:spacing w:after="240"/>
              <w:jc w:val="center"/>
              <w:rPr>
                <w:rFonts w:cstheme="minorHAnsi"/>
                <w:sz w:val="18"/>
                <w:szCs w:val="18"/>
              </w:rPr>
            </w:pPr>
            <w:r>
              <w:rPr>
                <w:rFonts w:cstheme="minorHAnsi"/>
                <w:sz w:val="18"/>
                <w:szCs w:val="18"/>
              </w:rPr>
              <w:t>Display the desired measurement result</w:t>
            </w:r>
          </w:p>
        </w:tc>
      </w:tr>
      <w:tr w14:paraId="66F1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Align w:val="center"/>
          </w:tcPr>
          <w:p w14:paraId="238FD46A">
            <w:pPr>
              <w:spacing w:after="240"/>
              <w:jc w:val="center"/>
              <w:rPr>
                <w:rFonts w:cstheme="minorHAnsi"/>
                <w:sz w:val="18"/>
                <w:szCs w:val="18"/>
              </w:rPr>
            </w:pPr>
            <w:r>
              <w:rPr>
                <w:rFonts w:cstheme="minorHAnsi"/>
                <w:sz w:val="18"/>
                <w:szCs w:val="18"/>
              </w:rPr>
              <w:t>Unit of physical quantity</w:t>
            </w:r>
          </w:p>
        </w:tc>
        <w:tc>
          <w:tcPr>
            <w:tcW w:w="444" w:type="pct"/>
            <w:vAlign w:val="center"/>
          </w:tcPr>
          <w:p w14:paraId="5FD49EA1">
            <w:pPr>
              <w:spacing w:after="240"/>
              <w:jc w:val="center"/>
              <w:rPr>
                <w:rFonts w:cstheme="minorHAnsi"/>
                <w:sz w:val="18"/>
                <w:szCs w:val="18"/>
              </w:rPr>
            </w:pPr>
            <w:r>
              <w:rPr>
                <w:rFonts w:cstheme="minorHAnsi"/>
                <w:sz w:val="18"/>
                <w:szCs w:val="18"/>
              </w:rPr>
              <w:t>12</w:t>
            </w:r>
          </w:p>
        </w:tc>
        <w:tc>
          <w:tcPr>
            <w:tcW w:w="1156" w:type="pct"/>
            <w:gridSpan w:val="2"/>
            <w:vAlign w:val="center"/>
          </w:tcPr>
          <w:p w14:paraId="7AD66232">
            <w:pPr>
              <w:spacing w:after="240"/>
              <w:jc w:val="center"/>
              <w:rPr>
                <w:rFonts w:cstheme="minorHAnsi"/>
                <w:sz w:val="18"/>
                <w:szCs w:val="18"/>
              </w:rPr>
            </w:pPr>
            <w:r>
              <w:rPr>
                <w:rFonts w:cstheme="minorHAnsi"/>
                <w:sz w:val="18"/>
                <w:szCs w:val="18"/>
              </w:rPr>
              <w:t>choose</w:t>
            </w:r>
          </w:p>
        </w:tc>
        <w:tc>
          <w:tcPr>
            <w:tcW w:w="496" w:type="pct"/>
            <w:vAlign w:val="center"/>
          </w:tcPr>
          <w:p w14:paraId="0D8224F5">
            <w:pPr>
              <w:spacing w:after="240"/>
              <w:jc w:val="center"/>
              <w:rPr>
                <w:rFonts w:cstheme="minorHAnsi"/>
                <w:sz w:val="18"/>
                <w:szCs w:val="18"/>
              </w:rPr>
            </w:pPr>
          </w:p>
        </w:tc>
        <w:tc>
          <w:tcPr>
            <w:tcW w:w="591" w:type="pct"/>
            <w:vAlign w:val="center"/>
          </w:tcPr>
          <w:p w14:paraId="54D08A2B">
            <w:pPr>
              <w:spacing w:after="240"/>
              <w:jc w:val="center"/>
              <w:rPr>
                <w:rFonts w:cstheme="minorHAnsi"/>
                <w:sz w:val="18"/>
                <w:szCs w:val="18"/>
              </w:rPr>
            </w:pPr>
            <w:r>
              <w:rPr>
                <w:rFonts w:cstheme="minorHAnsi"/>
                <w:sz w:val="18"/>
                <w:szCs w:val="18"/>
              </w:rPr>
              <w:t>Fun12</w:t>
            </w:r>
          </w:p>
          <w:p w14:paraId="5F51722E">
            <w:pPr>
              <w:spacing w:after="240"/>
              <w:jc w:val="center"/>
              <w:rPr>
                <w:rFonts w:cstheme="minorHAnsi"/>
                <w:sz w:val="18"/>
                <w:szCs w:val="18"/>
              </w:rPr>
            </w:pPr>
            <w:r>
              <w:rPr>
                <w:rFonts w:cstheme="minorHAnsi"/>
                <w:sz w:val="18"/>
                <w:szCs w:val="18"/>
              </w:rPr>
              <w:t>UNIT</w:t>
            </w:r>
          </w:p>
        </w:tc>
        <w:tc>
          <w:tcPr>
            <w:tcW w:w="1514" w:type="pct"/>
            <w:vAlign w:val="center"/>
          </w:tcPr>
          <w:p w14:paraId="52963164">
            <w:pPr>
              <w:spacing w:after="240"/>
              <w:jc w:val="center"/>
              <w:rPr>
                <w:rFonts w:cstheme="minorHAnsi"/>
                <w:sz w:val="18"/>
                <w:szCs w:val="18"/>
              </w:rPr>
            </w:pPr>
            <w:r>
              <w:rPr>
                <w:rFonts w:cstheme="minorHAnsi"/>
                <w:sz w:val="18"/>
                <w:szCs w:val="18"/>
              </w:rPr>
              <w:t>unit of physical quantity</w:t>
            </w:r>
          </w:p>
        </w:tc>
      </w:tr>
      <w:tr w14:paraId="3DA3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Align w:val="center"/>
          </w:tcPr>
          <w:p w14:paraId="60524BAD">
            <w:pPr>
              <w:spacing w:after="240"/>
              <w:jc w:val="center"/>
              <w:rPr>
                <w:rFonts w:cstheme="minorHAnsi"/>
                <w:sz w:val="18"/>
                <w:szCs w:val="18"/>
              </w:rPr>
            </w:pPr>
            <w:r>
              <w:rPr>
                <w:rFonts w:cstheme="minorHAnsi"/>
                <w:sz w:val="18"/>
                <w:szCs w:val="18"/>
              </w:rPr>
              <w:t>Decimal point</w:t>
            </w:r>
          </w:p>
        </w:tc>
        <w:tc>
          <w:tcPr>
            <w:tcW w:w="444" w:type="pct"/>
            <w:vAlign w:val="center"/>
          </w:tcPr>
          <w:p w14:paraId="502E2648">
            <w:pPr>
              <w:spacing w:after="240"/>
              <w:jc w:val="center"/>
              <w:rPr>
                <w:rFonts w:cstheme="minorHAnsi"/>
                <w:sz w:val="18"/>
                <w:szCs w:val="18"/>
              </w:rPr>
            </w:pPr>
            <w:r>
              <w:rPr>
                <w:rFonts w:cstheme="minorHAnsi"/>
                <w:sz w:val="18"/>
                <w:szCs w:val="18"/>
              </w:rPr>
              <w:t>14</w:t>
            </w:r>
          </w:p>
        </w:tc>
        <w:tc>
          <w:tcPr>
            <w:tcW w:w="1156" w:type="pct"/>
            <w:gridSpan w:val="2"/>
            <w:vAlign w:val="center"/>
          </w:tcPr>
          <w:p w14:paraId="157F6A5B">
            <w:pPr>
              <w:spacing w:after="240"/>
              <w:jc w:val="center"/>
              <w:rPr>
                <w:rFonts w:cstheme="minorHAnsi"/>
                <w:sz w:val="18"/>
                <w:szCs w:val="18"/>
              </w:rPr>
            </w:pPr>
            <w:r>
              <w:rPr>
                <w:rFonts w:cstheme="minorHAnsi"/>
                <w:sz w:val="18"/>
                <w:szCs w:val="18"/>
              </w:rPr>
              <w:t>Revise</w:t>
            </w:r>
          </w:p>
        </w:tc>
        <w:tc>
          <w:tcPr>
            <w:tcW w:w="496" w:type="pct"/>
            <w:vAlign w:val="center"/>
          </w:tcPr>
          <w:p w14:paraId="541FE280">
            <w:pPr>
              <w:spacing w:after="240"/>
              <w:jc w:val="center"/>
              <w:rPr>
                <w:rFonts w:cstheme="minorHAnsi"/>
                <w:sz w:val="18"/>
                <w:szCs w:val="18"/>
              </w:rPr>
            </w:pPr>
          </w:p>
        </w:tc>
        <w:tc>
          <w:tcPr>
            <w:tcW w:w="591" w:type="pct"/>
            <w:vAlign w:val="center"/>
          </w:tcPr>
          <w:p w14:paraId="6641203D">
            <w:pPr>
              <w:spacing w:after="240"/>
              <w:jc w:val="center"/>
              <w:rPr>
                <w:rFonts w:cstheme="minorHAnsi"/>
                <w:sz w:val="18"/>
                <w:szCs w:val="18"/>
              </w:rPr>
            </w:pPr>
            <w:r>
              <w:rPr>
                <w:rFonts w:cstheme="minorHAnsi"/>
                <w:sz w:val="18"/>
                <w:szCs w:val="18"/>
              </w:rPr>
              <w:t>Fun14</w:t>
            </w:r>
          </w:p>
          <w:p w14:paraId="6B7EB8E5">
            <w:pPr>
              <w:spacing w:after="240"/>
              <w:jc w:val="center"/>
              <w:rPr>
                <w:rFonts w:cstheme="minorHAnsi"/>
                <w:sz w:val="18"/>
                <w:szCs w:val="18"/>
              </w:rPr>
            </w:pPr>
            <w:r>
              <w:rPr>
                <w:rFonts w:cstheme="minorHAnsi"/>
                <w:sz w:val="18"/>
                <w:szCs w:val="18"/>
              </w:rPr>
              <w:t>DECPT</w:t>
            </w:r>
          </w:p>
        </w:tc>
        <w:tc>
          <w:tcPr>
            <w:tcW w:w="1514" w:type="pct"/>
            <w:vAlign w:val="center"/>
          </w:tcPr>
          <w:p w14:paraId="7788293E">
            <w:pPr>
              <w:spacing w:after="240"/>
              <w:jc w:val="center"/>
              <w:rPr>
                <w:rFonts w:cstheme="minorHAnsi"/>
                <w:sz w:val="18"/>
                <w:szCs w:val="18"/>
              </w:rPr>
            </w:pPr>
            <w:r>
              <w:rPr>
                <w:rFonts w:cstheme="minorHAnsi"/>
                <w:sz w:val="18"/>
                <w:szCs w:val="18"/>
              </w:rPr>
              <w:t>Position of decimal point in display area</w:t>
            </w:r>
          </w:p>
        </w:tc>
      </w:tr>
      <w:tr w14:paraId="7633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Align w:val="center"/>
          </w:tcPr>
          <w:p w14:paraId="351DAA57">
            <w:pPr>
              <w:spacing w:after="240"/>
              <w:jc w:val="center"/>
              <w:rPr>
                <w:rFonts w:cstheme="minorHAnsi"/>
                <w:sz w:val="18"/>
                <w:szCs w:val="18"/>
              </w:rPr>
            </w:pPr>
            <w:r>
              <w:rPr>
                <w:rFonts w:cstheme="minorHAnsi"/>
                <w:sz w:val="18"/>
                <w:szCs w:val="18"/>
              </w:rPr>
              <w:t>Main variable zero</w:t>
            </w:r>
          </w:p>
        </w:tc>
        <w:tc>
          <w:tcPr>
            <w:tcW w:w="444" w:type="pct"/>
            <w:vAlign w:val="center"/>
          </w:tcPr>
          <w:p w14:paraId="4E1C9BEE">
            <w:pPr>
              <w:spacing w:after="240"/>
              <w:jc w:val="center"/>
              <w:rPr>
                <w:rFonts w:cstheme="minorHAnsi"/>
                <w:sz w:val="18"/>
                <w:szCs w:val="18"/>
              </w:rPr>
            </w:pPr>
            <w:r>
              <w:rPr>
                <w:rFonts w:cstheme="minorHAnsi"/>
                <w:sz w:val="18"/>
                <w:szCs w:val="18"/>
              </w:rPr>
              <w:t>08</w:t>
            </w:r>
          </w:p>
        </w:tc>
        <w:tc>
          <w:tcPr>
            <w:tcW w:w="574" w:type="pct"/>
            <w:vAlign w:val="center"/>
          </w:tcPr>
          <w:p w14:paraId="3A96C883">
            <w:pPr>
              <w:spacing w:after="240"/>
              <w:jc w:val="center"/>
              <w:rPr>
                <w:rFonts w:cstheme="minorHAnsi"/>
                <w:sz w:val="18"/>
                <w:szCs w:val="18"/>
              </w:rPr>
            </w:pPr>
            <w:r>
              <w:rPr>
                <w:rFonts w:cstheme="minorHAnsi"/>
                <w:sz w:val="18"/>
                <w:szCs w:val="18"/>
              </w:rPr>
              <w:t>——</w:t>
            </w:r>
          </w:p>
        </w:tc>
        <w:tc>
          <w:tcPr>
            <w:tcW w:w="582" w:type="pct"/>
            <w:vAlign w:val="center"/>
          </w:tcPr>
          <w:p w14:paraId="45971544">
            <w:pPr>
              <w:spacing w:after="240"/>
              <w:jc w:val="center"/>
              <w:rPr>
                <w:rFonts w:cstheme="minorHAnsi"/>
                <w:sz w:val="18"/>
                <w:szCs w:val="18"/>
              </w:rPr>
            </w:pPr>
            <w:r>
              <w:rPr>
                <w:rFonts w:cstheme="minorHAnsi"/>
                <w:sz w:val="18"/>
                <w:szCs w:val="18"/>
              </w:rPr>
              <w:t>——</w:t>
            </w:r>
          </w:p>
        </w:tc>
        <w:tc>
          <w:tcPr>
            <w:tcW w:w="496" w:type="pct"/>
            <w:vAlign w:val="center"/>
          </w:tcPr>
          <w:p w14:paraId="5017BD13">
            <w:pPr>
              <w:spacing w:after="240"/>
              <w:jc w:val="center"/>
              <w:rPr>
                <w:rFonts w:cstheme="minorHAnsi"/>
                <w:sz w:val="18"/>
                <w:szCs w:val="18"/>
              </w:rPr>
            </w:pPr>
            <w:r>
              <w:rPr>
                <w:rFonts w:cstheme="minorHAnsi"/>
                <w:sz w:val="18"/>
                <w:szCs w:val="18"/>
              </w:rPr>
              <w:t>implement</w:t>
            </w:r>
          </w:p>
          <w:p w14:paraId="39BD66E8">
            <w:pPr>
              <w:spacing w:after="240"/>
              <w:jc w:val="center"/>
              <w:rPr>
                <w:rFonts w:cstheme="minorHAnsi"/>
                <w:sz w:val="18"/>
                <w:szCs w:val="18"/>
              </w:rPr>
            </w:pPr>
            <w:r>
              <w:rPr>
                <w:rFonts w:cstheme="minorHAnsi"/>
                <w:sz w:val="18"/>
                <w:szCs w:val="18"/>
              </w:rPr>
              <w:t>calibration</w:t>
            </w:r>
          </w:p>
        </w:tc>
        <w:tc>
          <w:tcPr>
            <w:tcW w:w="591" w:type="pct"/>
            <w:vAlign w:val="center"/>
          </w:tcPr>
          <w:p w14:paraId="3221A66D">
            <w:pPr>
              <w:spacing w:after="240"/>
              <w:jc w:val="center"/>
              <w:rPr>
                <w:rFonts w:cstheme="minorHAnsi"/>
                <w:sz w:val="18"/>
                <w:szCs w:val="18"/>
              </w:rPr>
            </w:pPr>
            <w:r>
              <w:rPr>
                <w:rFonts w:cstheme="minorHAnsi"/>
                <w:sz w:val="18"/>
                <w:szCs w:val="18"/>
              </w:rPr>
              <w:t>Fun08</w:t>
            </w:r>
          </w:p>
          <w:p w14:paraId="4FFA7CC3">
            <w:pPr>
              <w:spacing w:after="240"/>
              <w:jc w:val="center"/>
              <w:rPr>
                <w:rFonts w:cstheme="minorHAnsi"/>
                <w:sz w:val="18"/>
                <w:szCs w:val="18"/>
              </w:rPr>
            </w:pPr>
            <w:r>
              <w:rPr>
                <w:rFonts w:cstheme="minorHAnsi"/>
                <w:sz w:val="18"/>
                <w:szCs w:val="18"/>
              </w:rPr>
              <w:t>ZERO</w:t>
            </w:r>
          </w:p>
        </w:tc>
        <w:tc>
          <w:tcPr>
            <w:tcW w:w="1514" w:type="pct"/>
            <w:vAlign w:val="center"/>
          </w:tcPr>
          <w:p w14:paraId="57912486">
            <w:pPr>
              <w:spacing w:after="240"/>
              <w:jc w:val="center"/>
              <w:rPr>
                <w:rFonts w:cstheme="minorHAnsi"/>
                <w:sz w:val="18"/>
                <w:szCs w:val="18"/>
              </w:rPr>
            </w:pPr>
            <w:r>
              <w:rPr>
                <w:rFonts w:cstheme="minorHAnsi"/>
                <w:sz w:val="18"/>
                <w:szCs w:val="18"/>
              </w:rPr>
              <w:t>For the pressure, the differential pressure transmitter is vented, and the absolute pressure transmitter is evacuated, and the unit of measurement is the pressure unit</w:t>
            </w:r>
          </w:p>
        </w:tc>
      </w:tr>
      <w:tr w14:paraId="580F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99" w:type="pct"/>
            <w:vAlign w:val="center"/>
          </w:tcPr>
          <w:p w14:paraId="1DB25CF7">
            <w:pPr>
              <w:spacing w:after="240"/>
              <w:jc w:val="center"/>
              <w:rPr>
                <w:rFonts w:cstheme="minorHAnsi"/>
                <w:sz w:val="18"/>
                <w:szCs w:val="18"/>
              </w:rPr>
            </w:pPr>
            <w:r>
              <w:rPr>
                <w:rFonts w:cstheme="minorHAnsi"/>
                <w:sz w:val="18"/>
                <w:szCs w:val="18"/>
              </w:rPr>
              <w:t>Lower range limit</w:t>
            </w:r>
          </w:p>
        </w:tc>
        <w:tc>
          <w:tcPr>
            <w:tcW w:w="444" w:type="pct"/>
            <w:vAlign w:val="center"/>
          </w:tcPr>
          <w:p w14:paraId="5EA534E3">
            <w:pPr>
              <w:spacing w:after="240"/>
              <w:jc w:val="center"/>
              <w:rPr>
                <w:rFonts w:cstheme="minorHAnsi"/>
                <w:sz w:val="18"/>
                <w:szCs w:val="18"/>
              </w:rPr>
            </w:pPr>
            <w:r>
              <w:rPr>
                <w:rFonts w:cstheme="minorHAnsi"/>
                <w:sz w:val="18"/>
                <w:szCs w:val="18"/>
              </w:rPr>
              <w:t>16</w:t>
            </w:r>
          </w:p>
        </w:tc>
        <w:tc>
          <w:tcPr>
            <w:tcW w:w="574" w:type="pct"/>
            <w:vAlign w:val="center"/>
          </w:tcPr>
          <w:p w14:paraId="02EADB69">
            <w:pPr>
              <w:spacing w:after="240"/>
              <w:jc w:val="center"/>
              <w:rPr>
                <w:rFonts w:cstheme="minorHAnsi"/>
                <w:sz w:val="18"/>
                <w:szCs w:val="18"/>
              </w:rPr>
            </w:pPr>
            <w:r>
              <w:rPr>
                <w:rFonts w:cstheme="minorHAnsi"/>
                <w:sz w:val="18"/>
                <w:szCs w:val="18"/>
              </w:rPr>
              <w:t>Default increase</w:t>
            </w:r>
          </w:p>
        </w:tc>
        <w:tc>
          <w:tcPr>
            <w:tcW w:w="582" w:type="pct"/>
            <w:vAlign w:val="center"/>
          </w:tcPr>
          <w:p w14:paraId="06EFF0B0">
            <w:pPr>
              <w:spacing w:after="240"/>
              <w:jc w:val="center"/>
              <w:rPr>
                <w:rFonts w:cstheme="minorHAnsi"/>
                <w:sz w:val="18"/>
                <w:szCs w:val="18"/>
              </w:rPr>
            </w:pPr>
            <w:r>
              <w:rPr>
                <w:rFonts w:cstheme="minorHAnsi"/>
                <w:sz w:val="18"/>
                <w:szCs w:val="18"/>
              </w:rPr>
              <w:t>Preset reduction</w:t>
            </w:r>
          </w:p>
        </w:tc>
        <w:tc>
          <w:tcPr>
            <w:tcW w:w="496" w:type="pct"/>
            <w:vAlign w:val="center"/>
          </w:tcPr>
          <w:p w14:paraId="3DF1437E">
            <w:pPr>
              <w:spacing w:after="240"/>
              <w:jc w:val="center"/>
              <w:rPr>
                <w:rFonts w:cstheme="minorHAnsi"/>
                <w:sz w:val="18"/>
                <w:szCs w:val="18"/>
              </w:rPr>
            </w:pPr>
            <w:r>
              <w:rPr>
                <w:rFonts w:cstheme="minorHAnsi"/>
                <w:sz w:val="18"/>
                <w:szCs w:val="18"/>
              </w:rPr>
              <w:t>implement</w:t>
            </w:r>
          </w:p>
        </w:tc>
        <w:tc>
          <w:tcPr>
            <w:tcW w:w="591" w:type="pct"/>
            <w:vAlign w:val="center"/>
          </w:tcPr>
          <w:p w14:paraId="6BB7020B">
            <w:pPr>
              <w:spacing w:after="240"/>
              <w:jc w:val="center"/>
              <w:rPr>
                <w:rFonts w:cstheme="minorHAnsi"/>
                <w:sz w:val="18"/>
                <w:szCs w:val="18"/>
              </w:rPr>
            </w:pPr>
            <w:r>
              <w:rPr>
                <w:rFonts w:cstheme="minorHAnsi"/>
                <w:sz w:val="18"/>
                <w:szCs w:val="18"/>
              </w:rPr>
              <w:t>Fun16</w:t>
            </w:r>
          </w:p>
          <w:p w14:paraId="66D64346">
            <w:pPr>
              <w:spacing w:after="240"/>
              <w:jc w:val="center"/>
              <w:rPr>
                <w:rFonts w:cstheme="minorHAnsi"/>
                <w:sz w:val="18"/>
                <w:szCs w:val="18"/>
              </w:rPr>
            </w:pPr>
            <w:r>
              <w:rPr>
                <w:rFonts w:cstheme="minorHAnsi"/>
                <w:sz w:val="18"/>
                <w:szCs w:val="18"/>
              </w:rPr>
              <w:t>LOWER</w:t>
            </w:r>
          </w:p>
        </w:tc>
        <w:tc>
          <w:tcPr>
            <w:tcW w:w="1514" w:type="pct"/>
            <w:vAlign w:val="center"/>
          </w:tcPr>
          <w:p w14:paraId="44DFC832">
            <w:pPr>
              <w:spacing w:after="240"/>
              <w:jc w:val="center"/>
              <w:rPr>
                <w:rFonts w:cstheme="minorHAnsi"/>
                <w:sz w:val="18"/>
                <w:szCs w:val="18"/>
              </w:rPr>
            </w:pPr>
            <w:r>
              <w:rPr>
                <w:rFonts w:cstheme="minorHAnsi"/>
                <w:sz w:val="18"/>
                <w:szCs w:val="18"/>
              </w:rPr>
              <w:t>Adjust the lower limit of the characteristic curve</w:t>
            </w:r>
          </w:p>
        </w:tc>
      </w:tr>
      <w:tr w14:paraId="2C55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99" w:type="pct"/>
            <w:vAlign w:val="center"/>
          </w:tcPr>
          <w:p w14:paraId="76C37037">
            <w:pPr>
              <w:spacing w:after="240"/>
              <w:jc w:val="center"/>
              <w:rPr>
                <w:rFonts w:cstheme="minorHAnsi"/>
                <w:sz w:val="18"/>
                <w:szCs w:val="18"/>
              </w:rPr>
            </w:pPr>
            <w:r>
              <w:rPr>
                <w:rFonts w:cstheme="minorHAnsi"/>
                <w:sz w:val="18"/>
                <w:szCs w:val="18"/>
              </w:rPr>
              <w:t>Upper range limit</w:t>
            </w:r>
          </w:p>
        </w:tc>
        <w:tc>
          <w:tcPr>
            <w:tcW w:w="444" w:type="pct"/>
            <w:vAlign w:val="center"/>
          </w:tcPr>
          <w:p w14:paraId="42B4F11B">
            <w:pPr>
              <w:spacing w:after="240"/>
              <w:jc w:val="center"/>
              <w:rPr>
                <w:rFonts w:cstheme="minorHAnsi"/>
                <w:sz w:val="18"/>
                <w:szCs w:val="18"/>
              </w:rPr>
            </w:pPr>
            <w:r>
              <w:rPr>
                <w:rFonts w:cstheme="minorHAnsi"/>
                <w:sz w:val="18"/>
                <w:szCs w:val="18"/>
              </w:rPr>
              <w:t>17</w:t>
            </w:r>
          </w:p>
        </w:tc>
        <w:tc>
          <w:tcPr>
            <w:tcW w:w="574" w:type="pct"/>
            <w:vAlign w:val="center"/>
          </w:tcPr>
          <w:p w14:paraId="32926DDA">
            <w:pPr>
              <w:spacing w:after="240"/>
              <w:jc w:val="center"/>
              <w:rPr>
                <w:rFonts w:cstheme="minorHAnsi"/>
                <w:sz w:val="18"/>
                <w:szCs w:val="18"/>
              </w:rPr>
            </w:pPr>
            <w:r>
              <w:rPr>
                <w:rFonts w:cstheme="minorHAnsi"/>
                <w:sz w:val="18"/>
                <w:szCs w:val="18"/>
              </w:rPr>
              <w:t>Default increase</w:t>
            </w:r>
          </w:p>
        </w:tc>
        <w:tc>
          <w:tcPr>
            <w:tcW w:w="582" w:type="pct"/>
            <w:vAlign w:val="center"/>
          </w:tcPr>
          <w:p w14:paraId="368D2441">
            <w:pPr>
              <w:spacing w:after="240"/>
              <w:jc w:val="center"/>
              <w:rPr>
                <w:rFonts w:cstheme="minorHAnsi"/>
                <w:sz w:val="18"/>
                <w:szCs w:val="18"/>
              </w:rPr>
            </w:pPr>
            <w:r>
              <w:rPr>
                <w:rFonts w:cstheme="minorHAnsi"/>
                <w:sz w:val="18"/>
                <w:szCs w:val="18"/>
              </w:rPr>
              <w:t>Preset reduction</w:t>
            </w:r>
          </w:p>
        </w:tc>
        <w:tc>
          <w:tcPr>
            <w:tcW w:w="496" w:type="pct"/>
            <w:vAlign w:val="center"/>
          </w:tcPr>
          <w:p w14:paraId="5FB4A635">
            <w:pPr>
              <w:spacing w:after="240"/>
              <w:jc w:val="center"/>
              <w:rPr>
                <w:rFonts w:cstheme="minorHAnsi"/>
                <w:sz w:val="18"/>
                <w:szCs w:val="18"/>
              </w:rPr>
            </w:pPr>
            <w:r>
              <w:rPr>
                <w:rFonts w:cstheme="minorHAnsi"/>
                <w:sz w:val="18"/>
                <w:szCs w:val="18"/>
              </w:rPr>
              <w:t>implement</w:t>
            </w:r>
          </w:p>
        </w:tc>
        <w:tc>
          <w:tcPr>
            <w:tcW w:w="591" w:type="pct"/>
            <w:vAlign w:val="center"/>
          </w:tcPr>
          <w:p w14:paraId="30591BDE">
            <w:pPr>
              <w:spacing w:after="240"/>
              <w:jc w:val="center"/>
              <w:rPr>
                <w:rFonts w:cstheme="minorHAnsi"/>
                <w:sz w:val="18"/>
                <w:szCs w:val="18"/>
              </w:rPr>
            </w:pPr>
            <w:r>
              <w:rPr>
                <w:rFonts w:cstheme="minorHAnsi"/>
                <w:sz w:val="18"/>
                <w:szCs w:val="18"/>
              </w:rPr>
              <w:t>Fun17</w:t>
            </w:r>
          </w:p>
          <w:p w14:paraId="658EDA9B">
            <w:pPr>
              <w:spacing w:after="240"/>
              <w:jc w:val="center"/>
              <w:rPr>
                <w:rFonts w:cstheme="minorHAnsi"/>
                <w:sz w:val="18"/>
                <w:szCs w:val="18"/>
              </w:rPr>
            </w:pPr>
            <w:r>
              <w:rPr>
                <w:rFonts w:cstheme="minorHAnsi"/>
                <w:sz w:val="18"/>
                <w:szCs w:val="18"/>
              </w:rPr>
              <w:t>UPPER</w:t>
            </w:r>
          </w:p>
        </w:tc>
        <w:tc>
          <w:tcPr>
            <w:tcW w:w="1514" w:type="pct"/>
            <w:vAlign w:val="center"/>
          </w:tcPr>
          <w:p w14:paraId="346546AC">
            <w:pPr>
              <w:spacing w:after="240"/>
              <w:jc w:val="center"/>
              <w:rPr>
                <w:rFonts w:cstheme="minorHAnsi"/>
                <w:sz w:val="18"/>
                <w:szCs w:val="18"/>
              </w:rPr>
            </w:pPr>
            <w:r>
              <w:rPr>
                <w:rFonts w:cstheme="minorHAnsi"/>
                <w:sz w:val="18"/>
                <w:szCs w:val="18"/>
              </w:rPr>
              <w:t>Adjust the upper limit of the characteristic curve</w:t>
            </w:r>
          </w:p>
        </w:tc>
      </w:tr>
      <w:tr w14:paraId="5EBA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99" w:type="pct"/>
          </w:tcPr>
          <w:p w14:paraId="566993F2">
            <w:pPr>
              <w:spacing w:after="240"/>
              <w:jc w:val="center"/>
              <w:rPr>
                <w:rFonts w:cstheme="minorHAnsi"/>
                <w:sz w:val="18"/>
                <w:szCs w:val="18"/>
              </w:rPr>
            </w:pPr>
            <w:r>
              <w:rPr>
                <w:rFonts w:cstheme="minorHAnsi"/>
                <w:sz w:val="18"/>
                <w:szCs w:val="18"/>
              </w:rPr>
              <w:t>Input range lower limit</w:t>
            </w:r>
          </w:p>
        </w:tc>
        <w:tc>
          <w:tcPr>
            <w:tcW w:w="444" w:type="pct"/>
            <w:vAlign w:val="center"/>
          </w:tcPr>
          <w:p w14:paraId="2B5D7BC3">
            <w:pPr>
              <w:spacing w:after="240"/>
              <w:jc w:val="center"/>
              <w:rPr>
                <w:rFonts w:cstheme="minorHAnsi"/>
                <w:sz w:val="18"/>
                <w:szCs w:val="18"/>
              </w:rPr>
            </w:pPr>
            <w:r>
              <w:rPr>
                <w:rFonts w:cstheme="minorHAnsi"/>
                <w:sz w:val="18"/>
                <w:szCs w:val="18"/>
              </w:rPr>
              <w:t>18</w:t>
            </w:r>
          </w:p>
        </w:tc>
        <w:tc>
          <w:tcPr>
            <w:tcW w:w="574" w:type="pct"/>
            <w:vAlign w:val="center"/>
          </w:tcPr>
          <w:p w14:paraId="3C61C14E">
            <w:pPr>
              <w:spacing w:after="240"/>
              <w:jc w:val="center"/>
              <w:rPr>
                <w:rFonts w:cstheme="minorHAnsi"/>
                <w:sz w:val="18"/>
                <w:szCs w:val="18"/>
              </w:rPr>
            </w:pPr>
            <w:r>
              <w:rPr>
                <w:rFonts w:cstheme="minorHAnsi"/>
                <w:sz w:val="18"/>
                <w:szCs w:val="18"/>
              </w:rPr>
              <w:t>Default increase</w:t>
            </w:r>
          </w:p>
        </w:tc>
        <w:tc>
          <w:tcPr>
            <w:tcW w:w="582" w:type="pct"/>
            <w:vAlign w:val="center"/>
          </w:tcPr>
          <w:p w14:paraId="0D41A288">
            <w:pPr>
              <w:spacing w:after="240"/>
              <w:jc w:val="center"/>
              <w:rPr>
                <w:rFonts w:cstheme="minorHAnsi"/>
                <w:sz w:val="18"/>
                <w:szCs w:val="18"/>
              </w:rPr>
            </w:pPr>
            <w:r>
              <w:rPr>
                <w:rFonts w:cstheme="minorHAnsi"/>
                <w:sz w:val="18"/>
                <w:szCs w:val="18"/>
              </w:rPr>
              <w:t>Preset reduction</w:t>
            </w:r>
          </w:p>
        </w:tc>
        <w:tc>
          <w:tcPr>
            <w:tcW w:w="496" w:type="pct"/>
            <w:vAlign w:val="center"/>
          </w:tcPr>
          <w:p w14:paraId="2A05030A">
            <w:pPr>
              <w:spacing w:after="240"/>
              <w:jc w:val="center"/>
              <w:rPr>
                <w:rFonts w:cstheme="minorHAnsi"/>
                <w:sz w:val="18"/>
                <w:szCs w:val="18"/>
              </w:rPr>
            </w:pPr>
            <w:r>
              <w:rPr>
                <w:rFonts w:cstheme="minorHAnsi"/>
                <w:sz w:val="18"/>
                <w:szCs w:val="18"/>
              </w:rPr>
              <w:t>implement</w:t>
            </w:r>
          </w:p>
        </w:tc>
        <w:tc>
          <w:tcPr>
            <w:tcW w:w="591" w:type="pct"/>
            <w:vAlign w:val="center"/>
          </w:tcPr>
          <w:p w14:paraId="1D5262FD">
            <w:pPr>
              <w:spacing w:after="240"/>
              <w:jc w:val="center"/>
              <w:rPr>
                <w:rFonts w:cstheme="minorHAnsi"/>
                <w:sz w:val="18"/>
                <w:szCs w:val="18"/>
              </w:rPr>
            </w:pPr>
            <w:r>
              <w:rPr>
                <w:rFonts w:cstheme="minorHAnsi"/>
                <w:sz w:val="18"/>
                <w:szCs w:val="18"/>
              </w:rPr>
              <w:t>Fun18</w:t>
            </w:r>
          </w:p>
          <w:p w14:paraId="7CAC3AE7">
            <w:pPr>
              <w:spacing w:after="240"/>
              <w:jc w:val="center"/>
              <w:rPr>
                <w:rFonts w:cstheme="minorHAnsi"/>
                <w:sz w:val="18"/>
                <w:szCs w:val="18"/>
              </w:rPr>
            </w:pPr>
            <w:r>
              <w:rPr>
                <w:rFonts w:cstheme="minorHAnsi"/>
                <w:sz w:val="18"/>
                <w:szCs w:val="18"/>
              </w:rPr>
              <w:t>IN  0%</w:t>
            </w:r>
          </w:p>
        </w:tc>
        <w:tc>
          <w:tcPr>
            <w:tcW w:w="1514" w:type="pct"/>
            <w:vAlign w:val="center"/>
          </w:tcPr>
          <w:p w14:paraId="765CBC8E">
            <w:pPr>
              <w:spacing w:after="240"/>
              <w:jc w:val="center"/>
              <w:rPr>
                <w:rFonts w:cstheme="minorHAnsi"/>
                <w:sz w:val="18"/>
                <w:szCs w:val="18"/>
              </w:rPr>
            </w:pPr>
            <w:r>
              <w:rPr>
                <w:rFonts w:cstheme="minorHAnsi"/>
                <w:sz w:val="18"/>
                <w:szCs w:val="18"/>
              </w:rPr>
              <w:t>Passive adjustment of the lower limit of the input range</w:t>
            </w:r>
          </w:p>
        </w:tc>
      </w:tr>
      <w:tr w14:paraId="46C1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99" w:type="pct"/>
          </w:tcPr>
          <w:p w14:paraId="366E4203">
            <w:pPr>
              <w:spacing w:after="240"/>
              <w:jc w:val="center"/>
              <w:rPr>
                <w:rFonts w:cstheme="minorHAnsi"/>
                <w:sz w:val="18"/>
                <w:szCs w:val="18"/>
              </w:rPr>
            </w:pPr>
            <w:r>
              <w:rPr>
                <w:rFonts w:cstheme="minorHAnsi"/>
                <w:sz w:val="18"/>
                <w:szCs w:val="18"/>
              </w:rPr>
              <w:t>Input range upper limit</w:t>
            </w:r>
          </w:p>
        </w:tc>
        <w:tc>
          <w:tcPr>
            <w:tcW w:w="444" w:type="pct"/>
            <w:vAlign w:val="center"/>
          </w:tcPr>
          <w:p w14:paraId="3EE72FA0">
            <w:pPr>
              <w:spacing w:after="240"/>
              <w:jc w:val="center"/>
              <w:rPr>
                <w:rFonts w:cstheme="minorHAnsi"/>
                <w:sz w:val="18"/>
                <w:szCs w:val="18"/>
              </w:rPr>
            </w:pPr>
            <w:r>
              <w:rPr>
                <w:rFonts w:cstheme="minorHAnsi"/>
                <w:sz w:val="18"/>
                <w:szCs w:val="18"/>
              </w:rPr>
              <w:t>19</w:t>
            </w:r>
          </w:p>
        </w:tc>
        <w:tc>
          <w:tcPr>
            <w:tcW w:w="574" w:type="pct"/>
            <w:vAlign w:val="center"/>
          </w:tcPr>
          <w:p w14:paraId="461AF25A">
            <w:pPr>
              <w:spacing w:after="240"/>
              <w:jc w:val="center"/>
              <w:rPr>
                <w:rFonts w:cstheme="minorHAnsi"/>
                <w:sz w:val="18"/>
                <w:szCs w:val="18"/>
              </w:rPr>
            </w:pPr>
            <w:r>
              <w:rPr>
                <w:rFonts w:cstheme="minorHAnsi"/>
                <w:sz w:val="18"/>
                <w:szCs w:val="18"/>
              </w:rPr>
              <w:t>Default increase</w:t>
            </w:r>
          </w:p>
        </w:tc>
        <w:tc>
          <w:tcPr>
            <w:tcW w:w="582" w:type="pct"/>
            <w:vAlign w:val="center"/>
          </w:tcPr>
          <w:p w14:paraId="12D04FBF">
            <w:pPr>
              <w:spacing w:after="240"/>
              <w:jc w:val="center"/>
              <w:rPr>
                <w:rFonts w:cstheme="minorHAnsi"/>
                <w:sz w:val="18"/>
                <w:szCs w:val="18"/>
              </w:rPr>
            </w:pPr>
            <w:r>
              <w:rPr>
                <w:rFonts w:cstheme="minorHAnsi"/>
                <w:sz w:val="18"/>
                <w:szCs w:val="18"/>
              </w:rPr>
              <w:t>Preset reduction</w:t>
            </w:r>
          </w:p>
        </w:tc>
        <w:tc>
          <w:tcPr>
            <w:tcW w:w="496" w:type="pct"/>
            <w:vAlign w:val="center"/>
          </w:tcPr>
          <w:p w14:paraId="5C901F30">
            <w:pPr>
              <w:spacing w:after="240"/>
              <w:jc w:val="center"/>
              <w:rPr>
                <w:rFonts w:cstheme="minorHAnsi"/>
                <w:sz w:val="18"/>
                <w:szCs w:val="18"/>
              </w:rPr>
            </w:pPr>
            <w:r>
              <w:rPr>
                <w:rFonts w:cstheme="minorHAnsi"/>
                <w:sz w:val="18"/>
                <w:szCs w:val="18"/>
              </w:rPr>
              <w:t>implement</w:t>
            </w:r>
          </w:p>
        </w:tc>
        <w:tc>
          <w:tcPr>
            <w:tcW w:w="591" w:type="pct"/>
            <w:vAlign w:val="center"/>
          </w:tcPr>
          <w:p w14:paraId="2009553F">
            <w:pPr>
              <w:spacing w:after="240"/>
              <w:jc w:val="center"/>
              <w:rPr>
                <w:rFonts w:cstheme="minorHAnsi"/>
                <w:sz w:val="18"/>
                <w:szCs w:val="18"/>
              </w:rPr>
            </w:pPr>
            <w:r>
              <w:rPr>
                <w:rFonts w:cstheme="minorHAnsi"/>
                <w:sz w:val="18"/>
                <w:szCs w:val="18"/>
              </w:rPr>
              <w:t>Fun19</w:t>
            </w:r>
          </w:p>
          <w:p w14:paraId="21181F71">
            <w:pPr>
              <w:spacing w:after="240"/>
              <w:jc w:val="center"/>
              <w:rPr>
                <w:rFonts w:cstheme="minorHAnsi"/>
                <w:sz w:val="18"/>
                <w:szCs w:val="18"/>
              </w:rPr>
            </w:pPr>
            <w:r>
              <w:rPr>
                <w:rFonts w:cstheme="minorHAnsi"/>
                <w:sz w:val="18"/>
                <w:szCs w:val="18"/>
              </w:rPr>
              <w:t>IN 100%</w:t>
            </w:r>
          </w:p>
        </w:tc>
        <w:tc>
          <w:tcPr>
            <w:tcW w:w="1514" w:type="pct"/>
            <w:vAlign w:val="center"/>
          </w:tcPr>
          <w:p w14:paraId="357AE574">
            <w:pPr>
              <w:spacing w:after="240"/>
              <w:jc w:val="center"/>
              <w:rPr>
                <w:rFonts w:cstheme="minorHAnsi"/>
                <w:sz w:val="18"/>
                <w:szCs w:val="18"/>
              </w:rPr>
            </w:pPr>
            <w:r>
              <w:rPr>
                <w:rFonts w:cstheme="minorHAnsi"/>
                <w:sz w:val="18"/>
                <w:szCs w:val="18"/>
              </w:rPr>
              <w:t>Passive adjustment of the upper limit of the input range</w:t>
            </w:r>
          </w:p>
        </w:tc>
      </w:tr>
      <w:tr w14:paraId="6884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99" w:type="pct"/>
          </w:tcPr>
          <w:p w14:paraId="033A04FC">
            <w:pPr>
              <w:spacing w:after="240"/>
              <w:jc w:val="center"/>
              <w:rPr>
                <w:rFonts w:cstheme="minorHAnsi"/>
                <w:sz w:val="18"/>
                <w:szCs w:val="18"/>
              </w:rPr>
            </w:pPr>
            <w:r>
              <w:rPr>
                <w:rFonts w:cstheme="minorHAnsi"/>
                <w:sz w:val="18"/>
                <w:szCs w:val="18"/>
              </w:rPr>
              <w:t>Lower limit of output range</w:t>
            </w:r>
          </w:p>
        </w:tc>
        <w:tc>
          <w:tcPr>
            <w:tcW w:w="444" w:type="pct"/>
            <w:vAlign w:val="center"/>
          </w:tcPr>
          <w:p w14:paraId="63DDDF08">
            <w:pPr>
              <w:spacing w:after="240"/>
              <w:jc w:val="center"/>
              <w:rPr>
                <w:rFonts w:cstheme="minorHAnsi"/>
                <w:sz w:val="18"/>
                <w:szCs w:val="18"/>
              </w:rPr>
            </w:pPr>
            <w:r>
              <w:rPr>
                <w:rFonts w:cstheme="minorHAnsi"/>
                <w:sz w:val="18"/>
                <w:szCs w:val="18"/>
              </w:rPr>
              <w:t>20</w:t>
            </w:r>
          </w:p>
        </w:tc>
        <w:tc>
          <w:tcPr>
            <w:tcW w:w="574" w:type="pct"/>
            <w:vAlign w:val="center"/>
          </w:tcPr>
          <w:p w14:paraId="51C22B8C">
            <w:pPr>
              <w:spacing w:after="240"/>
              <w:jc w:val="center"/>
              <w:rPr>
                <w:rFonts w:cstheme="minorHAnsi"/>
                <w:sz w:val="18"/>
                <w:szCs w:val="18"/>
              </w:rPr>
            </w:pPr>
            <w:r>
              <w:rPr>
                <w:rFonts w:cstheme="minorHAnsi"/>
                <w:sz w:val="18"/>
                <w:szCs w:val="18"/>
              </w:rPr>
              <w:t>Default increase</w:t>
            </w:r>
          </w:p>
        </w:tc>
        <w:tc>
          <w:tcPr>
            <w:tcW w:w="582" w:type="pct"/>
            <w:vAlign w:val="center"/>
          </w:tcPr>
          <w:p w14:paraId="210D6B15">
            <w:pPr>
              <w:spacing w:after="240"/>
              <w:jc w:val="center"/>
              <w:rPr>
                <w:rFonts w:cstheme="minorHAnsi"/>
                <w:sz w:val="18"/>
                <w:szCs w:val="18"/>
              </w:rPr>
            </w:pPr>
            <w:r>
              <w:rPr>
                <w:rFonts w:cstheme="minorHAnsi"/>
                <w:sz w:val="18"/>
                <w:szCs w:val="18"/>
              </w:rPr>
              <w:t>Preset reduction</w:t>
            </w:r>
          </w:p>
        </w:tc>
        <w:tc>
          <w:tcPr>
            <w:tcW w:w="496" w:type="pct"/>
            <w:vAlign w:val="center"/>
          </w:tcPr>
          <w:p w14:paraId="1AD1DA93">
            <w:pPr>
              <w:spacing w:after="240"/>
              <w:jc w:val="center"/>
              <w:rPr>
                <w:rFonts w:cstheme="minorHAnsi"/>
                <w:sz w:val="18"/>
                <w:szCs w:val="18"/>
              </w:rPr>
            </w:pPr>
            <w:r>
              <w:rPr>
                <w:rFonts w:cstheme="minorHAnsi"/>
                <w:sz w:val="18"/>
                <w:szCs w:val="18"/>
              </w:rPr>
              <w:t>implement</w:t>
            </w:r>
          </w:p>
        </w:tc>
        <w:tc>
          <w:tcPr>
            <w:tcW w:w="591" w:type="pct"/>
            <w:vAlign w:val="center"/>
          </w:tcPr>
          <w:p w14:paraId="7FBAF9FD">
            <w:pPr>
              <w:spacing w:after="240"/>
              <w:jc w:val="center"/>
              <w:rPr>
                <w:rFonts w:cstheme="minorHAnsi"/>
                <w:sz w:val="18"/>
                <w:szCs w:val="18"/>
              </w:rPr>
            </w:pPr>
            <w:r>
              <w:rPr>
                <w:rFonts w:cstheme="minorHAnsi"/>
                <w:sz w:val="18"/>
                <w:szCs w:val="18"/>
              </w:rPr>
              <w:t>Fun20</w:t>
            </w:r>
          </w:p>
          <w:p w14:paraId="43154EC7">
            <w:pPr>
              <w:spacing w:after="240"/>
              <w:jc w:val="center"/>
              <w:rPr>
                <w:rFonts w:cstheme="minorHAnsi"/>
                <w:sz w:val="18"/>
                <w:szCs w:val="18"/>
              </w:rPr>
            </w:pPr>
            <w:r>
              <w:rPr>
                <w:rFonts w:cstheme="minorHAnsi"/>
                <w:sz w:val="18"/>
                <w:szCs w:val="18"/>
              </w:rPr>
              <w:t>OUT 0%</w:t>
            </w:r>
          </w:p>
        </w:tc>
        <w:tc>
          <w:tcPr>
            <w:tcW w:w="1514" w:type="pct"/>
            <w:vAlign w:val="center"/>
          </w:tcPr>
          <w:p w14:paraId="237C097A">
            <w:pPr>
              <w:spacing w:after="240"/>
              <w:jc w:val="center"/>
              <w:rPr>
                <w:rFonts w:cstheme="minorHAnsi"/>
                <w:sz w:val="18"/>
                <w:szCs w:val="18"/>
              </w:rPr>
            </w:pPr>
            <w:r>
              <w:rPr>
                <w:rFonts w:cstheme="minorHAnsi"/>
                <w:sz w:val="18"/>
                <w:szCs w:val="18"/>
              </w:rPr>
              <w:t>Passive adjustment of the lower limit of the output range</w:t>
            </w:r>
          </w:p>
        </w:tc>
      </w:tr>
      <w:tr w14:paraId="345E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99" w:type="pct"/>
          </w:tcPr>
          <w:p w14:paraId="3817DCDB">
            <w:pPr>
              <w:spacing w:after="240"/>
              <w:jc w:val="center"/>
              <w:rPr>
                <w:rFonts w:cstheme="minorHAnsi"/>
                <w:sz w:val="18"/>
                <w:szCs w:val="18"/>
              </w:rPr>
            </w:pPr>
            <w:r>
              <w:rPr>
                <w:rFonts w:cstheme="minorHAnsi"/>
                <w:sz w:val="18"/>
                <w:szCs w:val="18"/>
              </w:rPr>
              <w:t>Output range upper limit</w:t>
            </w:r>
          </w:p>
        </w:tc>
        <w:tc>
          <w:tcPr>
            <w:tcW w:w="444" w:type="pct"/>
            <w:vAlign w:val="center"/>
          </w:tcPr>
          <w:p w14:paraId="06808A24">
            <w:pPr>
              <w:spacing w:after="240"/>
              <w:jc w:val="center"/>
              <w:rPr>
                <w:rFonts w:cstheme="minorHAnsi"/>
                <w:sz w:val="18"/>
                <w:szCs w:val="18"/>
              </w:rPr>
            </w:pPr>
            <w:r>
              <w:rPr>
                <w:rFonts w:cstheme="minorHAnsi"/>
                <w:sz w:val="18"/>
                <w:szCs w:val="18"/>
              </w:rPr>
              <w:t>21</w:t>
            </w:r>
          </w:p>
        </w:tc>
        <w:tc>
          <w:tcPr>
            <w:tcW w:w="574" w:type="pct"/>
            <w:vAlign w:val="center"/>
          </w:tcPr>
          <w:p w14:paraId="0C402C9F">
            <w:pPr>
              <w:spacing w:after="240"/>
              <w:jc w:val="center"/>
              <w:rPr>
                <w:rFonts w:cstheme="minorHAnsi"/>
                <w:sz w:val="18"/>
                <w:szCs w:val="18"/>
              </w:rPr>
            </w:pPr>
            <w:r>
              <w:rPr>
                <w:rFonts w:cstheme="minorHAnsi"/>
                <w:sz w:val="18"/>
                <w:szCs w:val="18"/>
              </w:rPr>
              <w:t>Default increase</w:t>
            </w:r>
          </w:p>
        </w:tc>
        <w:tc>
          <w:tcPr>
            <w:tcW w:w="582" w:type="pct"/>
            <w:vAlign w:val="center"/>
          </w:tcPr>
          <w:p w14:paraId="14FC8351">
            <w:pPr>
              <w:spacing w:after="240"/>
              <w:jc w:val="center"/>
              <w:rPr>
                <w:rFonts w:cstheme="minorHAnsi"/>
                <w:sz w:val="18"/>
                <w:szCs w:val="18"/>
              </w:rPr>
            </w:pPr>
            <w:r>
              <w:rPr>
                <w:rFonts w:cstheme="minorHAnsi"/>
                <w:sz w:val="18"/>
                <w:szCs w:val="18"/>
              </w:rPr>
              <w:t>Preset reduction</w:t>
            </w:r>
          </w:p>
        </w:tc>
        <w:tc>
          <w:tcPr>
            <w:tcW w:w="496" w:type="pct"/>
            <w:vAlign w:val="center"/>
          </w:tcPr>
          <w:p w14:paraId="36466CB4">
            <w:pPr>
              <w:spacing w:after="240"/>
              <w:jc w:val="center"/>
              <w:rPr>
                <w:rFonts w:cstheme="minorHAnsi"/>
                <w:sz w:val="18"/>
                <w:szCs w:val="18"/>
              </w:rPr>
            </w:pPr>
            <w:r>
              <w:rPr>
                <w:rFonts w:cstheme="minorHAnsi"/>
                <w:sz w:val="18"/>
                <w:szCs w:val="18"/>
              </w:rPr>
              <w:t>implement</w:t>
            </w:r>
          </w:p>
        </w:tc>
        <w:tc>
          <w:tcPr>
            <w:tcW w:w="591" w:type="pct"/>
            <w:vAlign w:val="center"/>
          </w:tcPr>
          <w:p w14:paraId="46C50AA9">
            <w:pPr>
              <w:spacing w:after="240"/>
              <w:jc w:val="center"/>
              <w:rPr>
                <w:rFonts w:cstheme="minorHAnsi"/>
                <w:sz w:val="18"/>
                <w:szCs w:val="18"/>
              </w:rPr>
            </w:pPr>
            <w:r>
              <w:rPr>
                <w:rFonts w:cstheme="minorHAnsi"/>
                <w:sz w:val="18"/>
                <w:szCs w:val="18"/>
              </w:rPr>
              <w:t>Fun20</w:t>
            </w:r>
          </w:p>
          <w:p w14:paraId="1036C3FF">
            <w:pPr>
              <w:spacing w:after="240"/>
              <w:jc w:val="center"/>
              <w:rPr>
                <w:rFonts w:cstheme="minorHAnsi"/>
                <w:sz w:val="18"/>
                <w:szCs w:val="18"/>
              </w:rPr>
            </w:pPr>
            <w:r>
              <w:rPr>
                <w:rFonts w:cstheme="minorHAnsi"/>
                <w:sz w:val="18"/>
                <w:szCs w:val="18"/>
              </w:rPr>
              <w:t>OUT 100%</w:t>
            </w:r>
          </w:p>
        </w:tc>
        <w:tc>
          <w:tcPr>
            <w:tcW w:w="1514" w:type="pct"/>
            <w:vAlign w:val="center"/>
          </w:tcPr>
          <w:p w14:paraId="2009D5DF">
            <w:pPr>
              <w:spacing w:after="240"/>
              <w:jc w:val="center"/>
              <w:rPr>
                <w:rFonts w:cstheme="minorHAnsi"/>
                <w:sz w:val="18"/>
                <w:szCs w:val="18"/>
              </w:rPr>
            </w:pPr>
            <w:r>
              <w:rPr>
                <w:rFonts w:cstheme="minorHAnsi"/>
                <w:sz w:val="18"/>
                <w:szCs w:val="18"/>
              </w:rPr>
              <w:t>Passive adjustment of the upper limit of the output range</w:t>
            </w:r>
          </w:p>
        </w:tc>
      </w:tr>
    </w:tbl>
    <w:p w14:paraId="28E3295C">
      <w:pPr>
        <w:pStyle w:val="40"/>
        <w:spacing w:before="120" w:beforeLines="50" w:after="240" w:line="240" w:lineRule="auto"/>
        <w:ind w:left="0"/>
        <w:rPr>
          <w:rFonts w:cstheme="minorHAnsi"/>
          <w:sz w:val="21"/>
          <w:szCs w:val="21"/>
        </w:rPr>
      </w:pPr>
      <w:r>
        <w:rPr>
          <w:rFonts w:cstheme="minorHAnsi"/>
          <w:sz w:val="21"/>
          <w:szCs w:val="21"/>
        </w:rPr>
        <w:t>After entering the field adjustment, long press the mode key [M] to switch between the above adjustment functions, as shown in Figure 4.5</w:t>
      </w:r>
    </w:p>
    <w:p w14:paraId="2DB67156">
      <w:pPr>
        <w:keepNext/>
        <w:spacing w:after="240"/>
        <w:jc w:val="center"/>
        <w:rPr>
          <w:rFonts w:cstheme="minorHAnsi"/>
          <w:sz w:val="18"/>
        </w:rPr>
      </w:pPr>
      <w:r>
        <w:rPr>
          <w:rFonts w:cstheme="minorHAnsi"/>
          <w:sz w:val="18"/>
        </w:rPr>
        <w:drawing>
          <wp:inline distT="0" distB="0" distL="114300" distR="114300">
            <wp:extent cx="4222750" cy="1924050"/>
            <wp:effectExtent l="0" t="0" r="0" b="0"/>
            <wp:docPr id="61" name="图片 61"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图片5"/>
                    <pic:cNvPicPr>
                      <a:picLocks noChangeAspect="1"/>
                    </pic:cNvPicPr>
                  </pic:nvPicPr>
                  <pic:blipFill>
                    <a:blip r:embed="rId48"/>
                    <a:stretch>
                      <a:fillRect/>
                    </a:stretch>
                  </pic:blipFill>
                  <pic:spPr>
                    <a:xfrm>
                      <a:off x="0" y="0"/>
                      <a:ext cx="4222750" cy="1924050"/>
                    </a:xfrm>
                    <a:prstGeom prst="rect">
                      <a:avLst/>
                    </a:prstGeom>
                  </pic:spPr>
                </pic:pic>
              </a:graphicData>
            </a:graphic>
          </wp:inline>
        </w:drawing>
      </w:r>
    </w:p>
    <w:p w14:paraId="4B26AB96">
      <w:pPr>
        <w:spacing w:after="240"/>
        <w:ind w:left="137"/>
        <w:jc w:val="center"/>
        <w:rPr>
          <w:rFonts w:cstheme="minorHAnsi"/>
          <w:sz w:val="18"/>
          <w:szCs w:val="20"/>
        </w:rPr>
      </w:pPr>
      <w:r>
        <w:rPr>
          <w:rFonts w:cstheme="minorHAnsi"/>
          <w:sz w:val="18"/>
          <w:szCs w:val="20"/>
        </w:rPr>
        <w:t xml:space="preserve">Figure </w:t>
      </w:r>
      <w:r>
        <w:rPr>
          <w:rFonts w:cstheme="minorHAnsi"/>
          <w:sz w:val="18"/>
          <w:szCs w:val="20"/>
        </w:rPr>
        <w:fldChar w:fldCharType="begin"/>
      </w:r>
      <w:r>
        <w:rPr>
          <w:rFonts w:cstheme="minorHAnsi"/>
          <w:sz w:val="18"/>
          <w:szCs w:val="20"/>
        </w:rPr>
        <w:instrText xml:space="preserve"> STYLEREF 1 \s </w:instrText>
      </w:r>
      <w:r>
        <w:rPr>
          <w:rFonts w:cstheme="minorHAnsi"/>
          <w:sz w:val="18"/>
          <w:szCs w:val="20"/>
        </w:rPr>
        <w:fldChar w:fldCharType="separate"/>
      </w:r>
      <w:r>
        <w:rPr>
          <w:rFonts w:cstheme="minorHAnsi"/>
          <w:sz w:val="18"/>
          <w:szCs w:val="20"/>
        </w:rPr>
        <w:t>4</w:t>
      </w:r>
      <w:r>
        <w:rPr>
          <w:rFonts w:cstheme="minorHAnsi"/>
          <w:sz w:val="18"/>
          <w:szCs w:val="20"/>
        </w:rPr>
        <w:fldChar w:fldCharType="end"/>
      </w:r>
      <w:r>
        <w:rPr>
          <w:rFonts w:cstheme="minorHAnsi"/>
          <w:sz w:val="18"/>
          <w:szCs w:val="20"/>
        </w:rPr>
        <w:t>.5 Adjustment function switch diagram</w:t>
      </w:r>
    </w:p>
    <w:p w14:paraId="25916DF0">
      <w:pPr>
        <w:pStyle w:val="4"/>
        <w:spacing w:before="120" w:beforeLines="50" w:after="120" w:afterLines="50"/>
        <w:rPr>
          <w:rFonts w:asciiTheme="minorHAnsi" w:hAnsiTheme="minorHAnsi" w:cstheme="minorHAnsi"/>
        </w:rPr>
      </w:pPr>
      <w:bookmarkStart w:id="76" w:name="_Toc199429785"/>
      <w:r>
        <w:rPr>
          <w:rFonts w:asciiTheme="minorHAnsi" w:hAnsiTheme="minorHAnsi" w:cstheme="minorHAnsi"/>
        </w:rPr>
        <w:t>Measurement value display</w:t>
      </w:r>
      <w:bookmarkEnd w:id="76"/>
    </w:p>
    <w:p w14:paraId="57335EDC">
      <w:pPr>
        <w:pStyle w:val="40"/>
        <w:spacing w:after="240" w:line="240" w:lineRule="auto"/>
        <w:ind w:left="0"/>
        <w:rPr>
          <w:rFonts w:cstheme="minorHAnsi"/>
          <w:sz w:val="21"/>
          <w:szCs w:val="21"/>
        </w:rPr>
      </w:pPr>
      <w:r>
        <w:rPr>
          <w:rFonts w:cstheme="minorHAnsi"/>
          <w:sz w:val="21"/>
          <w:szCs w:val="21"/>
        </w:rPr>
        <w:t>In the measurement value display function, the measurement value selected in mode 11 is displayed. The unit of physical quantity is set in mode 12, and the position of the decimal point is set in mode 14</w:t>
      </w:r>
    </w:p>
    <w:p w14:paraId="68CB137B">
      <w:pPr>
        <w:pStyle w:val="4"/>
        <w:spacing w:before="120" w:beforeLines="50" w:after="120" w:afterLines="50"/>
        <w:rPr>
          <w:rFonts w:asciiTheme="minorHAnsi" w:hAnsiTheme="minorHAnsi" w:cstheme="minorHAnsi"/>
        </w:rPr>
      </w:pPr>
      <w:bookmarkStart w:id="77" w:name="_Toc199429786"/>
      <w:r>
        <w:rPr>
          <w:rFonts w:asciiTheme="minorHAnsi" w:hAnsiTheme="minorHAnsi" w:cstheme="minorHAnsi"/>
        </w:rPr>
        <w:t>Error display</w:t>
      </w:r>
      <w:bookmarkEnd w:id="77"/>
    </w:p>
    <w:p w14:paraId="51B755A9">
      <w:pPr>
        <w:pStyle w:val="40"/>
        <w:spacing w:after="240" w:line="240" w:lineRule="auto"/>
        <w:ind w:left="0"/>
        <w:rPr>
          <w:rFonts w:cstheme="minorHAnsi"/>
          <w:sz w:val="21"/>
          <w:szCs w:val="21"/>
        </w:rPr>
      </w:pPr>
      <w:r>
        <w:rPr>
          <w:rFonts w:cstheme="minorHAnsi"/>
          <w:sz w:val="21"/>
          <w:szCs w:val="21"/>
        </w:rPr>
        <w:t>An error message occurs during local operation and is displayed for approximately 10 seconds after the error occurs.</w:t>
      </w:r>
    </w:p>
    <w:p w14:paraId="015E1787">
      <w:pPr>
        <w:pStyle w:val="4"/>
        <w:spacing w:before="120" w:beforeLines="50" w:after="120" w:afterLines="50"/>
        <w:rPr>
          <w:rFonts w:asciiTheme="minorHAnsi" w:hAnsiTheme="minorHAnsi" w:cstheme="minorHAnsi"/>
        </w:rPr>
      </w:pPr>
      <w:bookmarkStart w:id="78" w:name="_Toc199429787"/>
      <w:r>
        <w:rPr>
          <w:rFonts w:asciiTheme="minorHAnsi" w:hAnsiTheme="minorHAnsi" w:cstheme="minorHAnsi"/>
        </w:rPr>
        <w:t>Steps to Set Electronic Damping - Mode 05</w:t>
      </w:r>
      <w:bookmarkEnd w:id="78"/>
    </w:p>
    <w:p w14:paraId="11B9556F">
      <w:pPr>
        <w:pStyle w:val="40"/>
        <w:spacing w:after="240" w:line="240" w:lineRule="auto"/>
        <w:ind w:left="0"/>
        <w:rPr>
          <w:rFonts w:cstheme="minorHAnsi"/>
          <w:sz w:val="21"/>
          <w:szCs w:val="21"/>
        </w:rPr>
      </w:pPr>
      <w:r>
        <w:rPr>
          <w:rFonts w:cstheme="minorHAnsi"/>
          <w:sz w:val="21"/>
          <w:szCs w:val="21"/>
        </w:rPr>
        <w:t>Sets the time constant for electronic damping in the range 0 to 32 seconds.</w:t>
      </w:r>
    </w:p>
    <w:p w14:paraId="0E0F506E">
      <w:pPr>
        <w:pStyle w:val="40"/>
        <w:spacing w:after="240" w:line="240" w:lineRule="auto"/>
        <w:ind w:left="0"/>
        <w:rPr>
          <w:rFonts w:cstheme="minorHAnsi"/>
          <w:sz w:val="21"/>
          <w:szCs w:val="21"/>
        </w:rPr>
      </w:pPr>
      <w:r>
        <w:rPr>
          <w:rFonts w:cstheme="minorHAnsi"/>
          <w:sz w:val="21"/>
          <w:szCs w:val="21"/>
        </w:rPr>
        <w:t xml:space="preserve">Set up this electronic damping as follows： </w:t>
      </w:r>
    </w:p>
    <w:p w14:paraId="7C8D476A">
      <w:pPr>
        <w:pStyle w:val="40"/>
        <w:spacing w:after="240" w:line="240" w:lineRule="auto"/>
        <w:ind w:left="0"/>
        <w:rPr>
          <w:rFonts w:eastAsia="微软雅黑" w:cstheme="minorHAnsi"/>
          <w:sz w:val="21"/>
          <w:szCs w:val="21"/>
        </w:rPr>
      </w:pPr>
      <w:r>
        <w:rPr>
          <w:rFonts w:eastAsia="微软雅黑" w:cstheme="minorHAnsi"/>
          <w:sz w:val="21"/>
          <w:szCs w:val="21"/>
        </w:rPr>
        <w:t>− set mode 05;</w:t>
      </w:r>
    </w:p>
    <w:p w14:paraId="52F99F96">
      <w:pPr>
        <w:pStyle w:val="40"/>
        <w:spacing w:after="240" w:line="240" w:lineRule="auto"/>
        <w:ind w:left="0"/>
        <w:rPr>
          <w:rFonts w:eastAsia="微软雅黑" w:cstheme="minorHAnsi"/>
          <w:sz w:val="21"/>
          <w:szCs w:val="21"/>
        </w:rPr>
      </w:pPr>
      <w:r>
        <w:rPr>
          <w:rFonts w:eastAsia="微软雅黑" w:cstheme="minorHAnsi"/>
          <w:sz w:val="21"/>
          <w:szCs w:val="21"/>
        </w:rPr>
        <w:t>− Use [↑] or [↓] to select damping;</w:t>
      </w:r>
    </w:p>
    <w:p w14:paraId="4D6C1947">
      <w:pPr>
        <w:pStyle w:val="40"/>
        <w:spacing w:after="240" w:line="240" w:lineRule="auto"/>
        <w:ind w:left="0"/>
        <w:rPr>
          <w:rFonts w:eastAsia="微软雅黑" w:cstheme="minorHAnsi"/>
          <w:sz w:val="21"/>
          <w:szCs w:val="21"/>
        </w:rPr>
      </w:pPr>
      <w:r>
        <w:rPr>
          <w:rFonts w:eastAsia="微软雅黑" w:cstheme="minorHAnsi"/>
          <w:sz w:val="21"/>
          <w:szCs w:val="21"/>
        </w:rPr>
        <w:t>− Use [M] for mode switching.</w:t>
      </w:r>
    </w:p>
    <w:p w14:paraId="4712A630">
      <w:pPr>
        <w:pStyle w:val="40"/>
        <w:spacing w:after="240" w:line="240" w:lineRule="auto"/>
        <w:ind w:left="0"/>
        <w:rPr>
          <w:rFonts w:eastAsia="微软雅黑" w:cstheme="minorHAnsi"/>
          <w:sz w:val="21"/>
          <w:szCs w:val="21"/>
        </w:rPr>
      </w:pPr>
      <w:r>
        <w:rPr>
          <w:rFonts w:eastAsia="微软雅黑" w:cstheme="minorHAnsi"/>
          <w:sz w:val="21"/>
          <w:szCs w:val="21"/>
        </w:rPr>
        <w:t>Damping only affects the output of the analog input function block.</w:t>
      </w:r>
    </w:p>
    <w:p w14:paraId="317E60C5">
      <w:pPr>
        <w:pStyle w:val="4"/>
        <w:spacing w:before="120" w:beforeLines="50" w:after="120" w:afterLines="50"/>
        <w:rPr>
          <w:rFonts w:asciiTheme="minorHAnsi" w:hAnsiTheme="minorHAnsi" w:cstheme="minorHAnsi"/>
        </w:rPr>
      </w:pPr>
      <w:bookmarkStart w:id="79" w:name="_Toc199429788"/>
      <w:r>
        <w:rPr>
          <w:rFonts w:asciiTheme="minorHAnsi" w:hAnsiTheme="minorHAnsi" w:cstheme="minorHAnsi"/>
        </w:rPr>
        <w:t>Steps to set the measurement value display source - Mode 11</w:t>
      </w:r>
      <w:bookmarkEnd w:id="79"/>
    </w:p>
    <w:p w14:paraId="58533D88">
      <w:pPr>
        <w:pStyle w:val="40"/>
        <w:spacing w:after="240" w:line="240" w:lineRule="auto"/>
        <w:ind w:left="0"/>
        <w:rPr>
          <w:rFonts w:cstheme="minorHAnsi"/>
          <w:sz w:val="21"/>
          <w:szCs w:val="21"/>
        </w:rPr>
      </w:pPr>
      <w:r>
        <w:rPr>
          <w:rFonts w:cstheme="minorHAnsi"/>
          <w:sz w:val="21"/>
          <w:szCs w:val="21"/>
        </w:rPr>
        <w:t>In this mode, you can select the value that will be displayed.</w:t>
      </w:r>
    </w:p>
    <w:p w14:paraId="0C6C6DB1">
      <w:pPr>
        <w:pStyle w:val="40"/>
        <w:spacing w:after="240" w:line="240" w:lineRule="auto"/>
        <w:ind w:left="0"/>
        <w:rPr>
          <w:rFonts w:cstheme="minorHAnsi"/>
          <w:sz w:val="21"/>
          <w:szCs w:val="21"/>
        </w:rPr>
      </w:pPr>
      <w:r>
        <w:rPr>
          <w:rFonts w:cstheme="minorHAnsi"/>
          <w:sz w:val="21"/>
          <w:szCs w:val="21"/>
        </w:rPr>
        <w:t>In SIMATIC PDM, this is the "Transmitter Type" parameter.</w:t>
      </w:r>
    </w:p>
    <w:p w14:paraId="36B8C644">
      <w:pPr>
        <w:pStyle w:val="40"/>
        <w:spacing w:after="240" w:line="240" w:lineRule="auto"/>
        <w:ind w:left="0"/>
        <w:rPr>
          <w:rFonts w:cstheme="minorHAnsi"/>
          <w:sz w:val="21"/>
          <w:szCs w:val="21"/>
        </w:rPr>
      </w:pPr>
      <w:r>
        <w:rPr>
          <w:rFonts w:cstheme="minorHAnsi"/>
          <w:sz w:val="21"/>
          <w:szCs w:val="21"/>
        </w:rPr>
        <w:t>You can choose the source of the measurement value in the following ways:</w:t>
      </w:r>
    </w:p>
    <w:p w14:paraId="699AE38F">
      <w:pPr>
        <w:pStyle w:val="40"/>
        <w:spacing w:after="240" w:line="240" w:lineRule="auto"/>
        <w:ind w:left="0"/>
        <w:rPr>
          <w:rFonts w:cstheme="minorHAnsi"/>
          <w:sz w:val="21"/>
          <w:szCs w:val="21"/>
        </w:rPr>
      </w:pPr>
      <w:r>
        <w:rPr>
          <w:rFonts w:cstheme="minorHAnsi"/>
          <w:sz w:val="21"/>
          <w:szCs w:val="21"/>
        </w:rPr>
        <w:t>− set mode 11;</w:t>
      </w:r>
    </w:p>
    <w:p w14:paraId="7618E260">
      <w:pPr>
        <w:pStyle w:val="40"/>
        <w:spacing w:after="240" w:line="240" w:lineRule="auto"/>
        <w:ind w:left="0"/>
        <w:rPr>
          <w:rFonts w:cstheme="minorHAnsi"/>
          <w:sz w:val="21"/>
          <w:szCs w:val="21"/>
        </w:rPr>
      </w:pPr>
      <w:r>
        <w:rPr>
          <w:rFonts w:cstheme="minorHAnsi"/>
          <w:sz w:val="21"/>
          <w:szCs w:val="21"/>
        </w:rPr>
        <w:t>− by using [↑] and [↓] to select the source of the measured value display;</w:t>
      </w:r>
    </w:p>
    <w:p w14:paraId="33B17FA0">
      <w:pPr>
        <w:pStyle w:val="40"/>
        <w:spacing w:after="240" w:line="240" w:lineRule="auto"/>
        <w:ind w:left="0"/>
        <w:rPr>
          <w:rFonts w:cstheme="minorHAnsi"/>
          <w:sz w:val="21"/>
          <w:szCs w:val="21"/>
        </w:rPr>
      </w:pPr>
      <w:r>
        <w:rPr>
          <w:rFonts w:cstheme="minorHAnsi"/>
          <w:sz w:val="21"/>
          <w:szCs w:val="21"/>
        </w:rPr>
        <w:t>− Use [M] for mode switching.</w:t>
      </w:r>
    </w:p>
    <w:p w14:paraId="3B79F59E">
      <w:pPr>
        <w:pStyle w:val="40"/>
        <w:spacing w:after="240" w:line="240" w:lineRule="auto"/>
        <w:ind w:left="0"/>
        <w:rPr>
          <w:rFonts w:cstheme="minorHAnsi"/>
          <w:sz w:val="21"/>
          <w:szCs w:val="21"/>
        </w:rPr>
      </w:pPr>
      <w:r>
        <w:rPr>
          <w:rFonts w:cstheme="minorHAnsi"/>
          <w:sz w:val="21"/>
          <w:szCs w:val="21"/>
        </w:rPr>
        <w:t>In Mode 12, the assignable unit of physical quantity depends on the source from which the measurement value is displayed.</w:t>
      </w:r>
    </w:p>
    <w:p w14:paraId="50D075BB">
      <w:pPr>
        <w:pStyle w:val="40"/>
        <w:spacing w:after="240" w:line="240" w:lineRule="auto"/>
        <w:ind w:left="0"/>
        <w:rPr>
          <w:rFonts w:cstheme="minorHAnsi"/>
          <w:sz w:val="21"/>
          <w:szCs w:val="21"/>
        </w:rPr>
      </w:pPr>
      <w:r>
        <w:rPr>
          <w:rFonts w:cstheme="minorHAnsi"/>
          <w:sz w:val="21"/>
          <w:szCs w:val="21"/>
        </w:rPr>
        <w:t>The supported measurement value display sources are given in the table below.</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4"/>
        <w:gridCol w:w="2126"/>
      </w:tblGrid>
      <w:tr w14:paraId="4C55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14" w:type="dxa"/>
            <w:shd w:val="clear" w:color="auto" w:fill="CCCCCC"/>
            <w:vAlign w:val="center"/>
          </w:tcPr>
          <w:p w14:paraId="68415DC6">
            <w:pPr>
              <w:spacing w:after="240"/>
              <w:jc w:val="center"/>
              <w:rPr>
                <w:rFonts w:cstheme="minorHAnsi"/>
                <w:sz w:val="18"/>
                <w:szCs w:val="18"/>
              </w:rPr>
            </w:pPr>
            <w:r>
              <w:rPr>
                <w:rFonts w:cstheme="minorHAnsi"/>
                <w:sz w:val="18"/>
                <w:szCs w:val="18"/>
              </w:rPr>
              <w:t>Measured value display source</w:t>
            </w:r>
          </w:p>
        </w:tc>
        <w:tc>
          <w:tcPr>
            <w:tcW w:w="2126" w:type="dxa"/>
            <w:shd w:val="clear" w:color="auto" w:fill="CCCCCC"/>
            <w:vAlign w:val="center"/>
          </w:tcPr>
          <w:p w14:paraId="2EB762C7">
            <w:pPr>
              <w:spacing w:after="240"/>
              <w:jc w:val="center"/>
              <w:rPr>
                <w:rFonts w:cstheme="minorHAnsi"/>
                <w:sz w:val="18"/>
                <w:szCs w:val="18"/>
              </w:rPr>
            </w:pPr>
            <w:r>
              <w:rPr>
                <w:rFonts w:cstheme="minorHAnsi"/>
                <w:sz w:val="18"/>
                <w:szCs w:val="18"/>
              </w:rPr>
              <w:t>LCD display auxiliary information</w:t>
            </w:r>
          </w:p>
        </w:tc>
      </w:tr>
      <w:tr w14:paraId="218D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14" w:type="dxa"/>
            <w:vAlign w:val="center"/>
          </w:tcPr>
          <w:p w14:paraId="7A54475A">
            <w:pPr>
              <w:spacing w:after="240"/>
              <w:rPr>
                <w:rFonts w:cstheme="minorHAnsi"/>
                <w:sz w:val="18"/>
                <w:szCs w:val="18"/>
              </w:rPr>
            </w:pPr>
            <w:r>
              <w:rPr>
                <w:rFonts w:cstheme="minorHAnsi"/>
                <w:sz w:val="18"/>
                <w:szCs w:val="18"/>
              </w:rPr>
              <w:t>[0]Main variable output of pressure conversion block</w:t>
            </w:r>
          </w:p>
        </w:tc>
        <w:tc>
          <w:tcPr>
            <w:tcW w:w="2126" w:type="dxa"/>
            <w:vAlign w:val="center"/>
          </w:tcPr>
          <w:p w14:paraId="0E425397">
            <w:pPr>
              <w:spacing w:after="240"/>
              <w:jc w:val="center"/>
              <w:rPr>
                <w:rFonts w:cstheme="minorHAnsi"/>
                <w:sz w:val="18"/>
                <w:szCs w:val="18"/>
              </w:rPr>
            </w:pPr>
            <w:r>
              <w:rPr>
                <w:rFonts w:cstheme="minorHAnsi"/>
                <w:sz w:val="18"/>
                <w:szCs w:val="18"/>
              </w:rPr>
              <w:t>PRIM</w:t>
            </w:r>
          </w:p>
        </w:tc>
      </w:tr>
      <w:tr w14:paraId="7C6E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14" w:type="dxa"/>
            <w:vAlign w:val="center"/>
          </w:tcPr>
          <w:p w14:paraId="4C793546">
            <w:pPr>
              <w:spacing w:after="240"/>
              <w:rPr>
                <w:rFonts w:cstheme="minorHAnsi"/>
                <w:sz w:val="18"/>
                <w:szCs w:val="18"/>
              </w:rPr>
            </w:pPr>
            <w:r>
              <w:rPr>
                <w:rFonts w:cstheme="minorHAnsi"/>
                <w:sz w:val="18"/>
                <w:szCs w:val="18"/>
              </w:rPr>
              <w:t>[1]Pressure Transformer Block Secondary Variable Output</w:t>
            </w:r>
          </w:p>
        </w:tc>
        <w:tc>
          <w:tcPr>
            <w:tcW w:w="2126" w:type="dxa"/>
            <w:vAlign w:val="center"/>
          </w:tcPr>
          <w:p w14:paraId="60FD9C9D">
            <w:pPr>
              <w:spacing w:after="240"/>
              <w:jc w:val="center"/>
              <w:rPr>
                <w:rFonts w:cstheme="minorHAnsi"/>
                <w:sz w:val="18"/>
                <w:szCs w:val="18"/>
              </w:rPr>
            </w:pPr>
            <w:r>
              <w:rPr>
                <w:rFonts w:cstheme="minorHAnsi"/>
                <w:sz w:val="18"/>
                <w:szCs w:val="18"/>
              </w:rPr>
              <w:t>SEC1</w:t>
            </w:r>
          </w:p>
        </w:tc>
      </w:tr>
      <w:tr w14:paraId="7B35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14" w:type="dxa"/>
            <w:vAlign w:val="center"/>
          </w:tcPr>
          <w:p w14:paraId="26CB09B6">
            <w:pPr>
              <w:spacing w:after="240"/>
              <w:rPr>
                <w:rFonts w:cstheme="minorHAnsi"/>
                <w:sz w:val="18"/>
                <w:szCs w:val="18"/>
              </w:rPr>
            </w:pPr>
            <w:r>
              <w:rPr>
                <w:rFonts w:cstheme="minorHAnsi"/>
                <w:sz w:val="18"/>
                <w:szCs w:val="18"/>
              </w:rPr>
              <w:t>[2]AI function block output</w:t>
            </w:r>
          </w:p>
        </w:tc>
        <w:tc>
          <w:tcPr>
            <w:tcW w:w="2126" w:type="dxa"/>
            <w:vAlign w:val="center"/>
          </w:tcPr>
          <w:p w14:paraId="564048C8">
            <w:pPr>
              <w:spacing w:after="240"/>
              <w:jc w:val="center"/>
              <w:rPr>
                <w:rFonts w:cstheme="minorHAnsi"/>
                <w:sz w:val="18"/>
                <w:szCs w:val="18"/>
              </w:rPr>
            </w:pPr>
            <w:r>
              <w:rPr>
                <w:rFonts w:cstheme="minorHAnsi"/>
                <w:sz w:val="18"/>
                <w:szCs w:val="18"/>
              </w:rPr>
              <w:t>AIOUT</w:t>
            </w:r>
          </w:p>
        </w:tc>
      </w:tr>
      <w:tr w14:paraId="486B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14" w:type="dxa"/>
            <w:vAlign w:val="center"/>
          </w:tcPr>
          <w:p w14:paraId="3D4C2B59">
            <w:pPr>
              <w:spacing w:after="240"/>
              <w:rPr>
                <w:rFonts w:cstheme="minorHAnsi"/>
                <w:sz w:val="18"/>
                <w:szCs w:val="18"/>
              </w:rPr>
            </w:pPr>
            <w:r>
              <w:rPr>
                <w:rFonts w:cstheme="minorHAnsi"/>
                <w:sz w:val="18"/>
                <w:szCs w:val="18"/>
              </w:rPr>
              <w:t>[3]Pressure transducer block sensor raw value</w:t>
            </w:r>
          </w:p>
        </w:tc>
        <w:tc>
          <w:tcPr>
            <w:tcW w:w="2126" w:type="dxa"/>
            <w:vAlign w:val="center"/>
          </w:tcPr>
          <w:p w14:paraId="2E27D039">
            <w:pPr>
              <w:spacing w:after="240"/>
              <w:jc w:val="center"/>
              <w:rPr>
                <w:rFonts w:cstheme="minorHAnsi"/>
                <w:sz w:val="18"/>
                <w:szCs w:val="18"/>
              </w:rPr>
            </w:pPr>
            <w:r>
              <w:rPr>
                <w:rFonts w:cstheme="minorHAnsi"/>
                <w:sz w:val="18"/>
                <w:szCs w:val="18"/>
              </w:rPr>
              <w:t>SENS</w:t>
            </w:r>
          </w:p>
        </w:tc>
      </w:tr>
      <w:tr w14:paraId="4B7A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14" w:type="dxa"/>
            <w:vAlign w:val="center"/>
          </w:tcPr>
          <w:p w14:paraId="6CB77CE3">
            <w:pPr>
              <w:spacing w:after="240"/>
              <w:rPr>
                <w:rFonts w:cstheme="minorHAnsi"/>
                <w:sz w:val="18"/>
                <w:szCs w:val="18"/>
              </w:rPr>
            </w:pPr>
            <w:r>
              <w:rPr>
                <w:rFonts w:cstheme="minorHAnsi"/>
                <w:sz w:val="18"/>
                <w:szCs w:val="18"/>
              </w:rPr>
              <w:t>[4]Pressure transducer block sensor temperature value</w:t>
            </w:r>
          </w:p>
        </w:tc>
        <w:tc>
          <w:tcPr>
            <w:tcW w:w="2126" w:type="dxa"/>
            <w:vAlign w:val="center"/>
          </w:tcPr>
          <w:p w14:paraId="563F0A4C">
            <w:pPr>
              <w:spacing w:after="240"/>
              <w:jc w:val="center"/>
              <w:rPr>
                <w:rFonts w:cstheme="minorHAnsi"/>
                <w:sz w:val="18"/>
                <w:szCs w:val="18"/>
              </w:rPr>
            </w:pPr>
            <w:r>
              <w:rPr>
                <w:rFonts w:cstheme="minorHAnsi"/>
                <w:sz w:val="18"/>
                <w:szCs w:val="18"/>
              </w:rPr>
              <w:t>TEMP</w:t>
            </w:r>
          </w:p>
        </w:tc>
      </w:tr>
    </w:tbl>
    <w:p w14:paraId="45E0792C">
      <w:pPr>
        <w:pStyle w:val="4"/>
        <w:spacing w:before="120" w:beforeLines="50" w:after="120" w:afterLines="50"/>
        <w:rPr>
          <w:rFonts w:asciiTheme="minorHAnsi" w:hAnsiTheme="minorHAnsi" w:cstheme="minorHAnsi"/>
        </w:rPr>
      </w:pPr>
      <w:bookmarkStart w:id="80" w:name="_Toc199429789"/>
      <w:r>
        <w:rPr>
          <w:rFonts w:asciiTheme="minorHAnsi" w:hAnsiTheme="minorHAnsi" w:cstheme="minorHAnsi"/>
        </w:rPr>
        <w:t>Operation steps for setting physical quantity units - Mode 12</w:t>
      </w:r>
      <w:bookmarkEnd w:id="80"/>
    </w:p>
    <w:p w14:paraId="4F95597C">
      <w:pPr>
        <w:pStyle w:val="40"/>
        <w:spacing w:after="240" w:line="240" w:lineRule="auto"/>
        <w:ind w:left="0"/>
        <w:rPr>
          <w:rFonts w:cstheme="minorHAnsi"/>
          <w:sz w:val="21"/>
          <w:szCs w:val="21"/>
        </w:rPr>
      </w:pPr>
      <w:r>
        <w:rPr>
          <w:rFonts w:cstheme="minorHAnsi"/>
          <w:sz w:val="21"/>
          <w:szCs w:val="21"/>
        </w:rPr>
        <w:t>Set the physical quantity unit by selecting an option from the list. The group of units that can be selected depends on the source of the measurement display (mode 11).</w:t>
      </w:r>
    </w:p>
    <w:p w14:paraId="2F96D558">
      <w:pPr>
        <w:pStyle w:val="40"/>
        <w:spacing w:after="240" w:line="240" w:lineRule="auto"/>
        <w:ind w:left="0"/>
        <w:rPr>
          <w:rFonts w:cstheme="minorHAnsi"/>
          <w:sz w:val="21"/>
          <w:szCs w:val="21"/>
        </w:rPr>
      </w:pPr>
      <w:r>
        <w:rPr>
          <w:rFonts w:cstheme="minorHAnsi"/>
          <w:sz w:val="21"/>
          <w:szCs w:val="21"/>
        </w:rPr>
        <w:t>You can set physical quantity units in the following ways:</w:t>
      </w:r>
    </w:p>
    <w:p w14:paraId="48836F01">
      <w:pPr>
        <w:pStyle w:val="40"/>
        <w:spacing w:after="240" w:line="240" w:lineRule="auto"/>
        <w:ind w:left="0"/>
        <w:rPr>
          <w:rFonts w:cstheme="minorHAnsi"/>
          <w:sz w:val="21"/>
          <w:szCs w:val="21"/>
        </w:rPr>
      </w:pPr>
      <w:r>
        <w:rPr>
          <w:rFonts w:cstheme="minorHAnsi"/>
          <w:sz w:val="21"/>
          <w:szCs w:val="21"/>
        </w:rPr>
        <w:t>− Set mode 12. The identifier of the current unit appears in the measurement value display, and the corresponding plain text appears in the unit display.</w:t>
      </w:r>
    </w:p>
    <w:p w14:paraId="754651A0">
      <w:pPr>
        <w:pStyle w:val="40"/>
        <w:spacing w:after="240" w:line="240" w:lineRule="auto"/>
        <w:ind w:left="0"/>
        <w:rPr>
          <w:rFonts w:cstheme="minorHAnsi"/>
          <w:sz w:val="21"/>
          <w:szCs w:val="21"/>
        </w:rPr>
      </w:pPr>
      <w:r>
        <w:rPr>
          <w:rFonts w:cstheme="minorHAnsi"/>
          <w:sz w:val="21"/>
          <w:szCs w:val="21"/>
        </w:rPr>
        <w:t>− Select a unit by using [↑] and [↓];</w:t>
      </w:r>
    </w:p>
    <w:p w14:paraId="25B66648">
      <w:pPr>
        <w:pStyle w:val="40"/>
        <w:spacing w:after="240" w:line="240" w:lineRule="auto"/>
        <w:ind w:left="0"/>
        <w:rPr>
          <w:rFonts w:cstheme="minorHAnsi"/>
          <w:sz w:val="21"/>
          <w:szCs w:val="21"/>
        </w:rPr>
      </w:pPr>
      <w:r>
        <w:rPr>
          <w:rFonts w:cstheme="minorHAnsi"/>
          <w:sz w:val="21"/>
          <w:szCs w:val="21"/>
        </w:rPr>
        <w:t>− Use [M] for mode switching.</w:t>
      </w:r>
    </w:p>
    <w:p w14:paraId="617E9512">
      <w:pPr>
        <w:pStyle w:val="40"/>
        <w:spacing w:after="240" w:line="240" w:lineRule="auto"/>
        <w:ind w:left="0"/>
        <w:rPr>
          <w:rFonts w:cstheme="minorHAnsi"/>
          <w:sz w:val="21"/>
          <w:szCs w:val="21"/>
        </w:rPr>
      </w:pPr>
      <w:r>
        <w:rPr>
          <w:rFonts w:cstheme="minorHAnsi"/>
          <w:sz w:val="21"/>
          <w:szCs w:val="21"/>
        </w:rPr>
        <w:t xml:space="preserve">The pressure unit is shown in Table 4.6： </w:t>
      </w:r>
    </w:p>
    <w:p w14:paraId="5029C73A">
      <w:pPr>
        <w:pStyle w:val="12"/>
        <w:keepNext/>
        <w:spacing w:before="120" w:after="120"/>
        <w:rPr>
          <w:rFonts w:asciiTheme="minorHAnsi" w:hAnsiTheme="minorHAnsi" w:cstheme="minorHAnsi"/>
        </w:rPr>
      </w:pPr>
      <w:r>
        <w:rPr>
          <w:rFonts w:asciiTheme="minorHAnsi" w:hAnsiTheme="minorHAnsi" w:cstheme="minorHAnsi"/>
        </w:rPr>
        <w:t xml:space="preserve">Table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表 \* ARABIC \s 1 </w:instrText>
      </w:r>
      <w:r>
        <w:rPr>
          <w:rFonts w:asciiTheme="minorHAnsi" w:hAnsiTheme="minorHAnsi" w:cstheme="minorHAnsi"/>
        </w:rPr>
        <w:fldChar w:fldCharType="separate"/>
      </w:r>
      <w:r>
        <w:rPr>
          <w:rFonts w:asciiTheme="minorHAnsi" w:hAnsiTheme="minorHAnsi" w:cstheme="minorHAnsi"/>
        </w:rPr>
        <w:t>6</w:t>
      </w:r>
      <w:r>
        <w:rPr>
          <w:rFonts w:asciiTheme="minorHAnsi" w:hAnsiTheme="minorHAnsi" w:cstheme="minorHAnsi"/>
        </w:rPr>
        <w:fldChar w:fldCharType="end"/>
      </w:r>
      <w:r>
        <w:rPr>
          <w:rFonts w:asciiTheme="minorHAnsi" w:hAnsiTheme="minorHAnsi" w:cstheme="minorHAnsi"/>
        </w:rPr>
        <w:t xml:space="preserve"> Pressure unit</w:t>
      </w:r>
    </w:p>
    <w:tbl>
      <w:tblPr>
        <w:tblStyle w:val="3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604"/>
        <w:gridCol w:w="944"/>
        <w:gridCol w:w="1129"/>
        <w:gridCol w:w="944"/>
        <w:gridCol w:w="1281"/>
      </w:tblGrid>
      <w:tr w14:paraId="38BE0E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jc w:val="center"/>
        </w:trPr>
        <w:tc>
          <w:tcPr>
            <w:tcW w:w="0" w:type="auto"/>
            <w:tcBorders>
              <w:top w:val="single" w:color="auto" w:sz="4" w:space="0"/>
              <w:left w:val="single" w:color="auto" w:sz="4" w:space="0"/>
              <w:bottom w:val="single" w:color="auto" w:sz="4" w:space="0"/>
              <w:right w:val="single" w:color="auto" w:sz="4" w:space="0"/>
            </w:tcBorders>
            <w:shd w:val="clear" w:color="auto" w:fill="CCCCCC"/>
            <w:vAlign w:val="center"/>
          </w:tcPr>
          <w:p w14:paraId="6DCCE74A">
            <w:pPr>
              <w:spacing w:after="240"/>
              <w:jc w:val="center"/>
              <w:rPr>
                <w:rFonts w:cstheme="minorHAnsi"/>
                <w:sz w:val="18"/>
                <w:szCs w:val="18"/>
              </w:rPr>
            </w:pPr>
            <w:r>
              <w:rPr>
                <w:rFonts w:cstheme="minorHAnsi"/>
                <w:sz w:val="18"/>
                <w:szCs w:val="18"/>
              </w:rPr>
              <w:t>Unit Code</w:t>
            </w:r>
          </w:p>
        </w:tc>
        <w:tc>
          <w:tcPr>
            <w:tcW w:w="0" w:type="auto"/>
            <w:tcBorders>
              <w:top w:val="single" w:color="auto" w:sz="4" w:space="0"/>
              <w:left w:val="single" w:color="auto" w:sz="4" w:space="0"/>
              <w:bottom w:val="single" w:color="auto" w:sz="4" w:space="0"/>
              <w:right w:val="single" w:color="auto" w:sz="4" w:space="0"/>
            </w:tcBorders>
            <w:shd w:val="clear" w:color="auto" w:fill="CCCCCC"/>
            <w:vAlign w:val="center"/>
          </w:tcPr>
          <w:p w14:paraId="68D1FF50">
            <w:pPr>
              <w:spacing w:after="240"/>
              <w:jc w:val="center"/>
              <w:rPr>
                <w:rFonts w:cstheme="minorHAnsi"/>
                <w:sz w:val="18"/>
                <w:szCs w:val="18"/>
              </w:rPr>
            </w:pPr>
            <w:r>
              <w:rPr>
                <w:rFonts w:cstheme="minorHAnsi"/>
                <w:sz w:val="18"/>
                <w:szCs w:val="18"/>
              </w:rPr>
              <w:t xml:space="preserve">Unit </w:t>
            </w:r>
          </w:p>
        </w:tc>
        <w:tc>
          <w:tcPr>
            <w:tcW w:w="0" w:type="auto"/>
            <w:tcBorders>
              <w:top w:val="single" w:color="auto" w:sz="4" w:space="0"/>
              <w:left w:val="single" w:color="auto" w:sz="4" w:space="0"/>
              <w:bottom w:val="single" w:color="auto" w:sz="4" w:space="0"/>
              <w:right w:val="single" w:color="auto" w:sz="4" w:space="0"/>
            </w:tcBorders>
            <w:shd w:val="clear" w:color="auto" w:fill="CCCCCC"/>
            <w:vAlign w:val="center"/>
          </w:tcPr>
          <w:p w14:paraId="5B3C7C99">
            <w:pPr>
              <w:spacing w:after="240"/>
              <w:jc w:val="center"/>
              <w:rPr>
                <w:rFonts w:cstheme="minorHAnsi"/>
                <w:sz w:val="18"/>
                <w:szCs w:val="18"/>
              </w:rPr>
            </w:pPr>
            <w:r>
              <w:rPr>
                <w:rFonts w:cstheme="minorHAnsi"/>
                <w:sz w:val="18"/>
                <w:szCs w:val="18"/>
              </w:rPr>
              <w:t>Unit Code</w:t>
            </w:r>
          </w:p>
        </w:tc>
        <w:tc>
          <w:tcPr>
            <w:tcW w:w="0" w:type="auto"/>
            <w:tcBorders>
              <w:top w:val="single" w:color="auto" w:sz="4" w:space="0"/>
              <w:left w:val="single" w:color="auto" w:sz="4" w:space="0"/>
              <w:bottom w:val="single" w:color="auto" w:sz="4" w:space="0"/>
              <w:right w:val="single" w:color="auto" w:sz="4" w:space="0"/>
            </w:tcBorders>
            <w:shd w:val="clear" w:color="auto" w:fill="CCCCCC"/>
            <w:vAlign w:val="center"/>
          </w:tcPr>
          <w:p w14:paraId="3A84DFEF">
            <w:pPr>
              <w:spacing w:after="240"/>
              <w:jc w:val="center"/>
              <w:rPr>
                <w:rFonts w:cstheme="minorHAnsi"/>
                <w:sz w:val="18"/>
                <w:szCs w:val="18"/>
              </w:rPr>
            </w:pPr>
            <w:r>
              <w:rPr>
                <w:rFonts w:cstheme="minorHAnsi"/>
                <w:sz w:val="18"/>
                <w:szCs w:val="18"/>
              </w:rPr>
              <w:t>Unit</w:t>
            </w:r>
          </w:p>
        </w:tc>
        <w:tc>
          <w:tcPr>
            <w:tcW w:w="0" w:type="auto"/>
            <w:tcBorders>
              <w:top w:val="single" w:color="auto" w:sz="4" w:space="0"/>
              <w:left w:val="single" w:color="auto" w:sz="4" w:space="0"/>
              <w:bottom w:val="single" w:color="auto" w:sz="4" w:space="0"/>
              <w:right w:val="single" w:color="auto" w:sz="4" w:space="0"/>
            </w:tcBorders>
            <w:shd w:val="clear" w:color="auto" w:fill="CCCCCC"/>
            <w:vAlign w:val="center"/>
          </w:tcPr>
          <w:p w14:paraId="168FB250">
            <w:pPr>
              <w:spacing w:after="240"/>
              <w:jc w:val="center"/>
              <w:rPr>
                <w:rFonts w:cstheme="minorHAnsi"/>
                <w:sz w:val="18"/>
                <w:szCs w:val="18"/>
              </w:rPr>
            </w:pPr>
            <w:r>
              <w:rPr>
                <w:rFonts w:cstheme="minorHAnsi"/>
                <w:sz w:val="18"/>
                <w:szCs w:val="18"/>
              </w:rPr>
              <w:t>Unit Code</w:t>
            </w:r>
          </w:p>
        </w:tc>
        <w:tc>
          <w:tcPr>
            <w:tcW w:w="0" w:type="auto"/>
            <w:tcBorders>
              <w:top w:val="single" w:color="auto" w:sz="4" w:space="0"/>
              <w:left w:val="single" w:color="auto" w:sz="4" w:space="0"/>
              <w:bottom w:val="single" w:color="auto" w:sz="4" w:space="0"/>
              <w:right w:val="single" w:color="auto" w:sz="4" w:space="0"/>
            </w:tcBorders>
            <w:shd w:val="clear" w:color="auto" w:fill="CCCCCC"/>
            <w:vAlign w:val="center"/>
          </w:tcPr>
          <w:p w14:paraId="21B85C6A">
            <w:pPr>
              <w:spacing w:after="240"/>
              <w:jc w:val="center"/>
              <w:rPr>
                <w:rFonts w:cstheme="minorHAnsi"/>
                <w:sz w:val="18"/>
                <w:szCs w:val="18"/>
              </w:rPr>
            </w:pPr>
            <w:r>
              <w:rPr>
                <w:rFonts w:cstheme="minorHAnsi"/>
                <w:sz w:val="18"/>
                <w:szCs w:val="18"/>
              </w:rPr>
              <w:t xml:space="preserve">Unit </w:t>
            </w:r>
          </w:p>
        </w:tc>
      </w:tr>
      <w:tr w14:paraId="4C81A4E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0" w:type="auto"/>
            <w:tcBorders>
              <w:top w:val="single" w:color="auto" w:sz="4" w:space="0"/>
              <w:left w:val="single" w:color="auto" w:sz="4" w:space="0"/>
              <w:bottom w:val="single" w:color="auto" w:sz="4" w:space="0"/>
            </w:tcBorders>
            <w:vAlign w:val="center"/>
          </w:tcPr>
          <w:p w14:paraId="6E41DC7D">
            <w:pPr>
              <w:spacing w:after="240"/>
              <w:jc w:val="center"/>
              <w:rPr>
                <w:rFonts w:cstheme="minorHAnsi"/>
                <w:sz w:val="18"/>
                <w:szCs w:val="18"/>
              </w:rPr>
            </w:pPr>
            <w:r>
              <w:rPr>
                <w:rFonts w:cstheme="minorHAnsi"/>
                <w:sz w:val="18"/>
                <w:szCs w:val="18"/>
              </w:rPr>
              <w:t>1130</w:t>
            </w:r>
          </w:p>
        </w:tc>
        <w:tc>
          <w:tcPr>
            <w:tcW w:w="0" w:type="auto"/>
            <w:tcBorders>
              <w:top w:val="single" w:color="auto" w:sz="4" w:space="0"/>
              <w:bottom w:val="single" w:color="auto" w:sz="4" w:space="0"/>
              <w:right w:val="single" w:color="auto" w:sz="4" w:space="0"/>
            </w:tcBorders>
            <w:vAlign w:val="center"/>
          </w:tcPr>
          <w:p w14:paraId="6FB4A55D">
            <w:pPr>
              <w:spacing w:after="240"/>
              <w:jc w:val="center"/>
              <w:rPr>
                <w:rFonts w:cstheme="minorHAnsi"/>
                <w:sz w:val="18"/>
                <w:szCs w:val="18"/>
              </w:rPr>
            </w:pPr>
            <w:r>
              <w:rPr>
                <w:rFonts w:cstheme="minorHAnsi"/>
                <w:sz w:val="18"/>
                <w:szCs w:val="18"/>
              </w:rPr>
              <w:t>Pa</w:t>
            </w:r>
          </w:p>
        </w:tc>
        <w:tc>
          <w:tcPr>
            <w:tcW w:w="0" w:type="auto"/>
            <w:tcBorders>
              <w:top w:val="single" w:color="auto" w:sz="4" w:space="0"/>
              <w:bottom w:val="single" w:color="auto" w:sz="4" w:space="0"/>
              <w:right w:val="single" w:color="auto" w:sz="4" w:space="0"/>
            </w:tcBorders>
            <w:vAlign w:val="center"/>
          </w:tcPr>
          <w:p w14:paraId="0038C7AA">
            <w:pPr>
              <w:spacing w:after="240"/>
              <w:jc w:val="center"/>
              <w:rPr>
                <w:rFonts w:cstheme="minorHAnsi"/>
                <w:sz w:val="18"/>
                <w:szCs w:val="18"/>
              </w:rPr>
            </w:pPr>
            <w:r>
              <w:rPr>
                <w:rFonts w:cstheme="minorHAnsi"/>
                <w:sz w:val="18"/>
                <w:szCs w:val="18"/>
              </w:rPr>
              <w:t>1140</w:t>
            </w:r>
          </w:p>
        </w:tc>
        <w:tc>
          <w:tcPr>
            <w:tcW w:w="0" w:type="auto"/>
            <w:tcBorders>
              <w:top w:val="single" w:color="auto" w:sz="4" w:space="0"/>
              <w:bottom w:val="single" w:color="auto" w:sz="4" w:space="0"/>
              <w:right w:val="single" w:color="auto" w:sz="4" w:space="0"/>
            </w:tcBorders>
            <w:vAlign w:val="center"/>
          </w:tcPr>
          <w:p w14:paraId="1D50875F">
            <w:pPr>
              <w:spacing w:after="240"/>
              <w:jc w:val="center"/>
              <w:rPr>
                <w:rFonts w:cstheme="minorHAnsi"/>
                <w:sz w:val="18"/>
                <w:szCs w:val="18"/>
              </w:rPr>
            </w:pPr>
            <w:r>
              <w:rPr>
                <w:rFonts w:cstheme="minorHAnsi"/>
                <w:sz w:val="18"/>
                <w:szCs w:val="18"/>
              </w:rPr>
              <w:t>atm</w:t>
            </w:r>
          </w:p>
        </w:tc>
        <w:tc>
          <w:tcPr>
            <w:tcW w:w="0" w:type="auto"/>
            <w:tcBorders>
              <w:top w:val="single" w:color="auto" w:sz="4" w:space="0"/>
              <w:bottom w:val="single" w:color="auto" w:sz="4" w:space="0"/>
              <w:right w:val="single" w:color="auto" w:sz="4" w:space="0"/>
            </w:tcBorders>
            <w:vAlign w:val="center"/>
          </w:tcPr>
          <w:p w14:paraId="35660D59">
            <w:pPr>
              <w:spacing w:after="240"/>
              <w:jc w:val="center"/>
              <w:rPr>
                <w:rFonts w:cstheme="minorHAnsi"/>
                <w:sz w:val="18"/>
                <w:szCs w:val="18"/>
              </w:rPr>
            </w:pPr>
            <w:r>
              <w:rPr>
                <w:rFonts w:cstheme="minorHAnsi"/>
                <w:sz w:val="18"/>
                <w:szCs w:val="18"/>
              </w:rPr>
              <w:t>1150</w:t>
            </w:r>
          </w:p>
        </w:tc>
        <w:tc>
          <w:tcPr>
            <w:tcW w:w="0" w:type="auto"/>
            <w:tcBorders>
              <w:top w:val="single" w:color="auto" w:sz="4" w:space="0"/>
              <w:bottom w:val="single" w:color="auto" w:sz="4" w:space="0"/>
              <w:right w:val="single" w:color="auto" w:sz="4" w:space="0"/>
            </w:tcBorders>
            <w:vAlign w:val="center"/>
          </w:tcPr>
          <w:p w14:paraId="271ADC49">
            <w:pPr>
              <w:spacing w:after="240"/>
              <w:jc w:val="center"/>
              <w:rPr>
                <w:rFonts w:cstheme="minorHAnsi"/>
                <w:sz w:val="18"/>
                <w:szCs w:val="18"/>
              </w:rPr>
            </w:pPr>
            <w:r>
              <w:rPr>
                <w:rFonts w:cstheme="minorHAnsi"/>
                <w:sz w:val="18"/>
                <w:szCs w:val="18"/>
              </w:rPr>
              <w:t>mmH2O(4</w:t>
            </w:r>
            <w:r>
              <w:rPr>
                <w:rFonts w:ascii="Cambria Math" w:hAnsi="Cambria Math" w:cs="Cambria Math"/>
                <w:sz w:val="18"/>
                <w:szCs w:val="18"/>
              </w:rPr>
              <w:t>℃</w:t>
            </w:r>
            <w:r>
              <w:rPr>
                <w:rFonts w:cstheme="minorHAnsi"/>
                <w:sz w:val="18"/>
                <w:szCs w:val="18"/>
              </w:rPr>
              <w:t>)</w:t>
            </w:r>
          </w:p>
        </w:tc>
      </w:tr>
      <w:tr w14:paraId="409623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0" w:type="auto"/>
            <w:tcBorders>
              <w:top w:val="single" w:color="auto" w:sz="4" w:space="0"/>
              <w:left w:val="single" w:color="auto" w:sz="4" w:space="0"/>
              <w:bottom w:val="single" w:color="auto" w:sz="4" w:space="0"/>
            </w:tcBorders>
            <w:vAlign w:val="center"/>
          </w:tcPr>
          <w:p w14:paraId="249FF73B">
            <w:pPr>
              <w:spacing w:after="240"/>
              <w:jc w:val="center"/>
              <w:rPr>
                <w:rFonts w:cstheme="minorHAnsi"/>
                <w:sz w:val="18"/>
                <w:szCs w:val="18"/>
              </w:rPr>
            </w:pPr>
            <w:r>
              <w:rPr>
                <w:rFonts w:cstheme="minorHAnsi"/>
                <w:sz w:val="18"/>
                <w:szCs w:val="18"/>
              </w:rPr>
              <w:t>1131</w:t>
            </w:r>
          </w:p>
        </w:tc>
        <w:tc>
          <w:tcPr>
            <w:tcW w:w="0" w:type="auto"/>
            <w:tcBorders>
              <w:top w:val="single" w:color="auto" w:sz="4" w:space="0"/>
              <w:bottom w:val="single" w:color="auto" w:sz="4" w:space="0"/>
              <w:right w:val="single" w:color="auto" w:sz="4" w:space="0"/>
            </w:tcBorders>
            <w:vAlign w:val="center"/>
          </w:tcPr>
          <w:p w14:paraId="27DC4696">
            <w:pPr>
              <w:spacing w:after="240"/>
              <w:jc w:val="center"/>
              <w:rPr>
                <w:rFonts w:cstheme="minorHAnsi"/>
                <w:sz w:val="18"/>
                <w:szCs w:val="18"/>
              </w:rPr>
            </w:pPr>
            <w:r>
              <w:rPr>
                <w:rFonts w:cstheme="minorHAnsi"/>
                <w:sz w:val="18"/>
                <w:szCs w:val="18"/>
              </w:rPr>
              <w:t>GPa</w:t>
            </w:r>
          </w:p>
        </w:tc>
        <w:tc>
          <w:tcPr>
            <w:tcW w:w="0" w:type="auto"/>
            <w:tcBorders>
              <w:top w:val="single" w:color="auto" w:sz="4" w:space="0"/>
              <w:bottom w:val="single" w:color="auto" w:sz="4" w:space="0"/>
              <w:right w:val="single" w:color="auto" w:sz="4" w:space="0"/>
            </w:tcBorders>
            <w:vAlign w:val="center"/>
          </w:tcPr>
          <w:p w14:paraId="488CAC27">
            <w:pPr>
              <w:spacing w:after="240"/>
              <w:jc w:val="center"/>
              <w:rPr>
                <w:rFonts w:cstheme="minorHAnsi"/>
                <w:sz w:val="18"/>
                <w:szCs w:val="18"/>
              </w:rPr>
            </w:pPr>
            <w:r>
              <w:rPr>
                <w:rFonts w:cstheme="minorHAnsi"/>
                <w:sz w:val="18"/>
                <w:szCs w:val="18"/>
              </w:rPr>
              <w:t>1141</w:t>
            </w:r>
          </w:p>
        </w:tc>
        <w:tc>
          <w:tcPr>
            <w:tcW w:w="0" w:type="auto"/>
            <w:tcBorders>
              <w:top w:val="single" w:color="auto" w:sz="4" w:space="0"/>
              <w:bottom w:val="single" w:color="auto" w:sz="4" w:space="0"/>
              <w:right w:val="single" w:color="auto" w:sz="4" w:space="0"/>
            </w:tcBorders>
            <w:vAlign w:val="center"/>
          </w:tcPr>
          <w:p w14:paraId="57B52ED5">
            <w:pPr>
              <w:spacing w:after="240"/>
              <w:jc w:val="center"/>
              <w:rPr>
                <w:rFonts w:cstheme="minorHAnsi"/>
                <w:sz w:val="18"/>
                <w:szCs w:val="18"/>
              </w:rPr>
            </w:pPr>
            <w:r>
              <w:rPr>
                <w:rFonts w:cstheme="minorHAnsi"/>
                <w:sz w:val="18"/>
                <w:szCs w:val="18"/>
              </w:rPr>
              <w:t>psi</w:t>
            </w:r>
          </w:p>
        </w:tc>
        <w:tc>
          <w:tcPr>
            <w:tcW w:w="0" w:type="auto"/>
            <w:tcBorders>
              <w:top w:val="single" w:color="auto" w:sz="4" w:space="0"/>
              <w:bottom w:val="single" w:color="auto" w:sz="4" w:space="0"/>
              <w:right w:val="single" w:color="auto" w:sz="4" w:space="0"/>
            </w:tcBorders>
            <w:vAlign w:val="center"/>
          </w:tcPr>
          <w:p w14:paraId="5CD272F9">
            <w:pPr>
              <w:spacing w:after="240"/>
              <w:jc w:val="center"/>
              <w:rPr>
                <w:rFonts w:cstheme="minorHAnsi"/>
                <w:sz w:val="18"/>
                <w:szCs w:val="18"/>
              </w:rPr>
            </w:pPr>
            <w:r>
              <w:rPr>
                <w:rFonts w:cstheme="minorHAnsi"/>
                <w:sz w:val="18"/>
                <w:szCs w:val="18"/>
              </w:rPr>
              <w:t>1151</w:t>
            </w:r>
          </w:p>
        </w:tc>
        <w:tc>
          <w:tcPr>
            <w:tcW w:w="0" w:type="auto"/>
            <w:tcBorders>
              <w:top w:val="single" w:color="auto" w:sz="4" w:space="0"/>
              <w:bottom w:val="single" w:color="auto" w:sz="4" w:space="0"/>
              <w:right w:val="single" w:color="auto" w:sz="4" w:space="0"/>
            </w:tcBorders>
            <w:vAlign w:val="center"/>
          </w:tcPr>
          <w:p w14:paraId="1091B33F">
            <w:pPr>
              <w:spacing w:after="240"/>
              <w:jc w:val="center"/>
              <w:rPr>
                <w:rFonts w:cstheme="minorHAnsi"/>
                <w:sz w:val="18"/>
                <w:szCs w:val="18"/>
              </w:rPr>
            </w:pPr>
            <w:r>
              <w:rPr>
                <w:rFonts w:cstheme="minorHAnsi"/>
                <w:sz w:val="18"/>
                <w:szCs w:val="18"/>
              </w:rPr>
              <w:t>mmH2O(68</w:t>
            </w:r>
            <w:r>
              <w:rPr>
                <w:rFonts w:ascii="Cambria Math" w:hAnsi="Cambria Math" w:cs="Cambria Math"/>
                <w:sz w:val="18"/>
                <w:szCs w:val="18"/>
              </w:rPr>
              <w:t>℃</w:t>
            </w:r>
            <w:r>
              <w:rPr>
                <w:rFonts w:cstheme="minorHAnsi"/>
                <w:sz w:val="18"/>
                <w:szCs w:val="18"/>
              </w:rPr>
              <w:t>)</w:t>
            </w:r>
          </w:p>
        </w:tc>
      </w:tr>
      <w:tr w14:paraId="271943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0" w:type="auto"/>
            <w:tcBorders>
              <w:top w:val="single" w:color="auto" w:sz="4" w:space="0"/>
              <w:left w:val="single" w:color="auto" w:sz="4" w:space="0"/>
              <w:bottom w:val="single" w:color="auto" w:sz="4" w:space="0"/>
            </w:tcBorders>
            <w:vAlign w:val="center"/>
          </w:tcPr>
          <w:p w14:paraId="5AEAED63">
            <w:pPr>
              <w:spacing w:after="240"/>
              <w:jc w:val="center"/>
              <w:rPr>
                <w:rFonts w:cstheme="minorHAnsi"/>
                <w:sz w:val="18"/>
                <w:szCs w:val="18"/>
              </w:rPr>
            </w:pPr>
            <w:r>
              <w:rPr>
                <w:rFonts w:cstheme="minorHAnsi"/>
                <w:sz w:val="18"/>
                <w:szCs w:val="18"/>
              </w:rPr>
              <w:t>1132</w:t>
            </w:r>
          </w:p>
        </w:tc>
        <w:tc>
          <w:tcPr>
            <w:tcW w:w="0" w:type="auto"/>
            <w:tcBorders>
              <w:top w:val="single" w:color="auto" w:sz="4" w:space="0"/>
              <w:bottom w:val="single" w:color="auto" w:sz="4" w:space="0"/>
              <w:right w:val="single" w:color="auto" w:sz="4" w:space="0"/>
            </w:tcBorders>
            <w:vAlign w:val="center"/>
          </w:tcPr>
          <w:p w14:paraId="01A1E4D5">
            <w:pPr>
              <w:spacing w:after="240"/>
              <w:jc w:val="center"/>
              <w:rPr>
                <w:rFonts w:cstheme="minorHAnsi"/>
                <w:sz w:val="18"/>
                <w:szCs w:val="18"/>
              </w:rPr>
            </w:pPr>
            <w:r>
              <w:rPr>
                <w:rFonts w:cstheme="minorHAnsi"/>
                <w:sz w:val="18"/>
                <w:szCs w:val="18"/>
              </w:rPr>
              <w:t>MPa</w:t>
            </w:r>
          </w:p>
        </w:tc>
        <w:tc>
          <w:tcPr>
            <w:tcW w:w="0" w:type="auto"/>
            <w:tcBorders>
              <w:top w:val="single" w:color="auto" w:sz="4" w:space="0"/>
              <w:bottom w:val="single" w:color="auto" w:sz="4" w:space="0"/>
              <w:right w:val="single" w:color="auto" w:sz="4" w:space="0"/>
            </w:tcBorders>
            <w:vAlign w:val="center"/>
          </w:tcPr>
          <w:p w14:paraId="3AD46824">
            <w:pPr>
              <w:spacing w:after="240"/>
              <w:jc w:val="center"/>
              <w:rPr>
                <w:rFonts w:cstheme="minorHAnsi"/>
                <w:sz w:val="18"/>
                <w:szCs w:val="18"/>
              </w:rPr>
            </w:pPr>
            <w:r>
              <w:rPr>
                <w:rFonts w:cstheme="minorHAnsi"/>
                <w:sz w:val="18"/>
                <w:szCs w:val="18"/>
              </w:rPr>
              <w:t>1142</w:t>
            </w:r>
          </w:p>
        </w:tc>
        <w:tc>
          <w:tcPr>
            <w:tcW w:w="0" w:type="auto"/>
            <w:tcBorders>
              <w:top w:val="single" w:color="auto" w:sz="4" w:space="0"/>
              <w:bottom w:val="single" w:color="auto" w:sz="4" w:space="0"/>
              <w:right w:val="single" w:color="auto" w:sz="4" w:space="0"/>
            </w:tcBorders>
            <w:vAlign w:val="center"/>
          </w:tcPr>
          <w:p w14:paraId="01ABFFBB">
            <w:pPr>
              <w:spacing w:after="240"/>
              <w:jc w:val="center"/>
              <w:rPr>
                <w:rFonts w:cstheme="minorHAnsi"/>
                <w:sz w:val="18"/>
                <w:szCs w:val="18"/>
              </w:rPr>
            </w:pPr>
            <w:r>
              <w:rPr>
                <w:rFonts w:cstheme="minorHAnsi"/>
                <w:sz w:val="18"/>
                <w:szCs w:val="18"/>
              </w:rPr>
              <w:t>psia</w:t>
            </w:r>
          </w:p>
        </w:tc>
        <w:tc>
          <w:tcPr>
            <w:tcW w:w="0" w:type="auto"/>
            <w:tcBorders>
              <w:top w:val="single" w:color="auto" w:sz="4" w:space="0"/>
              <w:bottom w:val="single" w:color="auto" w:sz="4" w:space="0"/>
              <w:right w:val="single" w:color="auto" w:sz="4" w:space="0"/>
            </w:tcBorders>
            <w:vAlign w:val="center"/>
          </w:tcPr>
          <w:p w14:paraId="3E7E4EEC">
            <w:pPr>
              <w:spacing w:after="240"/>
              <w:jc w:val="center"/>
              <w:rPr>
                <w:rFonts w:cstheme="minorHAnsi"/>
                <w:sz w:val="18"/>
                <w:szCs w:val="18"/>
              </w:rPr>
            </w:pPr>
            <w:r>
              <w:rPr>
                <w:rFonts w:cstheme="minorHAnsi"/>
                <w:sz w:val="18"/>
                <w:szCs w:val="18"/>
              </w:rPr>
              <w:t>1152</w:t>
            </w:r>
          </w:p>
        </w:tc>
        <w:tc>
          <w:tcPr>
            <w:tcW w:w="0" w:type="auto"/>
            <w:tcBorders>
              <w:top w:val="single" w:color="auto" w:sz="4" w:space="0"/>
              <w:bottom w:val="single" w:color="auto" w:sz="4" w:space="0"/>
              <w:right w:val="single" w:color="auto" w:sz="4" w:space="0"/>
            </w:tcBorders>
            <w:vAlign w:val="center"/>
          </w:tcPr>
          <w:p w14:paraId="0EA6911A">
            <w:pPr>
              <w:spacing w:after="240"/>
              <w:jc w:val="center"/>
              <w:rPr>
                <w:rFonts w:cstheme="minorHAnsi"/>
                <w:sz w:val="18"/>
                <w:szCs w:val="18"/>
              </w:rPr>
            </w:pPr>
            <w:r>
              <w:rPr>
                <w:rFonts w:cstheme="minorHAnsi"/>
                <w:sz w:val="18"/>
                <w:szCs w:val="18"/>
              </w:rPr>
              <w:t>ftH2O</w:t>
            </w:r>
          </w:p>
        </w:tc>
      </w:tr>
      <w:tr w14:paraId="2E3365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0" w:type="auto"/>
            <w:tcBorders>
              <w:top w:val="single" w:color="auto" w:sz="4" w:space="0"/>
              <w:left w:val="single" w:color="auto" w:sz="4" w:space="0"/>
              <w:bottom w:val="single" w:color="auto" w:sz="4" w:space="0"/>
            </w:tcBorders>
            <w:vAlign w:val="center"/>
          </w:tcPr>
          <w:p w14:paraId="0F2C2574">
            <w:pPr>
              <w:spacing w:after="240"/>
              <w:jc w:val="center"/>
              <w:rPr>
                <w:rFonts w:cstheme="minorHAnsi"/>
                <w:sz w:val="18"/>
                <w:szCs w:val="18"/>
              </w:rPr>
            </w:pPr>
            <w:r>
              <w:rPr>
                <w:rFonts w:cstheme="minorHAnsi"/>
                <w:sz w:val="18"/>
                <w:szCs w:val="18"/>
              </w:rPr>
              <w:t>1133</w:t>
            </w:r>
          </w:p>
        </w:tc>
        <w:tc>
          <w:tcPr>
            <w:tcW w:w="0" w:type="auto"/>
            <w:tcBorders>
              <w:top w:val="single" w:color="auto" w:sz="4" w:space="0"/>
              <w:bottom w:val="single" w:color="auto" w:sz="4" w:space="0"/>
              <w:right w:val="single" w:color="auto" w:sz="4" w:space="0"/>
            </w:tcBorders>
            <w:vAlign w:val="center"/>
          </w:tcPr>
          <w:p w14:paraId="2BA58D70">
            <w:pPr>
              <w:spacing w:after="240"/>
              <w:jc w:val="center"/>
              <w:rPr>
                <w:rFonts w:cstheme="minorHAnsi"/>
                <w:sz w:val="18"/>
                <w:szCs w:val="18"/>
              </w:rPr>
            </w:pPr>
            <w:r>
              <w:rPr>
                <w:rFonts w:cstheme="minorHAnsi"/>
                <w:sz w:val="18"/>
                <w:szCs w:val="18"/>
              </w:rPr>
              <w:t>KPa</w:t>
            </w:r>
          </w:p>
        </w:tc>
        <w:tc>
          <w:tcPr>
            <w:tcW w:w="0" w:type="auto"/>
            <w:tcBorders>
              <w:top w:val="single" w:color="auto" w:sz="4" w:space="0"/>
              <w:bottom w:val="single" w:color="auto" w:sz="4" w:space="0"/>
              <w:right w:val="single" w:color="auto" w:sz="4" w:space="0"/>
            </w:tcBorders>
            <w:vAlign w:val="center"/>
          </w:tcPr>
          <w:p w14:paraId="092FC14E">
            <w:pPr>
              <w:spacing w:after="240"/>
              <w:jc w:val="center"/>
              <w:rPr>
                <w:rFonts w:cstheme="minorHAnsi"/>
                <w:sz w:val="18"/>
                <w:szCs w:val="18"/>
              </w:rPr>
            </w:pPr>
            <w:r>
              <w:rPr>
                <w:rFonts w:cstheme="minorHAnsi"/>
                <w:sz w:val="18"/>
                <w:szCs w:val="18"/>
              </w:rPr>
              <w:t>1143</w:t>
            </w:r>
          </w:p>
        </w:tc>
        <w:tc>
          <w:tcPr>
            <w:tcW w:w="0" w:type="auto"/>
            <w:tcBorders>
              <w:top w:val="single" w:color="auto" w:sz="4" w:space="0"/>
              <w:bottom w:val="single" w:color="auto" w:sz="4" w:space="0"/>
              <w:right w:val="single" w:color="auto" w:sz="4" w:space="0"/>
            </w:tcBorders>
            <w:vAlign w:val="center"/>
          </w:tcPr>
          <w:p w14:paraId="081788FC">
            <w:pPr>
              <w:spacing w:after="240"/>
              <w:jc w:val="center"/>
              <w:rPr>
                <w:rFonts w:cstheme="minorHAnsi"/>
                <w:sz w:val="18"/>
                <w:szCs w:val="18"/>
              </w:rPr>
            </w:pPr>
            <w:r>
              <w:rPr>
                <w:rFonts w:cstheme="minorHAnsi"/>
                <w:sz w:val="18"/>
                <w:szCs w:val="18"/>
              </w:rPr>
              <w:t>psig</w:t>
            </w:r>
          </w:p>
        </w:tc>
        <w:tc>
          <w:tcPr>
            <w:tcW w:w="0" w:type="auto"/>
            <w:tcBorders>
              <w:top w:val="single" w:color="auto" w:sz="4" w:space="0"/>
              <w:bottom w:val="single" w:color="auto" w:sz="4" w:space="0"/>
              <w:right w:val="single" w:color="auto" w:sz="4" w:space="0"/>
            </w:tcBorders>
            <w:vAlign w:val="center"/>
          </w:tcPr>
          <w:p w14:paraId="09EECF24">
            <w:pPr>
              <w:spacing w:after="240"/>
              <w:jc w:val="center"/>
              <w:rPr>
                <w:rFonts w:cstheme="minorHAnsi"/>
                <w:sz w:val="18"/>
                <w:szCs w:val="18"/>
              </w:rPr>
            </w:pPr>
            <w:r>
              <w:rPr>
                <w:rFonts w:cstheme="minorHAnsi"/>
                <w:sz w:val="18"/>
                <w:szCs w:val="18"/>
              </w:rPr>
              <w:t>1153</w:t>
            </w:r>
          </w:p>
        </w:tc>
        <w:tc>
          <w:tcPr>
            <w:tcW w:w="0" w:type="auto"/>
            <w:tcBorders>
              <w:top w:val="single" w:color="auto" w:sz="4" w:space="0"/>
              <w:bottom w:val="single" w:color="auto" w:sz="4" w:space="0"/>
              <w:right w:val="single" w:color="auto" w:sz="4" w:space="0"/>
            </w:tcBorders>
            <w:vAlign w:val="center"/>
          </w:tcPr>
          <w:p w14:paraId="298D5645">
            <w:pPr>
              <w:spacing w:after="240"/>
              <w:jc w:val="center"/>
              <w:rPr>
                <w:rFonts w:cstheme="minorHAnsi"/>
                <w:sz w:val="18"/>
                <w:szCs w:val="18"/>
              </w:rPr>
            </w:pPr>
            <w:r>
              <w:rPr>
                <w:rFonts w:cstheme="minorHAnsi"/>
                <w:sz w:val="18"/>
                <w:szCs w:val="18"/>
              </w:rPr>
              <w:t>ftH2O(4</w:t>
            </w:r>
            <w:r>
              <w:rPr>
                <w:rFonts w:ascii="Cambria Math" w:hAnsi="Cambria Math" w:cs="Cambria Math"/>
                <w:sz w:val="18"/>
                <w:szCs w:val="18"/>
              </w:rPr>
              <w:t>℃</w:t>
            </w:r>
            <w:r>
              <w:rPr>
                <w:rFonts w:cstheme="minorHAnsi"/>
                <w:sz w:val="18"/>
                <w:szCs w:val="18"/>
              </w:rPr>
              <w:t>)</w:t>
            </w:r>
          </w:p>
        </w:tc>
      </w:tr>
      <w:tr w14:paraId="59E975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0" w:type="auto"/>
            <w:tcBorders>
              <w:top w:val="single" w:color="auto" w:sz="4" w:space="0"/>
              <w:left w:val="single" w:color="auto" w:sz="4" w:space="0"/>
              <w:bottom w:val="single" w:color="auto" w:sz="4" w:space="0"/>
            </w:tcBorders>
            <w:vAlign w:val="center"/>
          </w:tcPr>
          <w:p w14:paraId="04D3DBBC">
            <w:pPr>
              <w:spacing w:after="240"/>
              <w:jc w:val="center"/>
              <w:rPr>
                <w:rFonts w:cstheme="minorHAnsi"/>
                <w:sz w:val="18"/>
                <w:szCs w:val="18"/>
              </w:rPr>
            </w:pPr>
            <w:r>
              <w:rPr>
                <w:rFonts w:cstheme="minorHAnsi"/>
                <w:sz w:val="18"/>
                <w:szCs w:val="18"/>
              </w:rPr>
              <w:t>1134</w:t>
            </w:r>
          </w:p>
        </w:tc>
        <w:tc>
          <w:tcPr>
            <w:tcW w:w="0" w:type="auto"/>
            <w:tcBorders>
              <w:top w:val="single" w:color="auto" w:sz="4" w:space="0"/>
              <w:bottom w:val="single" w:color="auto" w:sz="4" w:space="0"/>
              <w:right w:val="single" w:color="auto" w:sz="4" w:space="0"/>
            </w:tcBorders>
            <w:vAlign w:val="center"/>
          </w:tcPr>
          <w:p w14:paraId="4EA1725E">
            <w:pPr>
              <w:spacing w:after="240"/>
              <w:jc w:val="center"/>
              <w:rPr>
                <w:rFonts w:cstheme="minorHAnsi"/>
                <w:sz w:val="18"/>
                <w:szCs w:val="18"/>
              </w:rPr>
            </w:pPr>
            <w:r>
              <w:rPr>
                <w:rFonts w:cstheme="minorHAnsi"/>
                <w:sz w:val="18"/>
                <w:szCs w:val="18"/>
              </w:rPr>
              <w:t>mPa</w:t>
            </w:r>
          </w:p>
        </w:tc>
        <w:tc>
          <w:tcPr>
            <w:tcW w:w="0" w:type="auto"/>
            <w:tcBorders>
              <w:top w:val="single" w:color="auto" w:sz="4" w:space="0"/>
              <w:bottom w:val="single" w:color="auto" w:sz="4" w:space="0"/>
              <w:right w:val="single" w:color="auto" w:sz="4" w:space="0"/>
            </w:tcBorders>
            <w:vAlign w:val="center"/>
          </w:tcPr>
          <w:p w14:paraId="22AD6D65">
            <w:pPr>
              <w:spacing w:after="240"/>
              <w:jc w:val="center"/>
              <w:rPr>
                <w:rFonts w:cstheme="minorHAnsi"/>
                <w:sz w:val="18"/>
                <w:szCs w:val="18"/>
              </w:rPr>
            </w:pPr>
            <w:r>
              <w:rPr>
                <w:rFonts w:cstheme="minorHAnsi"/>
                <w:sz w:val="18"/>
                <w:szCs w:val="18"/>
              </w:rPr>
              <w:t>1144</w:t>
            </w:r>
          </w:p>
        </w:tc>
        <w:tc>
          <w:tcPr>
            <w:tcW w:w="0" w:type="auto"/>
            <w:tcBorders>
              <w:top w:val="single" w:color="auto" w:sz="4" w:space="0"/>
              <w:bottom w:val="single" w:color="auto" w:sz="4" w:space="0"/>
              <w:right w:val="single" w:color="auto" w:sz="4" w:space="0"/>
            </w:tcBorders>
            <w:vAlign w:val="center"/>
          </w:tcPr>
          <w:p w14:paraId="724A8F15">
            <w:pPr>
              <w:spacing w:after="240"/>
              <w:jc w:val="center"/>
              <w:rPr>
                <w:rFonts w:cstheme="minorHAnsi"/>
                <w:sz w:val="18"/>
                <w:szCs w:val="18"/>
              </w:rPr>
            </w:pPr>
            <w:r>
              <w:rPr>
                <w:rFonts w:cstheme="minorHAnsi"/>
                <w:sz w:val="18"/>
                <w:szCs w:val="18"/>
              </w:rPr>
              <w:t>g/cm2</w:t>
            </w:r>
          </w:p>
        </w:tc>
        <w:tc>
          <w:tcPr>
            <w:tcW w:w="0" w:type="auto"/>
            <w:tcBorders>
              <w:top w:val="single" w:color="auto" w:sz="4" w:space="0"/>
              <w:bottom w:val="single" w:color="auto" w:sz="4" w:space="0"/>
              <w:right w:val="single" w:color="auto" w:sz="4" w:space="0"/>
            </w:tcBorders>
            <w:vAlign w:val="center"/>
          </w:tcPr>
          <w:p w14:paraId="31601F34">
            <w:pPr>
              <w:spacing w:after="240"/>
              <w:jc w:val="center"/>
              <w:rPr>
                <w:rFonts w:cstheme="minorHAnsi"/>
                <w:sz w:val="18"/>
                <w:szCs w:val="18"/>
              </w:rPr>
            </w:pPr>
            <w:r>
              <w:rPr>
                <w:rFonts w:cstheme="minorHAnsi"/>
                <w:sz w:val="18"/>
                <w:szCs w:val="18"/>
              </w:rPr>
              <w:t>1154</w:t>
            </w:r>
          </w:p>
        </w:tc>
        <w:tc>
          <w:tcPr>
            <w:tcW w:w="0" w:type="auto"/>
            <w:tcBorders>
              <w:top w:val="single" w:color="auto" w:sz="4" w:space="0"/>
              <w:bottom w:val="single" w:color="auto" w:sz="4" w:space="0"/>
              <w:right w:val="single" w:color="auto" w:sz="4" w:space="0"/>
            </w:tcBorders>
            <w:vAlign w:val="center"/>
          </w:tcPr>
          <w:p w14:paraId="4F99CA0F">
            <w:pPr>
              <w:spacing w:after="240"/>
              <w:jc w:val="center"/>
              <w:rPr>
                <w:rFonts w:cstheme="minorHAnsi"/>
                <w:sz w:val="18"/>
                <w:szCs w:val="18"/>
              </w:rPr>
            </w:pPr>
            <w:r>
              <w:rPr>
                <w:rFonts w:cstheme="minorHAnsi"/>
                <w:sz w:val="18"/>
                <w:szCs w:val="18"/>
              </w:rPr>
              <w:t>ftH2O(68</w:t>
            </w:r>
            <w:r>
              <w:rPr>
                <w:rFonts w:ascii="Cambria Math" w:hAnsi="Cambria Math" w:cs="Cambria Math"/>
                <w:sz w:val="18"/>
                <w:szCs w:val="18"/>
              </w:rPr>
              <w:t>℃</w:t>
            </w:r>
            <w:r>
              <w:rPr>
                <w:rFonts w:cstheme="minorHAnsi"/>
                <w:sz w:val="18"/>
                <w:szCs w:val="18"/>
              </w:rPr>
              <w:t>)</w:t>
            </w:r>
          </w:p>
        </w:tc>
      </w:tr>
      <w:tr w14:paraId="5EAAD1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0" w:type="auto"/>
            <w:tcBorders>
              <w:top w:val="single" w:color="auto" w:sz="4" w:space="0"/>
              <w:left w:val="single" w:color="auto" w:sz="4" w:space="0"/>
              <w:bottom w:val="single" w:color="auto" w:sz="4" w:space="0"/>
            </w:tcBorders>
            <w:vAlign w:val="center"/>
          </w:tcPr>
          <w:p w14:paraId="6C59C0FE">
            <w:pPr>
              <w:spacing w:after="240"/>
              <w:jc w:val="center"/>
              <w:rPr>
                <w:rFonts w:cstheme="minorHAnsi"/>
                <w:sz w:val="18"/>
                <w:szCs w:val="18"/>
              </w:rPr>
            </w:pPr>
            <w:r>
              <w:rPr>
                <w:rFonts w:cstheme="minorHAnsi"/>
                <w:sz w:val="18"/>
                <w:szCs w:val="18"/>
              </w:rPr>
              <w:t>1135</w:t>
            </w:r>
          </w:p>
        </w:tc>
        <w:tc>
          <w:tcPr>
            <w:tcW w:w="0" w:type="auto"/>
            <w:tcBorders>
              <w:top w:val="single" w:color="auto" w:sz="4" w:space="0"/>
              <w:bottom w:val="single" w:color="auto" w:sz="4" w:space="0"/>
              <w:right w:val="single" w:color="auto" w:sz="4" w:space="0"/>
            </w:tcBorders>
            <w:vAlign w:val="center"/>
          </w:tcPr>
          <w:p w14:paraId="4A4DC9F5">
            <w:pPr>
              <w:spacing w:after="240"/>
              <w:jc w:val="center"/>
              <w:rPr>
                <w:rFonts w:cstheme="minorHAnsi"/>
                <w:sz w:val="18"/>
                <w:szCs w:val="18"/>
              </w:rPr>
            </w:pPr>
            <w:r>
              <w:rPr>
                <w:rFonts w:cstheme="minorHAnsi"/>
                <w:sz w:val="18"/>
                <w:szCs w:val="18"/>
              </w:rPr>
              <w:t>μPa</w:t>
            </w:r>
          </w:p>
        </w:tc>
        <w:tc>
          <w:tcPr>
            <w:tcW w:w="0" w:type="auto"/>
            <w:tcBorders>
              <w:top w:val="single" w:color="auto" w:sz="4" w:space="0"/>
              <w:bottom w:val="single" w:color="auto" w:sz="4" w:space="0"/>
              <w:right w:val="single" w:color="auto" w:sz="4" w:space="0"/>
            </w:tcBorders>
            <w:vAlign w:val="center"/>
          </w:tcPr>
          <w:p w14:paraId="2549953F">
            <w:pPr>
              <w:spacing w:after="240"/>
              <w:jc w:val="center"/>
              <w:rPr>
                <w:rFonts w:cstheme="minorHAnsi"/>
                <w:sz w:val="18"/>
                <w:szCs w:val="18"/>
              </w:rPr>
            </w:pPr>
            <w:r>
              <w:rPr>
                <w:rFonts w:cstheme="minorHAnsi"/>
                <w:sz w:val="18"/>
                <w:szCs w:val="18"/>
              </w:rPr>
              <w:t>1145</w:t>
            </w:r>
          </w:p>
        </w:tc>
        <w:tc>
          <w:tcPr>
            <w:tcW w:w="0" w:type="auto"/>
            <w:tcBorders>
              <w:top w:val="single" w:color="auto" w:sz="4" w:space="0"/>
              <w:bottom w:val="single" w:color="auto" w:sz="4" w:space="0"/>
              <w:right w:val="single" w:color="auto" w:sz="4" w:space="0"/>
            </w:tcBorders>
            <w:vAlign w:val="center"/>
          </w:tcPr>
          <w:p w14:paraId="12EF522E">
            <w:pPr>
              <w:spacing w:after="240"/>
              <w:jc w:val="center"/>
              <w:rPr>
                <w:rFonts w:cstheme="minorHAnsi"/>
                <w:sz w:val="18"/>
                <w:szCs w:val="18"/>
              </w:rPr>
            </w:pPr>
            <w:r>
              <w:rPr>
                <w:rFonts w:cstheme="minorHAnsi"/>
                <w:sz w:val="18"/>
                <w:szCs w:val="18"/>
              </w:rPr>
              <w:t>kg/cm2</w:t>
            </w:r>
          </w:p>
        </w:tc>
        <w:tc>
          <w:tcPr>
            <w:tcW w:w="0" w:type="auto"/>
            <w:tcBorders>
              <w:top w:val="single" w:color="auto" w:sz="4" w:space="0"/>
              <w:bottom w:val="single" w:color="auto" w:sz="4" w:space="0"/>
              <w:right w:val="single" w:color="auto" w:sz="4" w:space="0"/>
            </w:tcBorders>
            <w:vAlign w:val="center"/>
          </w:tcPr>
          <w:p w14:paraId="02305C59">
            <w:pPr>
              <w:spacing w:after="240"/>
              <w:jc w:val="center"/>
              <w:rPr>
                <w:rFonts w:cstheme="minorHAnsi"/>
                <w:sz w:val="18"/>
                <w:szCs w:val="18"/>
              </w:rPr>
            </w:pPr>
            <w:r>
              <w:rPr>
                <w:rFonts w:cstheme="minorHAnsi"/>
                <w:sz w:val="18"/>
                <w:szCs w:val="18"/>
              </w:rPr>
              <w:t>1155</w:t>
            </w:r>
          </w:p>
        </w:tc>
        <w:tc>
          <w:tcPr>
            <w:tcW w:w="0" w:type="auto"/>
            <w:tcBorders>
              <w:top w:val="single" w:color="auto" w:sz="4" w:space="0"/>
              <w:bottom w:val="single" w:color="auto" w:sz="4" w:space="0"/>
              <w:right w:val="single" w:color="auto" w:sz="4" w:space="0"/>
            </w:tcBorders>
            <w:vAlign w:val="center"/>
          </w:tcPr>
          <w:p w14:paraId="14536733">
            <w:pPr>
              <w:spacing w:after="240"/>
              <w:jc w:val="center"/>
              <w:rPr>
                <w:rFonts w:cstheme="minorHAnsi"/>
                <w:sz w:val="18"/>
                <w:szCs w:val="18"/>
              </w:rPr>
            </w:pPr>
            <w:r>
              <w:rPr>
                <w:rFonts w:cstheme="minorHAnsi"/>
                <w:sz w:val="18"/>
                <w:szCs w:val="18"/>
              </w:rPr>
              <w:t>inHg</w:t>
            </w:r>
          </w:p>
        </w:tc>
      </w:tr>
      <w:tr w14:paraId="3304E8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0" w:type="auto"/>
            <w:tcBorders>
              <w:top w:val="single" w:color="auto" w:sz="4" w:space="0"/>
              <w:left w:val="single" w:color="auto" w:sz="4" w:space="0"/>
              <w:bottom w:val="single" w:color="auto" w:sz="4" w:space="0"/>
            </w:tcBorders>
            <w:vAlign w:val="center"/>
          </w:tcPr>
          <w:p w14:paraId="5A244DB9">
            <w:pPr>
              <w:spacing w:after="240"/>
              <w:jc w:val="center"/>
              <w:rPr>
                <w:rFonts w:cstheme="minorHAnsi"/>
                <w:sz w:val="18"/>
                <w:szCs w:val="18"/>
              </w:rPr>
            </w:pPr>
            <w:r>
              <w:rPr>
                <w:rFonts w:cstheme="minorHAnsi"/>
                <w:sz w:val="18"/>
                <w:szCs w:val="18"/>
              </w:rPr>
              <w:t>1136</w:t>
            </w:r>
          </w:p>
        </w:tc>
        <w:tc>
          <w:tcPr>
            <w:tcW w:w="0" w:type="auto"/>
            <w:tcBorders>
              <w:top w:val="single" w:color="auto" w:sz="4" w:space="0"/>
              <w:bottom w:val="single" w:color="auto" w:sz="4" w:space="0"/>
              <w:right w:val="single" w:color="auto" w:sz="4" w:space="0"/>
            </w:tcBorders>
            <w:vAlign w:val="center"/>
          </w:tcPr>
          <w:p w14:paraId="3DC6A167">
            <w:pPr>
              <w:spacing w:after="240"/>
              <w:jc w:val="center"/>
              <w:rPr>
                <w:rFonts w:cstheme="minorHAnsi"/>
                <w:sz w:val="18"/>
                <w:szCs w:val="18"/>
              </w:rPr>
            </w:pPr>
            <w:r>
              <w:rPr>
                <w:rFonts w:cstheme="minorHAnsi"/>
                <w:sz w:val="18"/>
                <w:szCs w:val="18"/>
              </w:rPr>
              <w:t>hPa</w:t>
            </w:r>
          </w:p>
        </w:tc>
        <w:tc>
          <w:tcPr>
            <w:tcW w:w="0" w:type="auto"/>
            <w:tcBorders>
              <w:top w:val="single" w:color="auto" w:sz="4" w:space="0"/>
              <w:bottom w:val="single" w:color="auto" w:sz="4" w:space="0"/>
              <w:right w:val="single" w:color="auto" w:sz="4" w:space="0"/>
            </w:tcBorders>
            <w:vAlign w:val="center"/>
          </w:tcPr>
          <w:p w14:paraId="082AB52D">
            <w:pPr>
              <w:spacing w:after="240"/>
              <w:jc w:val="center"/>
              <w:rPr>
                <w:rFonts w:cstheme="minorHAnsi"/>
                <w:sz w:val="18"/>
                <w:szCs w:val="18"/>
              </w:rPr>
            </w:pPr>
            <w:r>
              <w:rPr>
                <w:rFonts w:cstheme="minorHAnsi"/>
                <w:sz w:val="18"/>
                <w:szCs w:val="18"/>
              </w:rPr>
              <w:t>1146</w:t>
            </w:r>
          </w:p>
        </w:tc>
        <w:tc>
          <w:tcPr>
            <w:tcW w:w="0" w:type="auto"/>
            <w:tcBorders>
              <w:top w:val="single" w:color="auto" w:sz="4" w:space="0"/>
              <w:bottom w:val="single" w:color="auto" w:sz="4" w:space="0"/>
              <w:right w:val="single" w:color="auto" w:sz="4" w:space="0"/>
            </w:tcBorders>
            <w:vAlign w:val="center"/>
          </w:tcPr>
          <w:p w14:paraId="69754122">
            <w:pPr>
              <w:spacing w:after="240"/>
              <w:jc w:val="center"/>
              <w:rPr>
                <w:rFonts w:cstheme="minorHAnsi"/>
                <w:sz w:val="18"/>
                <w:szCs w:val="18"/>
              </w:rPr>
            </w:pPr>
            <w:r>
              <w:rPr>
                <w:rFonts w:cstheme="minorHAnsi"/>
                <w:sz w:val="18"/>
                <w:szCs w:val="18"/>
              </w:rPr>
              <w:t>inH2O</w:t>
            </w:r>
          </w:p>
        </w:tc>
        <w:tc>
          <w:tcPr>
            <w:tcW w:w="0" w:type="auto"/>
            <w:tcBorders>
              <w:top w:val="single" w:color="auto" w:sz="4" w:space="0"/>
              <w:bottom w:val="single" w:color="auto" w:sz="4" w:space="0"/>
              <w:right w:val="single" w:color="auto" w:sz="4" w:space="0"/>
            </w:tcBorders>
            <w:vAlign w:val="center"/>
          </w:tcPr>
          <w:p w14:paraId="5250A19F">
            <w:pPr>
              <w:spacing w:after="240"/>
              <w:jc w:val="center"/>
              <w:rPr>
                <w:rFonts w:cstheme="minorHAnsi"/>
                <w:sz w:val="18"/>
                <w:szCs w:val="18"/>
              </w:rPr>
            </w:pPr>
            <w:r>
              <w:rPr>
                <w:rFonts w:cstheme="minorHAnsi"/>
                <w:sz w:val="18"/>
                <w:szCs w:val="18"/>
              </w:rPr>
              <w:t>1156</w:t>
            </w:r>
          </w:p>
        </w:tc>
        <w:tc>
          <w:tcPr>
            <w:tcW w:w="0" w:type="auto"/>
            <w:tcBorders>
              <w:top w:val="single" w:color="auto" w:sz="4" w:space="0"/>
              <w:bottom w:val="single" w:color="auto" w:sz="4" w:space="0"/>
              <w:right w:val="single" w:color="auto" w:sz="4" w:space="0"/>
            </w:tcBorders>
            <w:vAlign w:val="center"/>
          </w:tcPr>
          <w:p w14:paraId="7A553CA8">
            <w:pPr>
              <w:spacing w:after="240"/>
              <w:jc w:val="center"/>
              <w:rPr>
                <w:rFonts w:cstheme="minorHAnsi"/>
                <w:sz w:val="18"/>
                <w:szCs w:val="18"/>
              </w:rPr>
            </w:pPr>
            <w:r>
              <w:rPr>
                <w:rFonts w:cstheme="minorHAnsi"/>
                <w:sz w:val="18"/>
                <w:szCs w:val="18"/>
              </w:rPr>
              <w:t>inHg(0</w:t>
            </w:r>
            <w:r>
              <w:rPr>
                <w:rFonts w:ascii="Cambria Math" w:hAnsi="Cambria Math" w:cs="Cambria Math"/>
                <w:sz w:val="18"/>
                <w:szCs w:val="18"/>
              </w:rPr>
              <w:t>℃</w:t>
            </w:r>
            <w:r>
              <w:rPr>
                <w:rFonts w:cstheme="minorHAnsi"/>
                <w:sz w:val="18"/>
                <w:szCs w:val="18"/>
              </w:rPr>
              <w:t>)</w:t>
            </w:r>
          </w:p>
        </w:tc>
      </w:tr>
      <w:tr w14:paraId="199F94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0" w:type="auto"/>
            <w:tcBorders>
              <w:top w:val="single" w:color="auto" w:sz="4" w:space="0"/>
              <w:left w:val="single" w:color="auto" w:sz="4" w:space="0"/>
              <w:bottom w:val="single" w:color="auto" w:sz="4" w:space="0"/>
            </w:tcBorders>
            <w:vAlign w:val="center"/>
          </w:tcPr>
          <w:p w14:paraId="5E566183">
            <w:pPr>
              <w:spacing w:after="240"/>
              <w:jc w:val="center"/>
              <w:rPr>
                <w:rFonts w:cstheme="minorHAnsi"/>
                <w:sz w:val="18"/>
                <w:szCs w:val="18"/>
              </w:rPr>
            </w:pPr>
            <w:r>
              <w:rPr>
                <w:rFonts w:cstheme="minorHAnsi"/>
                <w:sz w:val="18"/>
                <w:szCs w:val="18"/>
              </w:rPr>
              <w:t>1137</w:t>
            </w:r>
          </w:p>
        </w:tc>
        <w:tc>
          <w:tcPr>
            <w:tcW w:w="0" w:type="auto"/>
            <w:tcBorders>
              <w:top w:val="single" w:color="auto" w:sz="4" w:space="0"/>
              <w:bottom w:val="single" w:color="auto" w:sz="4" w:space="0"/>
              <w:right w:val="single" w:color="auto" w:sz="4" w:space="0"/>
            </w:tcBorders>
            <w:vAlign w:val="center"/>
          </w:tcPr>
          <w:p w14:paraId="32E7C159">
            <w:pPr>
              <w:spacing w:after="240"/>
              <w:jc w:val="center"/>
              <w:rPr>
                <w:rFonts w:cstheme="minorHAnsi"/>
                <w:sz w:val="18"/>
                <w:szCs w:val="18"/>
              </w:rPr>
            </w:pPr>
            <w:r>
              <w:rPr>
                <w:rFonts w:cstheme="minorHAnsi"/>
                <w:sz w:val="18"/>
                <w:szCs w:val="18"/>
              </w:rPr>
              <w:t>bar</w:t>
            </w:r>
          </w:p>
        </w:tc>
        <w:tc>
          <w:tcPr>
            <w:tcW w:w="0" w:type="auto"/>
            <w:tcBorders>
              <w:top w:val="single" w:color="auto" w:sz="4" w:space="0"/>
              <w:bottom w:val="single" w:color="auto" w:sz="4" w:space="0"/>
              <w:right w:val="single" w:color="auto" w:sz="4" w:space="0"/>
            </w:tcBorders>
            <w:vAlign w:val="center"/>
          </w:tcPr>
          <w:p w14:paraId="7FF1363D">
            <w:pPr>
              <w:spacing w:after="240"/>
              <w:jc w:val="center"/>
              <w:rPr>
                <w:rFonts w:cstheme="minorHAnsi"/>
                <w:sz w:val="18"/>
                <w:szCs w:val="18"/>
              </w:rPr>
            </w:pPr>
            <w:r>
              <w:rPr>
                <w:rFonts w:cstheme="minorHAnsi"/>
                <w:sz w:val="18"/>
                <w:szCs w:val="18"/>
              </w:rPr>
              <w:t>1147</w:t>
            </w:r>
          </w:p>
        </w:tc>
        <w:tc>
          <w:tcPr>
            <w:tcW w:w="0" w:type="auto"/>
            <w:tcBorders>
              <w:top w:val="single" w:color="auto" w:sz="4" w:space="0"/>
              <w:bottom w:val="single" w:color="auto" w:sz="4" w:space="0"/>
              <w:right w:val="single" w:color="auto" w:sz="4" w:space="0"/>
            </w:tcBorders>
            <w:vAlign w:val="center"/>
          </w:tcPr>
          <w:p w14:paraId="63BACA3A">
            <w:pPr>
              <w:spacing w:after="240"/>
              <w:jc w:val="center"/>
              <w:rPr>
                <w:rFonts w:cstheme="minorHAnsi"/>
                <w:sz w:val="18"/>
                <w:szCs w:val="18"/>
              </w:rPr>
            </w:pPr>
            <w:r>
              <w:rPr>
                <w:rFonts w:cstheme="minorHAnsi"/>
                <w:sz w:val="18"/>
                <w:szCs w:val="18"/>
              </w:rPr>
              <w:t>inH2O(4</w:t>
            </w:r>
            <w:r>
              <w:rPr>
                <w:rFonts w:ascii="Cambria Math" w:hAnsi="Cambria Math" w:cs="Cambria Math"/>
                <w:sz w:val="18"/>
                <w:szCs w:val="18"/>
              </w:rPr>
              <w:t>℃</w:t>
            </w:r>
            <w:r>
              <w:rPr>
                <w:rFonts w:cstheme="minorHAnsi"/>
                <w:sz w:val="18"/>
                <w:szCs w:val="18"/>
              </w:rPr>
              <w:t>)</w:t>
            </w:r>
          </w:p>
        </w:tc>
        <w:tc>
          <w:tcPr>
            <w:tcW w:w="0" w:type="auto"/>
            <w:tcBorders>
              <w:top w:val="single" w:color="auto" w:sz="4" w:space="0"/>
              <w:bottom w:val="single" w:color="auto" w:sz="4" w:space="0"/>
              <w:right w:val="single" w:color="auto" w:sz="4" w:space="0"/>
            </w:tcBorders>
            <w:vAlign w:val="center"/>
          </w:tcPr>
          <w:p w14:paraId="0FED0DE2">
            <w:pPr>
              <w:spacing w:after="240"/>
              <w:jc w:val="center"/>
              <w:rPr>
                <w:rFonts w:cstheme="minorHAnsi"/>
                <w:sz w:val="18"/>
                <w:szCs w:val="18"/>
              </w:rPr>
            </w:pPr>
            <w:r>
              <w:rPr>
                <w:rFonts w:cstheme="minorHAnsi"/>
                <w:sz w:val="18"/>
                <w:szCs w:val="18"/>
              </w:rPr>
              <w:t>1157</w:t>
            </w:r>
          </w:p>
        </w:tc>
        <w:tc>
          <w:tcPr>
            <w:tcW w:w="0" w:type="auto"/>
            <w:tcBorders>
              <w:top w:val="single" w:color="auto" w:sz="4" w:space="0"/>
              <w:bottom w:val="single" w:color="auto" w:sz="4" w:space="0"/>
              <w:right w:val="single" w:color="auto" w:sz="4" w:space="0"/>
            </w:tcBorders>
            <w:vAlign w:val="center"/>
          </w:tcPr>
          <w:p w14:paraId="143A3F6A">
            <w:pPr>
              <w:spacing w:after="240"/>
              <w:jc w:val="center"/>
              <w:rPr>
                <w:rFonts w:cstheme="minorHAnsi"/>
                <w:sz w:val="18"/>
                <w:szCs w:val="18"/>
              </w:rPr>
            </w:pPr>
            <w:r>
              <w:rPr>
                <w:rFonts w:cstheme="minorHAnsi"/>
                <w:sz w:val="18"/>
                <w:szCs w:val="18"/>
              </w:rPr>
              <w:t>mmHg</w:t>
            </w:r>
          </w:p>
        </w:tc>
      </w:tr>
      <w:tr w14:paraId="0102CB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0" w:type="auto"/>
            <w:tcBorders>
              <w:top w:val="single" w:color="auto" w:sz="4" w:space="0"/>
              <w:left w:val="single" w:color="auto" w:sz="4" w:space="0"/>
              <w:bottom w:val="single" w:color="auto" w:sz="4" w:space="0"/>
            </w:tcBorders>
            <w:vAlign w:val="center"/>
          </w:tcPr>
          <w:p w14:paraId="1A18BD5F">
            <w:pPr>
              <w:spacing w:after="240"/>
              <w:jc w:val="center"/>
              <w:rPr>
                <w:rFonts w:cstheme="minorHAnsi"/>
                <w:sz w:val="18"/>
                <w:szCs w:val="18"/>
              </w:rPr>
            </w:pPr>
            <w:r>
              <w:rPr>
                <w:rFonts w:cstheme="minorHAnsi"/>
                <w:sz w:val="18"/>
                <w:szCs w:val="18"/>
              </w:rPr>
              <w:t>1138</w:t>
            </w:r>
          </w:p>
        </w:tc>
        <w:tc>
          <w:tcPr>
            <w:tcW w:w="0" w:type="auto"/>
            <w:tcBorders>
              <w:top w:val="single" w:color="auto" w:sz="4" w:space="0"/>
              <w:bottom w:val="single" w:color="auto" w:sz="4" w:space="0"/>
              <w:right w:val="single" w:color="auto" w:sz="4" w:space="0"/>
            </w:tcBorders>
            <w:vAlign w:val="center"/>
          </w:tcPr>
          <w:p w14:paraId="4225A247">
            <w:pPr>
              <w:spacing w:after="240"/>
              <w:jc w:val="center"/>
              <w:rPr>
                <w:rFonts w:cstheme="minorHAnsi"/>
                <w:sz w:val="18"/>
                <w:szCs w:val="18"/>
              </w:rPr>
            </w:pPr>
            <w:r>
              <w:rPr>
                <w:rFonts w:cstheme="minorHAnsi"/>
                <w:sz w:val="18"/>
                <w:szCs w:val="18"/>
              </w:rPr>
              <w:t>mbar</w:t>
            </w:r>
          </w:p>
        </w:tc>
        <w:tc>
          <w:tcPr>
            <w:tcW w:w="0" w:type="auto"/>
            <w:tcBorders>
              <w:top w:val="single" w:color="auto" w:sz="4" w:space="0"/>
              <w:bottom w:val="single" w:color="auto" w:sz="4" w:space="0"/>
              <w:right w:val="single" w:color="auto" w:sz="4" w:space="0"/>
            </w:tcBorders>
            <w:vAlign w:val="center"/>
          </w:tcPr>
          <w:p w14:paraId="38CF638C">
            <w:pPr>
              <w:spacing w:after="240"/>
              <w:jc w:val="center"/>
              <w:rPr>
                <w:rFonts w:cstheme="minorHAnsi"/>
                <w:sz w:val="18"/>
                <w:szCs w:val="18"/>
              </w:rPr>
            </w:pPr>
            <w:r>
              <w:rPr>
                <w:rFonts w:cstheme="minorHAnsi"/>
                <w:sz w:val="18"/>
                <w:szCs w:val="18"/>
              </w:rPr>
              <w:t>1148</w:t>
            </w:r>
          </w:p>
        </w:tc>
        <w:tc>
          <w:tcPr>
            <w:tcW w:w="0" w:type="auto"/>
            <w:tcBorders>
              <w:top w:val="single" w:color="auto" w:sz="4" w:space="0"/>
              <w:bottom w:val="single" w:color="auto" w:sz="4" w:space="0"/>
              <w:right w:val="single" w:color="auto" w:sz="4" w:space="0"/>
            </w:tcBorders>
            <w:vAlign w:val="center"/>
          </w:tcPr>
          <w:p w14:paraId="072ABEF7">
            <w:pPr>
              <w:spacing w:after="240"/>
              <w:jc w:val="center"/>
              <w:rPr>
                <w:rFonts w:cstheme="minorHAnsi"/>
                <w:sz w:val="18"/>
                <w:szCs w:val="18"/>
              </w:rPr>
            </w:pPr>
            <w:r>
              <w:rPr>
                <w:rFonts w:cstheme="minorHAnsi"/>
                <w:sz w:val="18"/>
                <w:szCs w:val="18"/>
              </w:rPr>
              <w:t>inH2O(68</w:t>
            </w:r>
            <w:r>
              <w:rPr>
                <w:rFonts w:ascii="Cambria Math" w:hAnsi="Cambria Math" w:cs="Cambria Math"/>
                <w:sz w:val="18"/>
                <w:szCs w:val="18"/>
              </w:rPr>
              <w:t>℃</w:t>
            </w:r>
            <w:r>
              <w:rPr>
                <w:rFonts w:cstheme="minorHAnsi"/>
                <w:sz w:val="18"/>
                <w:szCs w:val="18"/>
              </w:rPr>
              <w:t>)</w:t>
            </w:r>
          </w:p>
        </w:tc>
        <w:tc>
          <w:tcPr>
            <w:tcW w:w="0" w:type="auto"/>
            <w:tcBorders>
              <w:top w:val="single" w:color="auto" w:sz="4" w:space="0"/>
              <w:bottom w:val="single" w:color="auto" w:sz="4" w:space="0"/>
              <w:right w:val="single" w:color="auto" w:sz="4" w:space="0"/>
            </w:tcBorders>
            <w:vAlign w:val="center"/>
          </w:tcPr>
          <w:p w14:paraId="0DECB9B0">
            <w:pPr>
              <w:spacing w:after="240"/>
              <w:jc w:val="center"/>
              <w:rPr>
                <w:rFonts w:cstheme="minorHAnsi"/>
                <w:sz w:val="18"/>
                <w:szCs w:val="18"/>
              </w:rPr>
            </w:pPr>
            <w:r>
              <w:rPr>
                <w:rFonts w:cstheme="minorHAnsi"/>
                <w:sz w:val="18"/>
                <w:szCs w:val="18"/>
              </w:rPr>
              <w:t>1158</w:t>
            </w:r>
          </w:p>
        </w:tc>
        <w:tc>
          <w:tcPr>
            <w:tcW w:w="0" w:type="auto"/>
            <w:tcBorders>
              <w:top w:val="single" w:color="auto" w:sz="4" w:space="0"/>
              <w:bottom w:val="single" w:color="auto" w:sz="4" w:space="0"/>
              <w:right w:val="single" w:color="auto" w:sz="4" w:space="0"/>
            </w:tcBorders>
            <w:vAlign w:val="center"/>
          </w:tcPr>
          <w:p w14:paraId="4D9C5201">
            <w:pPr>
              <w:spacing w:after="240"/>
              <w:jc w:val="center"/>
              <w:rPr>
                <w:rFonts w:cstheme="minorHAnsi"/>
                <w:sz w:val="18"/>
                <w:szCs w:val="18"/>
              </w:rPr>
            </w:pPr>
            <w:r>
              <w:rPr>
                <w:rFonts w:cstheme="minorHAnsi"/>
                <w:sz w:val="18"/>
                <w:szCs w:val="18"/>
              </w:rPr>
              <w:t>mmHg(0</w:t>
            </w:r>
            <w:r>
              <w:rPr>
                <w:rFonts w:ascii="Cambria Math" w:hAnsi="Cambria Math" w:cs="Cambria Math"/>
                <w:sz w:val="18"/>
                <w:szCs w:val="18"/>
              </w:rPr>
              <w:t>℃</w:t>
            </w:r>
            <w:r>
              <w:rPr>
                <w:rFonts w:cstheme="minorHAnsi"/>
                <w:sz w:val="18"/>
                <w:szCs w:val="18"/>
              </w:rPr>
              <w:t>)</w:t>
            </w:r>
          </w:p>
        </w:tc>
      </w:tr>
      <w:tr w14:paraId="41DB5C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34A9C1A">
            <w:pPr>
              <w:spacing w:after="240"/>
              <w:jc w:val="center"/>
              <w:rPr>
                <w:rFonts w:cstheme="minorHAnsi"/>
                <w:sz w:val="18"/>
                <w:szCs w:val="18"/>
              </w:rPr>
            </w:pPr>
            <w:r>
              <w:rPr>
                <w:rFonts w:cstheme="minorHAnsi"/>
                <w:sz w:val="18"/>
                <w:szCs w:val="18"/>
              </w:rPr>
              <w:t>1139</w:t>
            </w:r>
          </w:p>
        </w:tc>
        <w:tc>
          <w:tcPr>
            <w:tcW w:w="0" w:type="auto"/>
            <w:tcBorders>
              <w:top w:val="single" w:color="auto" w:sz="4" w:space="0"/>
              <w:left w:val="single" w:color="auto" w:sz="4" w:space="0"/>
              <w:bottom w:val="single" w:color="auto" w:sz="4" w:space="0"/>
              <w:right w:val="single" w:color="auto" w:sz="4" w:space="0"/>
            </w:tcBorders>
            <w:vAlign w:val="center"/>
          </w:tcPr>
          <w:p w14:paraId="40538FA0">
            <w:pPr>
              <w:spacing w:after="240"/>
              <w:jc w:val="center"/>
              <w:rPr>
                <w:rFonts w:cstheme="minorHAnsi"/>
                <w:sz w:val="18"/>
                <w:szCs w:val="18"/>
              </w:rPr>
            </w:pPr>
            <w:r>
              <w:rPr>
                <w:rFonts w:cstheme="minorHAnsi"/>
                <w:sz w:val="18"/>
                <w:szCs w:val="18"/>
              </w:rPr>
              <w:t>torr</w:t>
            </w:r>
          </w:p>
        </w:tc>
        <w:tc>
          <w:tcPr>
            <w:tcW w:w="0" w:type="auto"/>
            <w:tcBorders>
              <w:top w:val="single" w:color="auto" w:sz="4" w:space="0"/>
              <w:left w:val="single" w:color="auto" w:sz="4" w:space="0"/>
              <w:bottom w:val="single" w:color="auto" w:sz="4" w:space="0"/>
              <w:right w:val="single" w:color="auto" w:sz="4" w:space="0"/>
            </w:tcBorders>
            <w:vAlign w:val="center"/>
          </w:tcPr>
          <w:p w14:paraId="60B9CDEE">
            <w:pPr>
              <w:spacing w:after="240"/>
              <w:jc w:val="center"/>
              <w:rPr>
                <w:rFonts w:cstheme="minorHAnsi"/>
                <w:sz w:val="18"/>
                <w:szCs w:val="18"/>
              </w:rPr>
            </w:pPr>
            <w:r>
              <w:rPr>
                <w:rFonts w:cstheme="minorHAnsi"/>
                <w:sz w:val="18"/>
                <w:szCs w:val="18"/>
              </w:rPr>
              <w:t>1149</w:t>
            </w:r>
          </w:p>
        </w:tc>
        <w:tc>
          <w:tcPr>
            <w:tcW w:w="0" w:type="auto"/>
            <w:tcBorders>
              <w:top w:val="single" w:color="auto" w:sz="4" w:space="0"/>
              <w:left w:val="single" w:color="auto" w:sz="4" w:space="0"/>
              <w:bottom w:val="single" w:color="auto" w:sz="4" w:space="0"/>
              <w:right w:val="single" w:color="auto" w:sz="4" w:space="0"/>
            </w:tcBorders>
            <w:vAlign w:val="center"/>
          </w:tcPr>
          <w:p w14:paraId="531E1760">
            <w:pPr>
              <w:spacing w:after="240"/>
              <w:jc w:val="center"/>
              <w:rPr>
                <w:rFonts w:cstheme="minorHAnsi"/>
                <w:sz w:val="18"/>
                <w:szCs w:val="18"/>
              </w:rPr>
            </w:pPr>
            <w:r>
              <w:rPr>
                <w:rFonts w:cstheme="minorHAnsi"/>
                <w:sz w:val="18"/>
                <w:szCs w:val="18"/>
              </w:rPr>
              <w:t>mmH2O</w:t>
            </w:r>
          </w:p>
        </w:tc>
        <w:tc>
          <w:tcPr>
            <w:tcW w:w="0" w:type="auto"/>
            <w:tcBorders>
              <w:top w:val="single" w:color="auto" w:sz="4" w:space="0"/>
              <w:left w:val="single" w:color="auto" w:sz="4" w:space="0"/>
              <w:bottom w:val="single" w:color="auto" w:sz="4" w:space="0"/>
              <w:right w:val="single" w:color="auto" w:sz="4" w:space="0"/>
            </w:tcBorders>
            <w:vAlign w:val="center"/>
          </w:tcPr>
          <w:p w14:paraId="447397A4">
            <w:pPr>
              <w:spacing w:after="240"/>
              <w:jc w:val="center"/>
              <w:rPr>
                <w:rFonts w:cstheme="minorHAnsi"/>
                <w:sz w:val="18"/>
                <w:szCs w:val="18"/>
              </w:rPr>
            </w:pPr>
          </w:p>
        </w:tc>
        <w:tc>
          <w:tcPr>
            <w:tcW w:w="0" w:type="auto"/>
            <w:tcBorders>
              <w:top w:val="single" w:color="auto" w:sz="4" w:space="0"/>
              <w:left w:val="single" w:color="auto" w:sz="4" w:space="0"/>
              <w:bottom w:val="single" w:color="auto" w:sz="4" w:space="0"/>
              <w:right w:val="single" w:color="auto" w:sz="4" w:space="0"/>
            </w:tcBorders>
            <w:vAlign w:val="center"/>
          </w:tcPr>
          <w:p w14:paraId="218D3949">
            <w:pPr>
              <w:spacing w:after="240"/>
              <w:jc w:val="center"/>
              <w:rPr>
                <w:rFonts w:cstheme="minorHAnsi"/>
                <w:sz w:val="18"/>
                <w:szCs w:val="18"/>
              </w:rPr>
            </w:pPr>
          </w:p>
        </w:tc>
      </w:tr>
    </w:tbl>
    <w:p w14:paraId="177ED9F9">
      <w:pPr>
        <w:pStyle w:val="4"/>
        <w:spacing w:before="120" w:beforeLines="50" w:after="120" w:afterLines="50"/>
        <w:rPr>
          <w:rFonts w:asciiTheme="minorHAnsi" w:hAnsiTheme="minorHAnsi" w:cstheme="minorHAnsi"/>
        </w:rPr>
      </w:pPr>
      <w:bookmarkStart w:id="81" w:name="_Toc199429790"/>
      <w:r>
        <w:rPr>
          <w:rFonts w:asciiTheme="minorHAnsi" w:hAnsiTheme="minorHAnsi" w:cstheme="minorHAnsi"/>
        </w:rPr>
        <w:t>Steps for setting the decimal point - Mode 14</w:t>
      </w:r>
      <w:bookmarkEnd w:id="81"/>
    </w:p>
    <w:p w14:paraId="787CF4BA">
      <w:pPr>
        <w:pStyle w:val="40"/>
        <w:spacing w:after="240" w:line="240" w:lineRule="auto"/>
        <w:ind w:left="0"/>
        <w:rPr>
          <w:rFonts w:cstheme="minorHAnsi"/>
          <w:sz w:val="21"/>
          <w:szCs w:val="21"/>
        </w:rPr>
      </w:pPr>
      <w:r>
        <w:rPr>
          <w:rFonts w:cstheme="minorHAnsi"/>
          <w:sz w:val="21"/>
          <w:szCs w:val="21"/>
        </w:rPr>
        <w:t>Measurements can be displayed with up to 5 decimal places of precision.</w:t>
      </w:r>
    </w:p>
    <w:p w14:paraId="6CC58A84">
      <w:pPr>
        <w:pStyle w:val="40"/>
        <w:spacing w:after="240" w:line="240" w:lineRule="auto"/>
        <w:ind w:left="0"/>
        <w:rPr>
          <w:rFonts w:cstheme="minorHAnsi"/>
          <w:sz w:val="21"/>
          <w:szCs w:val="21"/>
        </w:rPr>
      </w:pPr>
      <w:r>
        <w:rPr>
          <w:rFonts w:cstheme="minorHAnsi"/>
          <w:sz w:val="21"/>
          <w:szCs w:val="21"/>
        </w:rPr>
        <w:t>Move the decimal point position as follows:</w:t>
      </w:r>
    </w:p>
    <w:p w14:paraId="715FC909">
      <w:pPr>
        <w:pStyle w:val="40"/>
        <w:spacing w:after="240" w:line="240" w:lineRule="auto"/>
        <w:ind w:left="0"/>
        <w:rPr>
          <w:rFonts w:cstheme="minorHAnsi"/>
          <w:sz w:val="21"/>
          <w:szCs w:val="21"/>
        </w:rPr>
      </w:pPr>
      <w:r>
        <w:rPr>
          <w:rFonts w:cstheme="minorHAnsi"/>
          <w:sz w:val="21"/>
          <w:szCs w:val="21"/>
        </w:rPr>
        <w:t>− Set mode 14. The format of the current position of the decimal point appears in the measurement value display area;</w:t>
      </w:r>
    </w:p>
    <w:p w14:paraId="02B04B72">
      <w:pPr>
        <w:pStyle w:val="40"/>
        <w:spacing w:after="240" w:line="240" w:lineRule="auto"/>
        <w:ind w:left="0"/>
        <w:rPr>
          <w:rFonts w:cstheme="minorHAnsi"/>
          <w:sz w:val="21"/>
          <w:szCs w:val="21"/>
        </w:rPr>
      </w:pPr>
      <w:r>
        <w:rPr>
          <w:rFonts w:cstheme="minorHAnsi"/>
          <w:sz w:val="21"/>
          <w:szCs w:val="21"/>
        </w:rPr>
        <w:t>− Use [↑] and [↓] to select the desired display format;</w:t>
      </w:r>
    </w:p>
    <w:p w14:paraId="404AFA8E">
      <w:pPr>
        <w:pStyle w:val="40"/>
        <w:spacing w:after="240" w:line="240" w:lineRule="auto"/>
        <w:ind w:left="0"/>
        <w:rPr>
          <w:rFonts w:cstheme="minorHAnsi"/>
          <w:sz w:val="21"/>
          <w:szCs w:val="21"/>
        </w:rPr>
      </w:pPr>
      <w:r>
        <w:rPr>
          <w:rFonts w:cstheme="minorHAnsi"/>
          <w:sz w:val="21"/>
          <w:szCs w:val="21"/>
        </w:rPr>
        <w:t>8.88888 88.8888 888.888 8888.88 88888.8 888888</w:t>
      </w:r>
    </w:p>
    <w:p w14:paraId="177ADE86">
      <w:pPr>
        <w:pStyle w:val="40"/>
        <w:spacing w:after="240" w:line="240" w:lineRule="auto"/>
        <w:ind w:left="0"/>
        <w:rPr>
          <w:rFonts w:cstheme="minorHAnsi"/>
          <w:sz w:val="21"/>
          <w:szCs w:val="21"/>
        </w:rPr>
      </w:pPr>
      <w:r>
        <w:rPr>
          <w:rFonts w:cstheme="minorHAnsi"/>
          <w:sz w:val="21"/>
          <w:szCs w:val="21"/>
        </w:rPr>
        <w:t>− Use [M] for mode switching</w:t>
      </w:r>
    </w:p>
    <w:p w14:paraId="5FB7895A">
      <w:pPr>
        <w:pStyle w:val="4"/>
        <w:spacing w:before="120" w:beforeLines="50" w:after="120" w:afterLines="50"/>
        <w:rPr>
          <w:rFonts w:asciiTheme="minorHAnsi" w:hAnsiTheme="minorHAnsi" w:cstheme="minorHAnsi"/>
        </w:rPr>
      </w:pPr>
      <w:bookmarkStart w:id="82" w:name="_Toc199429791"/>
      <w:r>
        <w:rPr>
          <w:rFonts w:asciiTheme="minorHAnsi" w:hAnsiTheme="minorHAnsi" w:cstheme="minorHAnsi"/>
        </w:rPr>
        <w:t>Operation steps for setting the main variable zero point - Mode 15</w:t>
      </w:r>
      <w:bookmarkEnd w:id="82"/>
    </w:p>
    <w:p w14:paraId="1F1D3743">
      <w:pPr>
        <w:pStyle w:val="40"/>
        <w:spacing w:after="240" w:line="240" w:lineRule="auto"/>
        <w:ind w:left="0"/>
        <w:rPr>
          <w:rFonts w:cstheme="minorHAnsi"/>
          <w:sz w:val="21"/>
          <w:szCs w:val="21"/>
        </w:rPr>
      </w:pPr>
      <w:r>
        <w:rPr>
          <w:rFonts w:cstheme="minorHAnsi"/>
          <w:sz w:val="21"/>
          <w:szCs w:val="21"/>
        </w:rPr>
        <w:t>When the transmitter is installed and ready for operation, external influences such as the installation location, ambient temperature or allowable pressure associated with the installation (such as a water column in the pressure line leading to the transmitter) may cause the initial The zero point moves.</w:t>
      </w:r>
    </w:p>
    <w:p w14:paraId="3EDDB897">
      <w:pPr>
        <w:pStyle w:val="40"/>
        <w:spacing w:after="240" w:line="240" w:lineRule="auto"/>
        <w:ind w:left="0"/>
        <w:rPr>
          <w:rFonts w:cstheme="minorHAnsi"/>
          <w:sz w:val="21"/>
          <w:szCs w:val="21"/>
        </w:rPr>
      </w:pPr>
      <w:r>
        <w:rPr>
          <w:rFonts w:cstheme="minorHAnsi"/>
          <w:sz w:val="21"/>
          <w:szCs w:val="21"/>
        </w:rPr>
        <w:t>Zero calibration can be performed as follows:</w:t>
      </w:r>
    </w:p>
    <w:p w14:paraId="5AFF5BFC">
      <w:pPr>
        <w:pStyle w:val="40"/>
        <w:spacing w:after="240" w:line="240" w:lineRule="auto"/>
        <w:ind w:left="0"/>
        <w:rPr>
          <w:rFonts w:cstheme="minorHAnsi"/>
          <w:sz w:val="21"/>
          <w:szCs w:val="21"/>
        </w:rPr>
      </w:pPr>
      <w:r>
        <w:rPr>
          <w:rFonts w:cstheme="minorHAnsi"/>
          <w:sz w:val="21"/>
          <w:szCs w:val="21"/>
        </w:rPr>
        <w:t>− create a pressure scale;</w:t>
      </w:r>
    </w:p>
    <w:p w14:paraId="1178B84D">
      <w:pPr>
        <w:pStyle w:val="40"/>
        <w:spacing w:after="240" w:line="240" w:lineRule="auto"/>
        <w:ind w:left="0"/>
        <w:rPr>
          <w:rFonts w:cstheme="minorHAnsi"/>
          <w:sz w:val="21"/>
          <w:szCs w:val="21"/>
        </w:rPr>
      </w:pPr>
      <w:r>
        <w:rPr>
          <w:rFonts w:cstheme="minorHAnsi"/>
          <w:sz w:val="21"/>
          <w:szCs w:val="21"/>
        </w:rPr>
        <w:t>− set mode 15;</w:t>
      </w:r>
    </w:p>
    <w:p w14:paraId="5F432F13">
      <w:pPr>
        <w:pStyle w:val="40"/>
        <w:spacing w:after="240" w:line="240" w:lineRule="auto"/>
        <w:ind w:left="0"/>
        <w:rPr>
          <w:rFonts w:cstheme="minorHAnsi"/>
          <w:sz w:val="21"/>
          <w:szCs w:val="21"/>
        </w:rPr>
      </w:pPr>
      <w:r>
        <w:rPr>
          <w:rFonts w:cstheme="minorHAnsi"/>
          <w:sz w:val="21"/>
          <w:szCs w:val="21"/>
        </w:rPr>
        <w:t>− Press [Enter] to set, if the adjustment is successful, it will display “OK”, if it is unsuccessful, it will display “Err”;</w:t>
      </w:r>
    </w:p>
    <w:p w14:paraId="2F71C239">
      <w:pPr>
        <w:pStyle w:val="40"/>
        <w:spacing w:after="240" w:line="240" w:lineRule="auto"/>
        <w:ind w:left="0"/>
        <w:rPr>
          <w:rFonts w:cstheme="minorHAnsi"/>
          <w:sz w:val="21"/>
          <w:szCs w:val="21"/>
        </w:rPr>
      </w:pPr>
      <w:r>
        <w:rPr>
          <w:rFonts w:cstheme="minorHAnsi"/>
          <w:sz w:val="21"/>
          <w:szCs w:val="21"/>
        </w:rPr>
        <w:t>− After successful calibration, return to measurement value display mode immediately.</w:t>
      </w:r>
    </w:p>
    <w:p w14:paraId="3A34C1C6">
      <w:pPr>
        <w:pStyle w:val="40"/>
        <w:spacing w:after="240" w:line="240" w:lineRule="auto"/>
        <w:ind w:left="0"/>
        <w:rPr>
          <w:rFonts w:cstheme="minorHAnsi"/>
          <w:sz w:val="21"/>
          <w:szCs w:val="21"/>
        </w:rPr>
      </w:pPr>
      <w:r>
        <w:rPr>
          <w:rFonts w:cstheme="minorHAnsi"/>
          <w:sz w:val="21"/>
          <w:szCs w:val="21"/>
        </w:rPr>
        <w:t>The value 0 appears in the display area.</w:t>
      </w:r>
    </w:p>
    <w:p w14:paraId="14FAA432">
      <w:pPr>
        <w:pStyle w:val="4"/>
        <w:spacing w:before="120" w:beforeLines="50" w:after="120" w:afterLines="50"/>
        <w:rPr>
          <w:rFonts w:asciiTheme="minorHAnsi" w:hAnsiTheme="minorHAnsi" w:cstheme="minorHAnsi"/>
        </w:rPr>
      </w:pPr>
      <w:bookmarkStart w:id="83" w:name="_Toc199429792"/>
      <w:r>
        <w:rPr>
          <w:rFonts w:asciiTheme="minorHAnsi" w:hAnsiTheme="minorHAnsi" w:cstheme="minorHAnsi"/>
        </w:rPr>
        <w:t>Operation steps for setting the lower limit of the range - Mode 16</w:t>
      </w:r>
      <w:bookmarkEnd w:id="83"/>
    </w:p>
    <w:p w14:paraId="6E79CEC7">
      <w:pPr>
        <w:pStyle w:val="40"/>
        <w:spacing w:after="240" w:line="240" w:lineRule="auto"/>
        <w:ind w:left="0"/>
        <w:rPr>
          <w:rFonts w:cstheme="minorHAnsi"/>
          <w:sz w:val="21"/>
          <w:szCs w:val="21"/>
        </w:rPr>
      </w:pPr>
      <w:r>
        <w:rPr>
          <w:rFonts w:cstheme="minorHAnsi"/>
          <w:sz w:val="21"/>
          <w:szCs w:val="21"/>
        </w:rPr>
        <w:t>The slope of the characteristic curve can be changed in this mode. The characteristic curve is rotated around the high set point. This function replaces zero adjustment (mode 08).</w:t>
      </w:r>
    </w:p>
    <w:p w14:paraId="51FEA679">
      <w:pPr>
        <w:pStyle w:val="40"/>
        <w:spacing w:after="240" w:line="240" w:lineRule="auto"/>
        <w:ind w:left="0"/>
        <w:rPr>
          <w:rFonts w:cstheme="minorHAnsi"/>
          <w:sz w:val="21"/>
          <w:szCs w:val="21"/>
        </w:rPr>
      </w:pPr>
      <w:r>
        <w:rPr>
          <w:rFonts w:cstheme="minorHAnsi"/>
          <w:sz w:val="21"/>
          <w:szCs w:val="21"/>
        </w:rPr>
        <w:t>Perform the adjustment of the lower limit of the range as follows:</w:t>
      </w:r>
    </w:p>
    <w:p w14:paraId="3145454D">
      <w:pPr>
        <w:pStyle w:val="40"/>
        <w:spacing w:after="240" w:line="240" w:lineRule="auto"/>
        <w:ind w:left="0"/>
        <w:rPr>
          <w:rFonts w:cstheme="minorHAnsi"/>
          <w:sz w:val="21"/>
          <w:szCs w:val="21"/>
        </w:rPr>
      </w:pPr>
      <w:r>
        <w:rPr>
          <w:rFonts w:cstheme="minorHAnsi"/>
          <w:sz w:val="21"/>
          <w:szCs w:val="21"/>
        </w:rPr>
        <w:t>− Set mode 16. Displays the last adjusted process value and its associated units;</w:t>
      </w:r>
    </w:p>
    <w:p w14:paraId="4980708A">
      <w:pPr>
        <w:pStyle w:val="40"/>
        <w:spacing w:after="240" w:line="240" w:lineRule="auto"/>
        <w:ind w:left="0"/>
        <w:rPr>
          <w:rFonts w:cstheme="minorHAnsi"/>
          <w:sz w:val="21"/>
          <w:szCs w:val="21"/>
        </w:rPr>
      </w:pPr>
      <w:r>
        <w:rPr>
          <w:rFonts w:cstheme="minorHAnsi"/>
          <w:sz w:val="21"/>
          <w:szCs w:val="21"/>
        </w:rPr>
        <w:t>− If you only view this information, you can press the [M] key to switch the mode, otherwise you will apply the reference pressure;</w:t>
      </w:r>
    </w:p>
    <w:p w14:paraId="5F6A489B">
      <w:pPr>
        <w:pStyle w:val="40"/>
        <w:spacing w:after="240" w:line="240" w:lineRule="auto"/>
        <w:ind w:left="0"/>
        <w:rPr>
          <w:rFonts w:cstheme="minorHAnsi"/>
          <w:sz w:val="21"/>
          <w:szCs w:val="21"/>
        </w:rPr>
      </w:pPr>
      <w:r>
        <w:rPr>
          <w:rFonts w:cstheme="minorHAnsi"/>
          <w:sz w:val="21"/>
          <w:szCs w:val="21"/>
        </w:rPr>
        <w:t>− Use [↑] and [↓] to enter a reference pressure value starting from this value;</w:t>
      </w:r>
    </w:p>
    <w:p w14:paraId="0B70406C">
      <w:pPr>
        <w:pStyle w:val="40"/>
        <w:spacing w:after="240" w:line="240" w:lineRule="auto"/>
        <w:ind w:left="0"/>
        <w:rPr>
          <w:rFonts w:cstheme="minorHAnsi"/>
          <w:sz w:val="21"/>
          <w:szCs w:val="21"/>
        </w:rPr>
      </w:pPr>
      <w:r>
        <w:rPr>
          <w:rFonts w:cstheme="minorHAnsi"/>
          <w:sz w:val="21"/>
          <w:szCs w:val="21"/>
        </w:rPr>
        <w:t>− Press [Enter] to set, if the adjustment is successful, it will display “OK”, if it is unsuccessful, it will display “Err”;</w:t>
      </w:r>
    </w:p>
    <w:p w14:paraId="6C64281A">
      <w:pPr>
        <w:pStyle w:val="40"/>
        <w:spacing w:after="240" w:line="240" w:lineRule="auto"/>
        <w:ind w:left="0"/>
        <w:rPr>
          <w:rFonts w:cstheme="minorHAnsi"/>
          <w:sz w:val="21"/>
          <w:szCs w:val="21"/>
        </w:rPr>
      </w:pPr>
      <w:r>
        <w:rPr>
          <w:rFonts w:cstheme="minorHAnsi"/>
          <w:sz w:val="21"/>
          <w:szCs w:val="21"/>
        </w:rPr>
        <w:t>− Use [M] for mode switching</w:t>
      </w:r>
    </w:p>
    <w:p w14:paraId="5963687A">
      <w:pPr>
        <w:pStyle w:val="4"/>
        <w:spacing w:before="120" w:beforeLines="50" w:after="120" w:afterLines="50"/>
        <w:rPr>
          <w:rFonts w:asciiTheme="minorHAnsi" w:hAnsiTheme="minorHAnsi" w:cstheme="minorHAnsi"/>
        </w:rPr>
      </w:pPr>
      <w:bookmarkStart w:id="84" w:name="_Toc199429793"/>
      <w:r>
        <w:rPr>
          <w:rFonts w:asciiTheme="minorHAnsi" w:hAnsiTheme="minorHAnsi" w:cstheme="minorHAnsi"/>
        </w:rPr>
        <w:t>Operation steps for setting the upper range limit - Mode 17</w:t>
      </w:r>
      <w:bookmarkEnd w:id="84"/>
    </w:p>
    <w:p w14:paraId="55ABF40D">
      <w:pPr>
        <w:pStyle w:val="40"/>
        <w:spacing w:after="240" w:line="240" w:lineRule="auto"/>
        <w:ind w:left="0"/>
        <w:rPr>
          <w:rFonts w:cstheme="minorHAnsi"/>
          <w:sz w:val="21"/>
          <w:szCs w:val="21"/>
        </w:rPr>
      </w:pPr>
      <w:r>
        <w:rPr>
          <w:rFonts w:cstheme="minorHAnsi"/>
          <w:sz w:val="21"/>
          <w:szCs w:val="21"/>
        </w:rPr>
        <w:t>The slope of the characteristic curve can be changed in this mode. The characteristic curve rotates around the low set point.</w:t>
      </w:r>
    </w:p>
    <w:p w14:paraId="40BE677F">
      <w:pPr>
        <w:pStyle w:val="40"/>
        <w:spacing w:after="240" w:line="240" w:lineRule="auto"/>
        <w:ind w:left="0"/>
        <w:rPr>
          <w:rFonts w:cstheme="minorHAnsi"/>
          <w:sz w:val="21"/>
          <w:szCs w:val="21"/>
        </w:rPr>
      </w:pPr>
      <w:r>
        <w:rPr>
          <w:rFonts w:cstheme="minorHAnsi"/>
          <w:sz w:val="21"/>
          <w:szCs w:val="21"/>
        </w:rPr>
        <w:t>Perform the adjustment of the upper range limit as follows:</w:t>
      </w:r>
    </w:p>
    <w:p w14:paraId="639545A2">
      <w:pPr>
        <w:pStyle w:val="40"/>
        <w:spacing w:after="240" w:line="240" w:lineRule="auto"/>
        <w:ind w:left="0"/>
        <w:rPr>
          <w:rFonts w:cstheme="minorHAnsi"/>
          <w:sz w:val="21"/>
          <w:szCs w:val="21"/>
        </w:rPr>
      </w:pPr>
      <w:r>
        <w:rPr>
          <w:rFonts w:cstheme="minorHAnsi"/>
          <w:sz w:val="21"/>
          <w:szCs w:val="21"/>
        </w:rPr>
        <w:t>− Set mode 17. Displays the last adjusted process value and its associated units;</w:t>
      </w:r>
    </w:p>
    <w:p w14:paraId="709D312A">
      <w:pPr>
        <w:pStyle w:val="40"/>
        <w:spacing w:after="240" w:line="240" w:lineRule="auto"/>
        <w:ind w:left="0"/>
        <w:rPr>
          <w:rFonts w:cstheme="minorHAnsi"/>
          <w:sz w:val="21"/>
          <w:szCs w:val="21"/>
        </w:rPr>
      </w:pPr>
      <w:r>
        <w:rPr>
          <w:rFonts w:cstheme="minorHAnsi"/>
          <w:sz w:val="21"/>
          <w:szCs w:val="21"/>
        </w:rPr>
        <w:t>− If you only view this information, you can press the [M] key to switch the mode, otherwise you will apply the reference pressure;</w:t>
      </w:r>
    </w:p>
    <w:p w14:paraId="597405E0">
      <w:pPr>
        <w:pStyle w:val="40"/>
        <w:spacing w:after="240" w:line="240" w:lineRule="auto"/>
        <w:ind w:left="0"/>
        <w:rPr>
          <w:rFonts w:cstheme="minorHAnsi"/>
          <w:sz w:val="21"/>
          <w:szCs w:val="21"/>
        </w:rPr>
      </w:pPr>
      <w:r>
        <w:rPr>
          <w:rFonts w:cstheme="minorHAnsi"/>
          <w:sz w:val="21"/>
          <w:szCs w:val="21"/>
        </w:rPr>
        <w:t>− Use [↑] and [↓] to enter a reference pressure value starting from this value;</w:t>
      </w:r>
    </w:p>
    <w:p w14:paraId="531258B0">
      <w:pPr>
        <w:pStyle w:val="40"/>
        <w:spacing w:after="240" w:line="240" w:lineRule="auto"/>
        <w:ind w:left="0"/>
        <w:rPr>
          <w:rFonts w:cstheme="minorHAnsi"/>
          <w:sz w:val="21"/>
          <w:szCs w:val="21"/>
        </w:rPr>
      </w:pPr>
      <w:r>
        <w:rPr>
          <w:rFonts w:cstheme="minorHAnsi"/>
          <w:sz w:val="21"/>
          <w:szCs w:val="21"/>
        </w:rPr>
        <w:t>− Press [Enter] to set, if the adjustment is successful, it will display “OK”, if it is unsuccessful, it will display “Err”;</w:t>
      </w:r>
    </w:p>
    <w:p w14:paraId="01E12A83">
      <w:pPr>
        <w:pStyle w:val="40"/>
        <w:spacing w:after="240" w:line="240" w:lineRule="auto"/>
        <w:ind w:left="0"/>
        <w:rPr>
          <w:rFonts w:cstheme="minorHAnsi"/>
          <w:sz w:val="21"/>
          <w:szCs w:val="21"/>
        </w:rPr>
      </w:pPr>
      <w:r>
        <w:rPr>
          <w:rFonts w:cstheme="minorHAnsi"/>
          <w:sz w:val="21"/>
          <w:szCs w:val="21"/>
        </w:rPr>
        <w:t>− Use [M] for mode switching.</w:t>
      </w:r>
    </w:p>
    <w:p w14:paraId="36289D83">
      <w:pPr>
        <w:pStyle w:val="4"/>
        <w:spacing w:before="120" w:beforeLines="50" w:after="120" w:afterLines="50"/>
        <w:rPr>
          <w:rFonts w:asciiTheme="minorHAnsi" w:hAnsiTheme="minorHAnsi" w:cstheme="minorHAnsi"/>
        </w:rPr>
      </w:pPr>
      <w:bookmarkStart w:id="85" w:name="_Toc199429794"/>
      <w:r>
        <w:rPr>
          <w:rFonts w:asciiTheme="minorHAnsi" w:hAnsiTheme="minorHAnsi" w:cstheme="minorHAnsi"/>
        </w:rPr>
        <w:t>Operation steps for setting the lower limit of the input range - Mode 18</w:t>
      </w:r>
      <w:bookmarkEnd w:id="85"/>
    </w:p>
    <w:p w14:paraId="4F2F6DBA">
      <w:pPr>
        <w:pStyle w:val="40"/>
        <w:spacing w:after="240" w:line="240" w:lineRule="auto"/>
        <w:ind w:left="0"/>
        <w:rPr>
          <w:rFonts w:cstheme="minorHAnsi"/>
          <w:sz w:val="21"/>
          <w:szCs w:val="21"/>
        </w:rPr>
      </w:pPr>
      <w:r>
        <w:rPr>
          <w:rFonts w:cstheme="minorHAnsi"/>
          <w:sz w:val="21"/>
          <w:szCs w:val="21"/>
        </w:rPr>
        <w:t>In this mode, the lower limit of the input range can be passively adjusted.</w:t>
      </w:r>
    </w:p>
    <w:p w14:paraId="69915FD2">
      <w:pPr>
        <w:pStyle w:val="40"/>
        <w:spacing w:after="240" w:line="240" w:lineRule="auto"/>
        <w:ind w:left="0"/>
        <w:rPr>
          <w:rFonts w:cstheme="minorHAnsi"/>
          <w:sz w:val="21"/>
          <w:szCs w:val="21"/>
        </w:rPr>
      </w:pPr>
      <w:r>
        <w:rPr>
          <w:rFonts w:cstheme="minorHAnsi"/>
          <w:sz w:val="21"/>
          <w:szCs w:val="21"/>
        </w:rPr>
        <w:t>Perform the adjustment of the upper range limit as follows:</w:t>
      </w:r>
    </w:p>
    <w:p w14:paraId="0915E0AC">
      <w:pPr>
        <w:pStyle w:val="40"/>
        <w:spacing w:after="240" w:line="240" w:lineRule="auto"/>
        <w:ind w:left="0"/>
        <w:rPr>
          <w:rFonts w:cstheme="minorHAnsi"/>
          <w:sz w:val="21"/>
          <w:szCs w:val="21"/>
        </w:rPr>
      </w:pPr>
      <w:r>
        <w:rPr>
          <w:rFonts w:cstheme="minorHAnsi"/>
          <w:sz w:val="21"/>
          <w:szCs w:val="21"/>
        </w:rPr>
        <w:t>− Set mode 18. Displays the last adjusted process value and its associated units;</w:t>
      </w:r>
    </w:p>
    <w:p w14:paraId="2758D0BF">
      <w:pPr>
        <w:pStyle w:val="40"/>
        <w:spacing w:after="240" w:line="240" w:lineRule="auto"/>
        <w:ind w:left="0"/>
        <w:rPr>
          <w:rFonts w:cstheme="minorHAnsi"/>
          <w:sz w:val="21"/>
          <w:szCs w:val="21"/>
        </w:rPr>
      </w:pPr>
      <w:r>
        <w:rPr>
          <w:rFonts w:cstheme="minorHAnsi"/>
          <w:sz w:val="21"/>
          <w:szCs w:val="21"/>
        </w:rPr>
        <w:t>− Use [↑] and [↓] to enter a reference value starting from this value;</w:t>
      </w:r>
    </w:p>
    <w:p w14:paraId="154CF3F3">
      <w:pPr>
        <w:pStyle w:val="40"/>
        <w:spacing w:after="240" w:line="240" w:lineRule="auto"/>
        <w:ind w:left="0"/>
        <w:rPr>
          <w:rFonts w:cstheme="minorHAnsi"/>
          <w:sz w:val="21"/>
          <w:szCs w:val="21"/>
        </w:rPr>
      </w:pPr>
      <w:r>
        <w:rPr>
          <w:rFonts w:cstheme="minorHAnsi"/>
          <w:sz w:val="21"/>
          <w:szCs w:val="21"/>
        </w:rPr>
        <w:t>− Press [Enter] to set, if the adjustment is successful, it will display “OK”, if it is unsuccessful, it will display “Err”;</w:t>
      </w:r>
    </w:p>
    <w:p w14:paraId="44376C79">
      <w:pPr>
        <w:pStyle w:val="40"/>
        <w:spacing w:after="240" w:line="240" w:lineRule="auto"/>
        <w:ind w:left="0"/>
        <w:rPr>
          <w:rFonts w:cstheme="minorHAnsi"/>
          <w:sz w:val="21"/>
          <w:szCs w:val="21"/>
        </w:rPr>
      </w:pPr>
      <w:r>
        <w:rPr>
          <w:rFonts w:cstheme="minorHAnsi"/>
          <w:sz w:val="21"/>
          <w:szCs w:val="21"/>
        </w:rPr>
        <w:t>− Use [M] for mode switching</w:t>
      </w:r>
    </w:p>
    <w:p w14:paraId="1D492478">
      <w:pPr>
        <w:pStyle w:val="4"/>
        <w:spacing w:before="120" w:beforeLines="50" w:after="120" w:afterLines="50"/>
        <w:rPr>
          <w:rFonts w:asciiTheme="minorHAnsi" w:hAnsiTheme="minorHAnsi" w:cstheme="minorHAnsi"/>
        </w:rPr>
      </w:pPr>
      <w:bookmarkStart w:id="86" w:name="_Toc199429795"/>
      <w:r>
        <w:rPr>
          <w:rFonts w:asciiTheme="minorHAnsi" w:hAnsiTheme="minorHAnsi" w:cstheme="minorHAnsi"/>
        </w:rPr>
        <w:t>Operation steps for setting the upper limit of the input range - Mode 19</w:t>
      </w:r>
      <w:bookmarkEnd w:id="86"/>
    </w:p>
    <w:p w14:paraId="1A08C026">
      <w:pPr>
        <w:pStyle w:val="40"/>
        <w:spacing w:after="240" w:line="240" w:lineRule="auto"/>
        <w:ind w:left="0"/>
        <w:rPr>
          <w:rFonts w:cstheme="minorHAnsi"/>
          <w:sz w:val="21"/>
          <w:szCs w:val="21"/>
        </w:rPr>
      </w:pPr>
      <w:r>
        <w:rPr>
          <w:rFonts w:cstheme="minorHAnsi"/>
          <w:sz w:val="21"/>
          <w:szCs w:val="21"/>
        </w:rPr>
        <w:t>In this mode, the upper limit of the input range can be passively adjusted.</w:t>
      </w:r>
    </w:p>
    <w:p w14:paraId="5CC04041">
      <w:pPr>
        <w:pStyle w:val="40"/>
        <w:spacing w:after="240" w:line="240" w:lineRule="auto"/>
        <w:ind w:left="0"/>
        <w:rPr>
          <w:rFonts w:cstheme="minorHAnsi"/>
          <w:sz w:val="21"/>
          <w:szCs w:val="21"/>
        </w:rPr>
      </w:pPr>
      <w:r>
        <w:rPr>
          <w:rFonts w:cstheme="minorHAnsi"/>
          <w:sz w:val="21"/>
          <w:szCs w:val="21"/>
        </w:rPr>
        <w:t>Perform the adjustment of the upper range limit as follows:</w:t>
      </w:r>
    </w:p>
    <w:p w14:paraId="566DDE45">
      <w:pPr>
        <w:pStyle w:val="40"/>
        <w:spacing w:after="240" w:line="240" w:lineRule="auto"/>
        <w:ind w:left="0"/>
        <w:rPr>
          <w:rFonts w:cstheme="minorHAnsi"/>
          <w:sz w:val="21"/>
          <w:szCs w:val="21"/>
        </w:rPr>
      </w:pPr>
      <w:r>
        <w:rPr>
          <w:rFonts w:cstheme="minorHAnsi"/>
          <w:sz w:val="21"/>
          <w:szCs w:val="21"/>
        </w:rPr>
        <w:t>− Set mode 19. Displays the last adjusted process value and its associated units;</w:t>
      </w:r>
    </w:p>
    <w:p w14:paraId="4FF4E30B">
      <w:pPr>
        <w:pStyle w:val="40"/>
        <w:spacing w:after="240" w:line="240" w:lineRule="auto"/>
        <w:ind w:left="0"/>
        <w:rPr>
          <w:rFonts w:cstheme="minorHAnsi"/>
          <w:sz w:val="21"/>
          <w:szCs w:val="21"/>
        </w:rPr>
      </w:pPr>
      <w:r>
        <w:rPr>
          <w:rFonts w:cstheme="minorHAnsi"/>
          <w:sz w:val="21"/>
          <w:szCs w:val="21"/>
        </w:rPr>
        <w:t>− Use [↑] and [↓] to enter a reference value starting from this value;</w:t>
      </w:r>
    </w:p>
    <w:p w14:paraId="00B6FF02">
      <w:pPr>
        <w:pStyle w:val="40"/>
        <w:spacing w:after="240" w:line="240" w:lineRule="auto"/>
        <w:ind w:left="0"/>
        <w:rPr>
          <w:rFonts w:cstheme="minorHAnsi"/>
          <w:sz w:val="21"/>
          <w:szCs w:val="21"/>
        </w:rPr>
      </w:pPr>
      <w:r>
        <w:rPr>
          <w:rFonts w:cstheme="minorHAnsi"/>
          <w:sz w:val="21"/>
          <w:szCs w:val="21"/>
        </w:rPr>
        <w:t>− Press [Enter] to set, if the adjustment is successful, it will display “OK”, if it is unsuccessful, it will display “Err”;</w:t>
      </w:r>
    </w:p>
    <w:p w14:paraId="07619352">
      <w:pPr>
        <w:pStyle w:val="40"/>
        <w:spacing w:after="240" w:line="240" w:lineRule="auto"/>
        <w:ind w:left="0"/>
        <w:rPr>
          <w:rFonts w:cstheme="minorHAnsi"/>
          <w:sz w:val="21"/>
          <w:szCs w:val="21"/>
        </w:rPr>
      </w:pPr>
      <w:r>
        <w:rPr>
          <w:rFonts w:cstheme="minorHAnsi"/>
          <w:sz w:val="21"/>
          <w:szCs w:val="21"/>
        </w:rPr>
        <w:t>− Use [M] for mode switching</w:t>
      </w:r>
    </w:p>
    <w:p w14:paraId="455D6EFB">
      <w:pPr>
        <w:pStyle w:val="4"/>
        <w:spacing w:before="120" w:beforeLines="50" w:after="120" w:afterLines="50"/>
        <w:rPr>
          <w:rFonts w:asciiTheme="minorHAnsi" w:hAnsiTheme="minorHAnsi" w:cstheme="minorHAnsi"/>
        </w:rPr>
      </w:pPr>
      <w:bookmarkStart w:id="87" w:name="_Toc199429796"/>
      <w:r>
        <w:rPr>
          <w:rFonts w:asciiTheme="minorHAnsi" w:hAnsiTheme="minorHAnsi" w:cstheme="minorHAnsi"/>
        </w:rPr>
        <w:t>Operation steps for setting the lower limit of the output range - Mode 20</w:t>
      </w:r>
      <w:bookmarkEnd w:id="87"/>
    </w:p>
    <w:p w14:paraId="2C776F62">
      <w:pPr>
        <w:pStyle w:val="40"/>
        <w:spacing w:after="240" w:line="240" w:lineRule="auto"/>
        <w:ind w:left="0"/>
        <w:rPr>
          <w:rFonts w:cstheme="minorHAnsi"/>
          <w:sz w:val="21"/>
          <w:szCs w:val="21"/>
        </w:rPr>
      </w:pPr>
      <w:r>
        <w:rPr>
          <w:rFonts w:cstheme="minorHAnsi"/>
          <w:sz w:val="21"/>
          <w:szCs w:val="21"/>
        </w:rPr>
        <w:t>In this mode, the lower limit of the output range can be passively adjusted.</w:t>
      </w:r>
    </w:p>
    <w:p w14:paraId="7CF8DCD0">
      <w:pPr>
        <w:pStyle w:val="40"/>
        <w:spacing w:after="240" w:line="240" w:lineRule="auto"/>
        <w:ind w:left="0"/>
        <w:rPr>
          <w:rFonts w:cstheme="minorHAnsi"/>
          <w:sz w:val="21"/>
          <w:szCs w:val="21"/>
        </w:rPr>
      </w:pPr>
      <w:r>
        <w:rPr>
          <w:rFonts w:cstheme="minorHAnsi"/>
          <w:sz w:val="21"/>
          <w:szCs w:val="21"/>
        </w:rPr>
        <w:t>Perform the adjustment of the upper range limit as follows:</w:t>
      </w:r>
    </w:p>
    <w:p w14:paraId="723C0C13">
      <w:pPr>
        <w:pStyle w:val="40"/>
        <w:spacing w:after="240" w:line="240" w:lineRule="auto"/>
        <w:ind w:left="0"/>
        <w:rPr>
          <w:rFonts w:cstheme="minorHAnsi"/>
          <w:sz w:val="21"/>
          <w:szCs w:val="21"/>
        </w:rPr>
      </w:pPr>
      <w:r>
        <w:rPr>
          <w:rFonts w:cstheme="minorHAnsi"/>
          <w:sz w:val="21"/>
          <w:szCs w:val="21"/>
        </w:rPr>
        <w:t>− Set mode 20. Displays the last adjusted process value and its associated units;</w:t>
      </w:r>
    </w:p>
    <w:p w14:paraId="04A82021">
      <w:pPr>
        <w:pStyle w:val="40"/>
        <w:spacing w:after="240" w:line="240" w:lineRule="auto"/>
        <w:ind w:left="0"/>
        <w:rPr>
          <w:rFonts w:cstheme="minorHAnsi"/>
          <w:sz w:val="21"/>
          <w:szCs w:val="21"/>
        </w:rPr>
      </w:pPr>
      <w:r>
        <w:rPr>
          <w:rFonts w:cstheme="minorHAnsi"/>
          <w:sz w:val="21"/>
          <w:szCs w:val="21"/>
        </w:rPr>
        <w:t>− Use [↑] and [↓] to enter a reference value starting from this value;</w:t>
      </w:r>
    </w:p>
    <w:p w14:paraId="40E542C4">
      <w:pPr>
        <w:pStyle w:val="40"/>
        <w:spacing w:after="240" w:line="240" w:lineRule="auto"/>
        <w:ind w:left="0"/>
        <w:rPr>
          <w:rFonts w:cstheme="minorHAnsi"/>
          <w:sz w:val="21"/>
          <w:szCs w:val="21"/>
        </w:rPr>
      </w:pPr>
      <w:r>
        <w:rPr>
          <w:rFonts w:cstheme="minorHAnsi"/>
          <w:sz w:val="21"/>
          <w:szCs w:val="21"/>
        </w:rPr>
        <w:t>− Press [Enter] to set, if the adjustment is successful, it will display “OK”, if it is unsuccessful, it will display “Err”;</w:t>
      </w:r>
    </w:p>
    <w:p w14:paraId="363F3C8F">
      <w:pPr>
        <w:pStyle w:val="40"/>
        <w:spacing w:after="240" w:line="240" w:lineRule="auto"/>
        <w:ind w:left="0"/>
        <w:rPr>
          <w:rFonts w:cstheme="minorHAnsi"/>
          <w:sz w:val="21"/>
          <w:szCs w:val="21"/>
        </w:rPr>
      </w:pPr>
      <w:r>
        <w:rPr>
          <w:rFonts w:cstheme="minorHAnsi"/>
          <w:sz w:val="21"/>
          <w:szCs w:val="21"/>
        </w:rPr>
        <w:t>− Use [M] for mode switching.</w:t>
      </w:r>
    </w:p>
    <w:p w14:paraId="33030E3F">
      <w:pPr>
        <w:pStyle w:val="4"/>
        <w:spacing w:before="120" w:beforeLines="50" w:after="120" w:afterLines="50"/>
        <w:rPr>
          <w:rFonts w:asciiTheme="minorHAnsi" w:hAnsiTheme="minorHAnsi" w:cstheme="minorHAnsi"/>
        </w:rPr>
      </w:pPr>
      <w:bookmarkStart w:id="88" w:name="_Toc199429797"/>
      <w:r>
        <w:rPr>
          <w:rFonts w:asciiTheme="minorHAnsi" w:hAnsiTheme="minorHAnsi" w:cstheme="minorHAnsi"/>
        </w:rPr>
        <w:t>Operation steps for setting the upper limit of the output range – Mode 21</w:t>
      </w:r>
      <w:bookmarkEnd w:id="88"/>
    </w:p>
    <w:p w14:paraId="174647A1">
      <w:pPr>
        <w:pStyle w:val="40"/>
        <w:spacing w:after="240" w:line="240" w:lineRule="auto"/>
        <w:ind w:left="0"/>
        <w:rPr>
          <w:rFonts w:cstheme="minorHAnsi"/>
          <w:sz w:val="21"/>
          <w:szCs w:val="21"/>
        </w:rPr>
      </w:pPr>
      <w:r>
        <w:rPr>
          <w:rFonts w:cstheme="minorHAnsi"/>
          <w:sz w:val="21"/>
          <w:szCs w:val="21"/>
        </w:rPr>
        <w:t>In this mode, the upper limit of the output range can be passively adjusted.</w:t>
      </w:r>
    </w:p>
    <w:p w14:paraId="7E369C90">
      <w:pPr>
        <w:pStyle w:val="40"/>
        <w:spacing w:after="240" w:line="240" w:lineRule="auto"/>
        <w:ind w:left="0"/>
        <w:rPr>
          <w:rFonts w:cstheme="minorHAnsi"/>
          <w:sz w:val="21"/>
          <w:szCs w:val="21"/>
        </w:rPr>
      </w:pPr>
      <w:r>
        <w:rPr>
          <w:rFonts w:cstheme="minorHAnsi"/>
          <w:sz w:val="21"/>
          <w:szCs w:val="21"/>
        </w:rPr>
        <w:t>Perform the adjustment of the upper range limit as follows:</w:t>
      </w:r>
    </w:p>
    <w:p w14:paraId="10213F8B">
      <w:pPr>
        <w:pStyle w:val="40"/>
        <w:spacing w:after="240" w:line="240" w:lineRule="auto"/>
        <w:ind w:left="0"/>
        <w:rPr>
          <w:rFonts w:cstheme="minorHAnsi"/>
          <w:sz w:val="21"/>
          <w:szCs w:val="21"/>
        </w:rPr>
      </w:pPr>
      <w:r>
        <w:rPr>
          <w:rFonts w:cstheme="minorHAnsi"/>
          <w:sz w:val="21"/>
          <w:szCs w:val="21"/>
        </w:rPr>
        <w:t>− Set mode 21. Displays the last adjusted process value and its associated units;</w:t>
      </w:r>
    </w:p>
    <w:p w14:paraId="668F7B74">
      <w:pPr>
        <w:pStyle w:val="40"/>
        <w:spacing w:after="240" w:line="240" w:lineRule="auto"/>
        <w:ind w:left="0"/>
        <w:rPr>
          <w:rFonts w:cstheme="minorHAnsi"/>
          <w:sz w:val="21"/>
          <w:szCs w:val="21"/>
        </w:rPr>
      </w:pPr>
      <w:r>
        <w:rPr>
          <w:rFonts w:cstheme="minorHAnsi"/>
          <w:sz w:val="21"/>
          <w:szCs w:val="21"/>
        </w:rPr>
        <w:t>− Use [↑] and [↓] to enter a reference value starting from this value;</w:t>
      </w:r>
    </w:p>
    <w:p w14:paraId="298007AE">
      <w:pPr>
        <w:pStyle w:val="40"/>
        <w:spacing w:after="240" w:line="240" w:lineRule="auto"/>
        <w:ind w:left="0"/>
        <w:rPr>
          <w:rFonts w:cstheme="minorHAnsi"/>
          <w:sz w:val="21"/>
          <w:szCs w:val="21"/>
        </w:rPr>
      </w:pPr>
      <w:r>
        <w:rPr>
          <w:rFonts w:cstheme="minorHAnsi"/>
          <w:sz w:val="21"/>
          <w:szCs w:val="21"/>
        </w:rPr>
        <w:t>− Press [Enter] to set, if the adjustment is successful, it will display “OK”, if it is unsuccessful, it will display “Err”;</w:t>
      </w:r>
    </w:p>
    <w:p w14:paraId="2FB35F53">
      <w:pPr>
        <w:pStyle w:val="40"/>
        <w:spacing w:after="240" w:line="240" w:lineRule="auto"/>
        <w:ind w:left="0"/>
        <w:rPr>
          <w:rFonts w:cstheme="minorHAnsi"/>
          <w:sz w:val="18"/>
          <w:szCs w:val="18"/>
        </w:rPr>
      </w:pPr>
      <w:r>
        <w:rPr>
          <w:rFonts w:cstheme="minorHAnsi"/>
          <w:sz w:val="21"/>
          <w:szCs w:val="21"/>
        </w:rPr>
        <w:t>− Use [M] for mode switching.</w:t>
      </w:r>
    </w:p>
    <w:p w14:paraId="0F5CC713">
      <w:pPr>
        <w:pStyle w:val="3"/>
        <w:spacing w:before="120" w:beforeLines="50" w:after="120" w:afterLines="50" w:line="240" w:lineRule="auto"/>
        <w:ind w:left="578" w:hanging="578"/>
        <w:rPr>
          <w:rFonts w:asciiTheme="minorHAnsi" w:hAnsiTheme="minorHAnsi" w:cstheme="minorHAnsi"/>
        </w:rPr>
      </w:pPr>
      <w:bookmarkStart w:id="89" w:name="_Toc199429798"/>
      <w:r>
        <w:rPr>
          <w:rFonts w:asciiTheme="minorHAnsi" w:hAnsiTheme="minorHAnsi" w:cstheme="minorHAnsi"/>
        </w:rPr>
        <w:t>Restore meter data to factory defaults</w:t>
      </w:r>
      <w:bookmarkEnd w:id="89"/>
    </w:p>
    <w:p w14:paraId="754DE829">
      <w:pPr>
        <w:pStyle w:val="40"/>
        <w:spacing w:after="240" w:line="240" w:lineRule="auto"/>
        <w:ind w:left="0"/>
        <w:rPr>
          <w:rFonts w:cstheme="minorHAnsi"/>
          <w:sz w:val="21"/>
          <w:szCs w:val="21"/>
        </w:rPr>
      </w:pPr>
      <w:r>
        <w:rPr>
          <w:rFonts w:cstheme="minorHAnsi"/>
          <w:sz w:val="21"/>
          <w:szCs w:val="21"/>
        </w:rPr>
        <w:t>Restoring the instrument data to the factory setting is a special operation, and there is no function code. After doing this, all configuration data will disappear and the factory state will be restored. Please use with caution.</w:t>
      </w:r>
    </w:p>
    <w:p w14:paraId="48D058F1">
      <w:pPr>
        <w:pStyle w:val="40"/>
        <w:spacing w:after="240" w:line="240" w:lineRule="auto"/>
        <w:ind w:left="0"/>
        <w:rPr>
          <w:rFonts w:cstheme="minorHAnsi"/>
          <w:sz w:val="21"/>
          <w:szCs w:val="21"/>
        </w:rPr>
      </w:pPr>
      <w:r>
        <w:rPr>
          <w:rFonts w:cstheme="minorHAnsi"/>
          <w:sz w:val="21"/>
          <w:szCs w:val="21"/>
        </w:rPr>
        <w:t>You can restore the meter data to the factory value in the following ways:</w:t>
      </w:r>
    </w:p>
    <w:p w14:paraId="7BF0ECB0">
      <w:pPr>
        <w:pStyle w:val="40"/>
        <w:spacing w:after="240" w:line="240" w:lineRule="auto"/>
        <w:ind w:left="0"/>
        <w:rPr>
          <w:rFonts w:cstheme="minorHAnsi"/>
          <w:sz w:val="21"/>
          <w:szCs w:val="21"/>
        </w:rPr>
      </w:pPr>
      <w:r>
        <w:rPr>
          <w:rFonts w:cstheme="minorHAnsi"/>
          <w:sz w:val="21"/>
          <w:szCs w:val="21"/>
        </w:rPr>
        <w:t>− switch off the power supply of the instrument;</w:t>
      </w:r>
    </w:p>
    <w:p w14:paraId="64B525A7">
      <w:pPr>
        <w:pStyle w:val="40"/>
        <w:spacing w:after="240" w:line="240" w:lineRule="auto"/>
        <w:ind w:left="0"/>
        <w:rPr>
          <w:rFonts w:cstheme="minorHAnsi"/>
          <w:sz w:val="21"/>
          <w:szCs w:val="21"/>
        </w:rPr>
      </w:pPr>
      <w:r>
        <w:rPr>
          <w:rFonts w:cstheme="minorHAnsi"/>
          <w:sz w:val="21"/>
          <w:szCs w:val="21"/>
        </w:rPr>
        <w:t>− Insert the two magnetic rods into the "Zero" hole and the "Span" hole at the same time;</w:t>
      </w:r>
    </w:p>
    <w:p w14:paraId="1472727A">
      <w:pPr>
        <w:pStyle w:val="40"/>
        <w:spacing w:after="240" w:line="240" w:lineRule="auto"/>
        <w:ind w:left="0"/>
        <w:rPr>
          <w:rFonts w:cstheme="minorHAnsi"/>
          <w:sz w:val="21"/>
          <w:szCs w:val="21"/>
        </w:rPr>
      </w:pPr>
      <w:r>
        <w:rPr>
          <w:rFonts w:cstheme="minorHAnsi"/>
          <w:sz w:val="21"/>
          <w:szCs w:val="21"/>
        </w:rPr>
        <w:t>− Power on the meter again, the LCD will display “RST?” at this moment;</w:t>
      </w:r>
    </w:p>
    <w:p w14:paraId="059E8100">
      <w:pPr>
        <w:pStyle w:val="40"/>
        <w:spacing w:after="240" w:line="240" w:lineRule="auto"/>
        <w:ind w:left="0"/>
        <w:rPr>
          <w:rFonts w:cstheme="minorHAnsi"/>
          <w:sz w:val="21"/>
          <w:szCs w:val="21"/>
        </w:rPr>
      </w:pPr>
      <w:r>
        <w:rPr>
          <w:rFonts w:cstheme="minorHAnsi"/>
          <w:sz w:val="21"/>
          <w:szCs w:val="21"/>
        </w:rPr>
        <w:t>− If you want to restore the data of the meter to the factory value, take out the two magnetic rods, and insert the two magnetic rods at the same time again. When the progress bar reaches 100%, take out the two magnetic rods again, and the LCD will display "R_OK", indicating that the recovery is successful;</w:t>
      </w:r>
    </w:p>
    <w:p w14:paraId="2CC785D6">
      <w:pPr>
        <w:pStyle w:val="40"/>
        <w:spacing w:after="240" w:line="240" w:lineRule="auto"/>
        <w:ind w:left="0"/>
        <w:rPr>
          <w:rFonts w:cstheme="minorHAnsi"/>
          <w:sz w:val="21"/>
          <w:szCs w:val="21"/>
        </w:rPr>
      </w:pPr>
      <w:r>
        <w:rPr>
          <w:rFonts w:cstheme="minorHAnsi"/>
          <w:sz w:val="21"/>
          <w:szCs w:val="21"/>
        </w:rPr>
        <w:t>− If you do not want to restore the meter data to the factory value, take out the two magnetic rods, wait for 5 seconds, and then it can be used normally.</w:t>
      </w:r>
    </w:p>
    <w:p w14:paraId="7D663C5A">
      <w:pPr>
        <w:pStyle w:val="40"/>
        <w:spacing w:after="240" w:line="240" w:lineRule="auto"/>
        <w:ind w:left="0"/>
        <w:rPr>
          <w:rFonts w:cstheme="minorHAnsi"/>
          <w:sz w:val="21"/>
          <w:szCs w:val="21"/>
        </w:rPr>
      </w:pPr>
      <w:r>
        <w:rPr>
          <w:rFonts w:cstheme="minorHAnsi"/>
          <w:sz w:val="21"/>
          <w:szCs w:val="21"/>
        </w:rPr>
        <w:t>Notice:</w:t>
      </w:r>
    </w:p>
    <w:p w14:paraId="56265230">
      <w:pPr>
        <w:pStyle w:val="40"/>
        <w:spacing w:after="240" w:line="240" w:lineRule="auto"/>
        <w:ind w:left="0"/>
        <w:rPr>
          <w:rFonts w:cstheme="minorHAnsi"/>
          <w:sz w:val="21"/>
          <w:szCs w:val="21"/>
        </w:rPr>
      </w:pPr>
      <w:r>
        <w:rPr>
          <w:rFonts w:cstheme="minorHAnsi"/>
          <w:sz w:val="21"/>
          <w:szCs w:val="21"/>
        </w:rPr>
        <w:t>FF type, PA type intelligent transmitter, operate according to the above method. If there is an RST jumper, it will directly restore the factory value, and "RST?" will not appear.</w:t>
      </w:r>
    </w:p>
    <w:p w14:paraId="172BE145">
      <w:pPr>
        <w:pStyle w:val="40"/>
        <w:spacing w:after="240" w:line="240" w:lineRule="auto"/>
        <w:ind w:left="0"/>
        <w:rPr>
          <w:rFonts w:cstheme="minorHAnsi"/>
          <w:sz w:val="21"/>
          <w:szCs w:val="21"/>
        </w:rPr>
      </w:pPr>
      <w:r>
        <w:rPr>
          <w:rFonts w:cstheme="minorHAnsi"/>
          <w:sz w:val="21"/>
          <w:szCs w:val="21"/>
        </w:rPr>
        <w:t>If the DIP switch is restored to the factory default position "on", the factory value will be directly restored, and "RST?" will not appear.</w:t>
      </w:r>
    </w:p>
    <w:p w14:paraId="2C505D1A">
      <w:pPr>
        <w:pStyle w:val="40"/>
        <w:spacing w:after="240" w:line="240" w:lineRule="auto"/>
        <w:ind w:left="0"/>
        <w:rPr>
          <w:rFonts w:cstheme="minorHAnsi"/>
          <w:sz w:val="21"/>
          <w:szCs w:val="21"/>
        </w:rPr>
      </w:pPr>
      <w:r>
        <w:rPr>
          <w:rFonts w:cstheme="minorHAnsi"/>
          <w:sz w:val="21"/>
          <w:szCs w:val="21"/>
        </w:rPr>
        <w:t>When the progress bar does not reach 100%, take out the two magnetic rods, or cancel the operation of restoring the instrument data to the factory value.</w:t>
      </w:r>
    </w:p>
    <w:p w14:paraId="1B8DE4D4">
      <w:pPr>
        <w:pStyle w:val="3"/>
        <w:spacing w:before="120" w:beforeLines="50" w:after="120" w:afterLines="50" w:line="240" w:lineRule="auto"/>
        <w:ind w:left="578" w:hanging="578"/>
        <w:rPr>
          <w:rFonts w:asciiTheme="minorHAnsi" w:hAnsiTheme="minorHAnsi" w:cstheme="minorHAnsi"/>
        </w:rPr>
      </w:pPr>
      <w:bookmarkStart w:id="90" w:name="_Toc199429799"/>
      <w:r>
        <w:rPr>
          <w:rFonts w:asciiTheme="minorHAnsi" w:hAnsiTheme="minorHAnsi" w:cstheme="minorHAnsi"/>
        </w:rPr>
        <w:t>On site calibration of Wireless HART smart transmitter</w:t>
      </w:r>
      <w:bookmarkEnd w:id="90"/>
    </w:p>
    <w:p w14:paraId="41BAC4B7">
      <w:pPr>
        <w:pStyle w:val="40"/>
        <w:spacing w:after="240" w:line="240" w:lineRule="auto"/>
        <w:ind w:left="0"/>
        <w:rPr>
          <w:rFonts w:cstheme="minorHAnsi"/>
          <w:sz w:val="21"/>
          <w:szCs w:val="21"/>
        </w:rPr>
      </w:pPr>
      <w:r>
        <w:rPr>
          <w:rFonts w:cstheme="minorHAnsi"/>
          <w:sz w:val="21"/>
          <w:szCs w:val="21"/>
        </w:rPr>
        <w:t>This section only describes the WirelessHART smart transmitter. The operation can be verified on-site in the following three locations: using the WirelessHART configuration tool on a PC; Use the 475 communicator; Integrated web page for intelligent WirelessHART gateway.</w:t>
      </w:r>
    </w:p>
    <w:p w14:paraId="40F95D26">
      <w:pPr>
        <w:pStyle w:val="40"/>
        <w:spacing w:after="240" w:line="240" w:lineRule="auto"/>
        <w:ind w:left="0"/>
        <w:rPr>
          <w:rFonts w:cstheme="minorHAnsi"/>
          <w:sz w:val="21"/>
          <w:szCs w:val="21"/>
        </w:rPr>
      </w:pPr>
      <w:r>
        <w:rPr>
          <w:rFonts w:cstheme="minorHAnsi"/>
          <w:sz w:val="21"/>
          <w:szCs w:val="21"/>
        </w:rPr>
        <w:t>If the WirelessHART smart transmitter is configured with a network ID and join key, and the network polling time is long enough, the transmitter should be connected to the network. To verify connectivity, please open the integrated web page of the Microcyber G1100 smart WirelessHART gateway and navigate to the 'Node Details' page.</w:t>
      </w:r>
    </w:p>
    <w:p w14:paraId="3213C09A">
      <w:pPr>
        <w:pStyle w:val="40"/>
        <w:keepNext/>
        <w:spacing w:after="240" w:line="240" w:lineRule="auto"/>
        <w:ind w:left="0"/>
        <w:jc w:val="center"/>
      </w:pPr>
      <w:r>
        <w:drawing>
          <wp:inline distT="0" distB="0" distL="0" distR="0">
            <wp:extent cx="6193155" cy="2277110"/>
            <wp:effectExtent l="0" t="0" r="444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49"/>
                    <a:stretch>
                      <a:fillRect/>
                    </a:stretch>
                  </pic:blipFill>
                  <pic:spPr>
                    <a:xfrm>
                      <a:off x="0" y="0"/>
                      <a:ext cx="6193155" cy="2277110"/>
                    </a:xfrm>
                    <a:prstGeom prst="rect">
                      <a:avLst/>
                    </a:prstGeom>
                  </pic:spPr>
                </pic:pic>
              </a:graphicData>
            </a:graphic>
          </wp:inline>
        </w:drawing>
      </w:r>
    </w:p>
    <w:p w14:paraId="322ACD49">
      <w:pPr>
        <w:pStyle w:val="12"/>
        <w:spacing w:before="120" w:after="120"/>
        <w:rPr>
          <w:rFonts w:cstheme="minorHAnsi"/>
          <w:sz w:val="21"/>
          <w:szCs w:val="21"/>
        </w:rPr>
      </w:pPr>
      <w:r>
        <w:t xml:space="preserve">Figure </w:t>
      </w:r>
      <w:r>
        <w:fldChar w:fldCharType="begin"/>
      </w:r>
      <w:r>
        <w:instrText xml:space="preserve"> STYLEREF 1 \s </w:instrText>
      </w:r>
      <w:r>
        <w:fldChar w:fldCharType="separate"/>
      </w:r>
      <w:r>
        <w:t>4</w:t>
      </w:r>
      <w:r>
        <w:fldChar w:fldCharType="end"/>
      </w:r>
      <w:r>
        <w:t>.6 Node details page of WirelessHART gateway</w:t>
      </w:r>
    </w:p>
    <w:p w14:paraId="6AFF6E78">
      <w:pPr>
        <w:pStyle w:val="40"/>
        <w:spacing w:after="240" w:line="240" w:lineRule="auto"/>
        <w:ind w:left="0"/>
        <w:rPr>
          <w:rFonts w:cstheme="minorHAnsi"/>
          <w:sz w:val="21"/>
          <w:szCs w:val="21"/>
        </w:rPr>
      </w:pPr>
      <w:r>
        <w:rPr>
          <w:rFonts w:cstheme="minorHAnsi"/>
          <w:sz w:val="21"/>
          <w:szCs w:val="21"/>
        </w:rPr>
        <w:t>This page will display parameters such as the HART tag, node status, joining time, and joining times of the transmitter. To learn more details about a specific device, please click on the tag name.</w:t>
      </w:r>
    </w:p>
    <w:p w14:paraId="2DDAA4C2">
      <w:pPr>
        <w:pStyle w:val="4"/>
        <w:spacing w:before="120" w:beforeLines="50" w:after="120" w:afterLines="50"/>
        <w:rPr>
          <w:rFonts w:asciiTheme="minorHAnsi" w:hAnsiTheme="minorHAnsi" w:cstheme="minorHAnsi"/>
        </w:rPr>
      </w:pPr>
      <w:bookmarkStart w:id="91" w:name="_Toc10189"/>
      <w:bookmarkStart w:id="92" w:name="_Toc199429800"/>
      <w:r>
        <w:rPr>
          <w:rFonts w:hint="eastAsia" w:asciiTheme="minorHAnsi" w:hAnsiTheme="minorHAnsi" w:cstheme="minorHAnsi"/>
        </w:rPr>
        <w:t>W</w:t>
      </w:r>
      <w:r>
        <w:rPr>
          <w:rFonts w:asciiTheme="minorHAnsi" w:hAnsiTheme="minorHAnsi" w:cstheme="minorHAnsi"/>
        </w:rPr>
        <w:t>irelessHART</w:t>
      </w:r>
      <w:bookmarkEnd w:id="91"/>
      <w:r>
        <w:rPr>
          <w:rFonts w:asciiTheme="minorHAnsi" w:hAnsiTheme="minorHAnsi" w:cstheme="minorHAnsi"/>
        </w:rPr>
        <w:t xml:space="preserve"> configuration tool</w:t>
      </w:r>
      <w:bookmarkEnd w:id="92"/>
    </w:p>
    <w:p w14:paraId="37553226">
      <w:pPr>
        <w:pStyle w:val="40"/>
        <w:spacing w:after="240" w:line="240" w:lineRule="auto"/>
        <w:ind w:left="0"/>
        <w:rPr>
          <w:rFonts w:cstheme="minorHAnsi"/>
          <w:sz w:val="21"/>
          <w:szCs w:val="21"/>
        </w:rPr>
      </w:pPr>
      <w:r>
        <w:rPr>
          <w:rFonts w:cstheme="minorHAnsi"/>
          <w:sz w:val="21"/>
          <w:szCs w:val="21"/>
        </w:rPr>
        <w:t>The WirelessHART configuration tool is a debugging software developed by Microcyber specifically for instrument configuration. The configuration tool can configure wireless network information, device update cycles, and monitor the process of wireless transmitters joining the network.</w:t>
      </w:r>
    </w:p>
    <w:p w14:paraId="5935D73B">
      <w:pPr>
        <w:pStyle w:val="40"/>
        <w:keepNext/>
        <w:spacing w:after="240"/>
        <w:ind w:left="0"/>
        <w:jc w:val="center"/>
      </w:pPr>
      <w:r>
        <w:drawing>
          <wp:inline distT="0" distB="0" distL="0" distR="0">
            <wp:extent cx="4652010" cy="1972310"/>
            <wp:effectExtent l="0" t="0" r="0" b="8890"/>
            <wp:docPr id="435304061" name="图片 43530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04061" name="图片 435304061"/>
                    <pic:cNvPicPr>
                      <a:picLocks noChangeAspect="1"/>
                    </pic:cNvPicPr>
                  </pic:nvPicPr>
                  <pic:blipFill>
                    <a:blip r:embed="rId50"/>
                    <a:stretch>
                      <a:fillRect/>
                    </a:stretch>
                  </pic:blipFill>
                  <pic:spPr>
                    <a:xfrm>
                      <a:off x="0" y="0"/>
                      <a:ext cx="4685366" cy="1986945"/>
                    </a:xfrm>
                    <a:prstGeom prst="rect">
                      <a:avLst/>
                    </a:prstGeom>
                  </pic:spPr>
                </pic:pic>
              </a:graphicData>
            </a:graphic>
          </wp:inline>
        </w:drawing>
      </w:r>
    </w:p>
    <w:p w14:paraId="2F5BF1A7">
      <w:pPr>
        <w:pStyle w:val="12"/>
        <w:spacing w:before="120" w:after="120"/>
      </w:pPr>
      <w:r>
        <w:t xml:space="preserve">Figure </w:t>
      </w:r>
      <w:r>
        <w:fldChar w:fldCharType="begin"/>
      </w:r>
      <w:r>
        <w:instrText xml:space="preserve"> STYLEREF 1 \s </w:instrText>
      </w:r>
      <w:r>
        <w:fldChar w:fldCharType="separate"/>
      </w:r>
      <w:r>
        <w:t>4</w:t>
      </w:r>
      <w:r>
        <w:fldChar w:fldCharType="end"/>
      </w:r>
      <w:r>
        <w:t>.7 Configuration Tool - Network Configuration Tab</w:t>
      </w:r>
    </w:p>
    <w:p w14:paraId="2F52C3DB">
      <w:pPr>
        <w:spacing w:after="240"/>
      </w:pPr>
    </w:p>
    <w:p w14:paraId="3DE6A9EF">
      <w:pPr>
        <w:pStyle w:val="40"/>
        <w:keepNext/>
        <w:spacing w:after="240"/>
        <w:ind w:left="0"/>
        <w:jc w:val="center"/>
      </w:pPr>
      <w:r>
        <w:drawing>
          <wp:inline distT="0" distB="0" distL="0" distR="0">
            <wp:extent cx="4620260" cy="2317115"/>
            <wp:effectExtent l="0" t="0" r="8890" b="6985"/>
            <wp:docPr id="1350470573" name="图片 135047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70573" name="图片 1350470573"/>
                    <pic:cNvPicPr>
                      <a:picLocks noChangeAspect="1"/>
                    </pic:cNvPicPr>
                  </pic:nvPicPr>
                  <pic:blipFill>
                    <a:blip r:embed="rId51"/>
                    <a:stretch>
                      <a:fillRect/>
                    </a:stretch>
                  </pic:blipFill>
                  <pic:spPr>
                    <a:xfrm>
                      <a:off x="0" y="0"/>
                      <a:ext cx="4639913" cy="2326855"/>
                    </a:xfrm>
                    <a:prstGeom prst="rect">
                      <a:avLst/>
                    </a:prstGeom>
                  </pic:spPr>
                </pic:pic>
              </a:graphicData>
            </a:graphic>
          </wp:inline>
        </w:drawing>
      </w:r>
    </w:p>
    <w:p w14:paraId="74123EFC">
      <w:pPr>
        <w:pStyle w:val="12"/>
        <w:spacing w:before="120" w:after="120"/>
      </w:pPr>
      <w:r>
        <w:t xml:space="preserve">Figure </w:t>
      </w:r>
      <w:r>
        <w:fldChar w:fldCharType="begin"/>
      </w:r>
      <w:r>
        <w:instrText xml:space="preserve"> STYLEREF 1 \s </w:instrText>
      </w:r>
      <w:r>
        <w:fldChar w:fldCharType="separate"/>
      </w:r>
      <w:r>
        <w:t>4</w:t>
      </w:r>
      <w:r>
        <w:fldChar w:fldCharType="end"/>
      </w:r>
      <w:r>
        <w:t xml:space="preserve">.8 Configuration Tool - </w:t>
      </w:r>
      <w:r>
        <w:rPr>
          <w:rFonts w:hint="eastAsia"/>
        </w:rPr>
        <w:t>Burst</w:t>
      </w:r>
      <w:r>
        <w:t xml:space="preserve"> Configuration Tab</w:t>
      </w:r>
    </w:p>
    <w:p w14:paraId="171CEB35">
      <w:pPr>
        <w:spacing w:after="240"/>
      </w:pPr>
    </w:p>
    <w:p w14:paraId="247D707F">
      <w:pPr>
        <w:keepNext/>
        <w:spacing w:after="240"/>
        <w:jc w:val="center"/>
      </w:pPr>
      <w:r>
        <w:drawing>
          <wp:inline distT="0" distB="0" distL="0" distR="0">
            <wp:extent cx="4583430" cy="2399030"/>
            <wp:effectExtent l="0" t="0" r="762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52"/>
                    <a:stretch>
                      <a:fillRect/>
                    </a:stretch>
                  </pic:blipFill>
                  <pic:spPr>
                    <a:xfrm>
                      <a:off x="0" y="0"/>
                      <a:ext cx="4598787" cy="2407609"/>
                    </a:xfrm>
                    <a:prstGeom prst="rect">
                      <a:avLst/>
                    </a:prstGeom>
                  </pic:spPr>
                </pic:pic>
              </a:graphicData>
            </a:graphic>
          </wp:inline>
        </w:drawing>
      </w:r>
    </w:p>
    <w:p w14:paraId="2A1B4D9F">
      <w:pPr>
        <w:pStyle w:val="12"/>
        <w:spacing w:before="120" w:after="120"/>
      </w:pPr>
      <w:r>
        <w:t xml:space="preserve">Figure </w:t>
      </w:r>
      <w:r>
        <w:fldChar w:fldCharType="begin"/>
      </w:r>
      <w:r>
        <w:instrText xml:space="preserve"> STYLEREF 1 \s </w:instrText>
      </w:r>
      <w:r>
        <w:fldChar w:fldCharType="separate"/>
      </w:r>
      <w:r>
        <w:t>4</w:t>
      </w:r>
      <w:r>
        <w:fldChar w:fldCharType="end"/>
      </w:r>
      <w:r>
        <w:t xml:space="preserve">.9  Configuration Tool – Network </w:t>
      </w:r>
      <w:r>
        <w:rPr>
          <w:rFonts w:hint="eastAsia"/>
        </w:rPr>
        <w:t>Mo</w:t>
      </w:r>
      <w:r>
        <w:t>nitor Tab</w:t>
      </w:r>
    </w:p>
    <w:p w14:paraId="6A5CBE7B">
      <w:pPr>
        <w:pStyle w:val="4"/>
        <w:spacing w:before="120" w:beforeLines="50" w:after="120" w:afterLines="50"/>
        <w:rPr>
          <w:rFonts w:asciiTheme="minorHAnsi" w:hAnsiTheme="minorHAnsi" w:cstheme="minorHAnsi"/>
        </w:rPr>
      </w:pPr>
      <w:bookmarkStart w:id="93" w:name="_Toc24239"/>
      <w:bookmarkStart w:id="94" w:name="_Toc199429801"/>
      <w:r>
        <w:rPr>
          <w:rFonts w:asciiTheme="minorHAnsi" w:hAnsiTheme="minorHAnsi" w:cstheme="minorHAnsi"/>
        </w:rPr>
        <w:t>475</w:t>
      </w:r>
      <w:bookmarkEnd w:id="93"/>
      <w:r>
        <w:rPr>
          <w:rFonts w:asciiTheme="minorHAnsi" w:hAnsiTheme="minorHAnsi" w:cstheme="minorHAnsi"/>
        </w:rPr>
        <w:t xml:space="preserve"> communicator</w:t>
      </w:r>
      <w:bookmarkEnd w:id="94"/>
    </w:p>
    <w:p w14:paraId="03045B44">
      <w:pPr>
        <w:pStyle w:val="40"/>
        <w:spacing w:after="240" w:line="240" w:lineRule="auto"/>
        <w:ind w:left="0"/>
        <w:rPr>
          <w:rFonts w:cstheme="minorHAnsi"/>
          <w:sz w:val="21"/>
          <w:szCs w:val="21"/>
        </w:rPr>
      </w:pPr>
      <w:r>
        <w:rPr>
          <w:rFonts w:cstheme="minorHAnsi"/>
          <w:sz w:val="21"/>
          <w:szCs w:val="21"/>
        </w:rPr>
        <w:t>To verify the operation of the device using a HART communication device, the DD file of the Wireless HART smart transmitter is required. For example, when using the 475 communicator to connect to a device, you can view the network status of the transmitter in the Wireless Status menu.</w:t>
      </w:r>
    </w:p>
    <w:p w14:paraId="277CE1A0">
      <w:pPr>
        <w:keepNext/>
        <w:spacing w:after="240"/>
        <w:jc w:val="center"/>
      </w:pPr>
      <w:r>
        <w:drawing>
          <wp:inline distT="0" distB="0" distL="0" distR="0">
            <wp:extent cx="2461260" cy="18669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53"/>
                    <a:stretch>
                      <a:fillRect/>
                    </a:stretch>
                  </pic:blipFill>
                  <pic:spPr>
                    <a:xfrm>
                      <a:off x="0" y="0"/>
                      <a:ext cx="2461473" cy="1867062"/>
                    </a:xfrm>
                    <a:prstGeom prst="rect">
                      <a:avLst/>
                    </a:prstGeom>
                  </pic:spPr>
                </pic:pic>
              </a:graphicData>
            </a:graphic>
          </wp:inline>
        </w:drawing>
      </w:r>
    </w:p>
    <w:p w14:paraId="592DE65D">
      <w:pPr>
        <w:pStyle w:val="12"/>
        <w:spacing w:before="120" w:after="120"/>
      </w:pPr>
      <w:r>
        <w:t xml:space="preserve">Figure </w:t>
      </w:r>
      <w:r>
        <w:fldChar w:fldCharType="begin"/>
      </w:r>
      <w:r>
        <w:instrText xml:space="preserve"> STYLEREF 1 \s </w:instrText>
      </w:r>
      <w:r>
        <w:fldChar w:fldCharType="separate"/>
      </w:r>
      <w:r>
        <w:t>4</w:t>
      </w:r>
      <w:r>
        <w:fldChar w:fldCharType="end"/>
      </w:r>
      <w:r>
        <w:t>.</w:t>
      </w:r>
      <w:r>
        <w:fldChar w:fldCharType="begin"/>
      </w:r>
      <w:r>
        <w:instrText xml:space="preserve"> SEQ Figure \* ARABIC \s 1 </w:instrText>
      </w:r>
      <w:r>
        <w:fldChar w:fldCharType="separate"/>
      </w:r>
      <w:r>
        <w:t>1</w:t>
      </w:r>
      <w:r>
        <w:fldChar w:fldCharType="end"/>
      </w:r>
      <w:r>
        <w:t>0 475 communicator WirelessHART</w:t>
      </w:r>
    </w:p>
    <w:p w14:paraId="323BE3F4">
      <w:pPr>
        <w:pStyle w:val="4"/>
        <w:spacing w:before="120" w:beforeLines="50" w:after="120" w:afterLines="50"/>
        <w:rPr>
          <w:rFonts w:asciiTheme="minorHAnsi" w:hAnsiTheme="minorHAnsi" w:cstheme="minorHAnsi"/>
        </w:rPr>
      </w:pPr>
      <w:bookmarkStart w:id="95" w:name="_Toc199429802"/>
      <w:r>
        <w:rPr>
          <w:rFonts w:asciiTheme="minorHAnsi" w:hAnsiTheme="minorHAnsi" w:cstheme="minorHAnsi"/>
        </w:rPr>
        <w:t>WirelessHART gateway</w:t>
      </w:r>
      <w:bookmarkEnd w:id="95"/>
    </w:p>
    <w:p w14:paraId="67E590F2">
      <w:pPr>
        <w:pStyle w:val="40"/>
        <w:spacing w:after="240"/>
        <w:ind w:left="0"/>
        <w:rPr>
          <w:rFonts w:cstheme="minorHAnsi"/>
          <w:sz w:val="21"/>
          <w:szCs w:val="21"/>
        </w:rPr>
      </w:pPr>
      <w:r>
        <w:rPr>
          <w:rFonts w:cstheme="minorHAnsi"/>
          <w:sz w:val="21"/>
          <w:szCs w:val="21"/>
        </w:rPr>
        <w:t>Use Microcyber's G1100 intelligent WirelessHART gateway to integrate a web page to verify device operation, navigate to the "Measurement Information" page.</w:t>
      </w:r>
    </w:p>
    <w:p w14:paraId="1A0B20E9">
      <w:pPr>
        <w:pStyle w:val="40"/>
        <w:keepNext/>
        <w:spacing w:after="240"/>
        <w:ind w:left="0"/>
        <w:jc w:val="center"/>
      </w:pPr>
      <w:r>
        <w:drawing>
          <wp:inline distT="0" distB="0" distL="0" distR="0">
            <wp:extent cx="6139180" cy="2642870"/>
            <wp:effectExtent l="0" t="0" r="0" b="508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54"/>
                    <a:stretch>
                      <a:fillRect/>
                    </a:stretch>
                  </pic:blipFill>
                  <pic:spPr>
                    <a:xfrm>
                      <a:off x="0" y="0"/>
                      <a:ext cx="6156204" cy="2650456"/>
                    </a:xfrm>
                    <a:prstGeom prst="rect">
                      <a:avLst/>
                    </a:prstGeom>
                  </pic:spPr>
                </pic:pic>
              </a:graphicData>
            </a:graphic>
          </wp:inline>
        </w:drawing>
      </w:r>
    </w:p>
    <w:p w14:paraId="56038203">
      <w:pPr>
        <w:pStyle w:val="12"/>
        <w:spacing w:before="120" w:after="120"/>
      </w:pPr>
      <w:r>
        <w:t xml:space="preserve">Figure </w:t>
      </w:r>
      <w:r>
        <w:fldChar w:fldCharType="begin"/>
      </w:r>
      <w:r>
        <w:instrText xml:space="preserve"> STYLEREF 1 \s </w:instrText>
      </w:r>
      <w:r>
        <w:fldChar w:fldCharType="separate"/>
      </w:r>
      <w:r>
        <w:t>4</w:t>
      </w:r>
      <w:r>
        <w:fldChar w:fldCharType="end"/>
      </w:r>
      <w:r>
        <w:t xml:space="preserve">.11 Measurement Information page of </w:t>
      </w:r>
      <w:r>
        <w:rPr>
          <w:rFonts w:hint="eastAsia"/>
        </w:rPr>
        <w:t>G</w:t>
      </w:r>
      <w:r>
        <w:t xml:space="preserve">1100 </w:t>
      </w:r>
      <w:r>
        <w:rPr>
          <w:rFonts w:hint="eastAsia"/>
        </w:rPr>
        <w:t>W</w:t>
      </w:r>
      <w:r>
        <w:t>irelessHART gateway</w:t>
      </w:r>
    </w:p>
    <w:p w14:paraId="5F9F8162">
      <w:pPr>
        <w:pStyle w:val="12"/>
        <w:spacing w:before="120" w:after="120"/>
        <w:jc w:val="both"/>
      </w:pPr>
    </w:p>
    <w:p w14:paraId="053373B5">
      <w:pPr>
        <w:pStyle w:val="40"/>
        <w:spacing w:after="240" w:line="240" w:lineRule="auto"/>
        <w:ind w:left="0"/>
        <w:rPr>
          <w:rFonts w:cstheme="minorHAnsi"/>
          <w:sz w:val="21"/>
          <w:szCs w:val="21"/>
        </w:rPr>
      </w:pPr>
      <w:r>
        <w:rPr>
          <w:rFonts w:hint="eastAsia" w:cstheme="minorHAnsi"/>
          <w:sz w:val="21"/>
          <w:szCs w:val="21"/>
        </w:rPr>
        <w:t>T</w:t>
      </w:r>
      <w:r>
        <w:rPr>
          <w:rFonts w:cstheme="minorHAnsi"/>
          <w:sz w:val="21"/>
          <w:szCs w:val="21"/>
        </w:rPr>
        <w:t>his page will display the HART tag, PV, SV, TV, QV, and loop current data of the transmitter. The green status indicator light indicates that the device is working properly, while the red indicator light indicates that there is a problem with the device or its communication. To learn more details about a specific device, please click on the tag name.</w:t>
      </w:r>
    </w:p>
    <w:p w14:paraId="21EA97D6">
      <w:pPr>
        <w:pStyle w:val="4"/>
        <w:spacing w:before="120" w:beforeLines="50" w:after="120" w:afterLines="50"/>
        <w:rPr>
          <w:rFonts w:asciiTheme="minorHAnsi" w:hAnsiTheme="minorHAnsi" w:cstheme="minorHAnsi"/>
        </w:rPr>
      </w:pPr>
      <w:bookmarkStart w:id="96" w:name="_Toc199429803"/>
      <w:r>
        <w:rPr>
          <w:rFonts w:asciiTheme="minorHAnsi" w:hAnsiTheme="minorHAnsi" w:cstheme="minorHAnsi"/>
        </w:rPr>
        <w:t>Troubleshooting</w:t>
      </w:r>
      <w:bookmarkEnd w:id="96"/>
    </w:p>
    <w:p w14:paraId="3FCF9F3F">
      <w:pPr>
        <w:pStyle w:val="40"/>
        <w:spacing w:after="240" w:line="240" w:lineRule="auto"/>
        <w:ind w:left="0"/>
        <w:rPr>
          <w:rFonts w:cstheme="minorHAnsi"/>
          <w:sz w:val="21"/>
          <w:szCs w:val="21"/>
        </w:rPr>
      </w:pPr>
      <w:r>
        <w:rPr>
          <w:rFonts w:hint="eastAsia" w:cstheme="minorHAnsi"/>
          <w:sz w:val="21"/>
          <w:szCs w:val="21"/>
        </w:rPr>
        <w:t>T</w:t>
      </w:r>
      <w:r>
        <w:rPr>
          <w:rFonts w:cstheme="minorHAnsi"/>
          <w:sz w:val="21"/>
          <w:szCs w:val="21"/>
        </w:rPr>
        <w:t>he most common reason for incorrect operation is incorrect network ID and join key configuration. The network ID and join key in the device must be consistent with the smart wireless gateway. The network ID and joining key can be obtained on the "Settings" -&gt;"Network Settings" page of the wireless gateway web page.</w:t>
      </w:r>
    </w:p>
    <w:p w14:paraId="44075EF5">
      <w:pPr>
        <w:pStyle w:val="40"/>
        <w:spacing w:after="240" w:line="240" w:lineRule="auto"/>
        <w:ind w:left="0"/>
        <w:rPr>
          <w:rFonts w:cstheme="minorHAnsi"/>
          <w:sz w:val="21"/>
          <w:szCs w:val="21"/>
        </w:rPr>
      </w:pPr>
    </w:p>
    <w:p w14:paraId="10C38451">
      <w:pPr>
        <w:pStyle w:val="40"/>
        <w:keepNext/>
        <w:spacing w:after="240"/>
        <w:ind w:left="0"/>
        <w:jc w:val="center"/>
      </w:pPr>
      <w:r>
        <w:drawing>
          <wp:inline distT="0" distB="0" distL="0" distR="0">
            <wp:extent cx="6193155" cy="2971165"/>
            <wp:effectExtent l="0" t="0" r="0" b="63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55"/>
                    <a:stretch>
                      <a:fillRect/>
                    </a:stretch>
                  </pic:blipFill>
                  <pic:spPr>
                    <a:xfrm>
                      <a:off x="0" y="0"/>
                      <a:ext cx="6193155" cy="2971165"/>
                    </a:xfrm>
                    <a:prstGeom prst="rect">
                      <a:avLst/>
                    </a:prstGeom>
                  </pic:spPr>
                </pic:pic>
              </a:graphicData>
            </a:graphic>
          </wp:inline>
        </w:drawing>
      </w:r>
    </w:p>
    <w:p w14:paraId="1B1CF7B3">
      <w:pPr>
        <w:pStyle w:val="12"/>
        <w:spacing w:before="120" w:after="120"/>
      </w:pPr>
      <w:r>
        <w:t xml:space="preserve">Figure </w:t>
      </w:r>
      <w:r>
        <w:fldChar w:fldCharType="begin"/>
      </w:r>
      <w:r>
        <w:instrText xml:space="preserve"> STYLEREF 1 \s </w:instrText>
      </w:r>
      <w:r>
        <w:fldChar w:fldCharType="separate"/>
      </w:r>
      <w:r>
        <w:t>4</w:t>
      </w:r>
      <w:r>
        <w:fldChar w:fldCharType="end"/>
      </w:r>
      <w:r>
        <w:t>.1</w:t>
      </w:r>
      <w:r>
        <w:fldChar w:fldCharType="begin"/>
      </w:r>
      <w:r>
        <w:instrText xml:space="preserve"> STYLEREF 1 \s </w:instrText>
      </w:r>
      <w:r>
        <w:fldChar w:fldCharType="separate"/>
      </w:r>
      <w:r>
        <w:t>4</w:t>
      </w:r>
      <w:r>
        <w:fldChar w:fldCharType="end"/>
      </w:r>
      <w:r>
        <w:t>.</w:t>
      </w:r>
      <w:r>
        <w:fldChar w:fldCharType="begin"/>
      </w:r>
      <w:r>
        <w:instrText xml:space="preserve"> SEQ Figure \* ARABIC \s 1 </w:instrText>
      </w:r>
      <w:r>
        <w:fldChar w:fldCharType="separate"/>
      </w:r>
      <w:r>
        <w:t>2</w:t>
      </w:r>
      <w:r>
        <w:fldChar w:fldCharType="end"/>
      </w:r>
      <w:r>
        <w:t xml:space="preserve"> Network Settings page of </w:t>
      </w:r>
      <w:r>
        <w:rPr>
          <w:rFonts w:hint="eastAsia"/>
        </w:rPr>
        <w:t>G</w:t>
      </w:r>
      <w:r>
        <w:t xml:space="preserve">1100 </w:t>
      </w:r>
      <w:r>
        <w:rPr>
          <w:rFonts w:hint="eastAsia"/>
        </w:rPr>
        <w:t>W</w:t>
      </w:r>
      <w:r>
        <w:t>irelessHART gateway</w:t>
      </w:r>
    </w:p>
    <w:p w14:paraId="10F4D012">
      <w:pPr>
        <w:pStyle w:val="40"/>
        <w:spacing w:after="240" w:line="240" w:lineRule="auto"/>
        <w:ind w:left="0"/>
        <w:rPr>
          <w:rFonts w:cstheme="minorHAnsi"/>
          <w:sz w:val="21"/>
          <w:szCs w:val="21"/>
        </w:rPr>
      </w:pPr>
    </w:p>
    <w:p w14:paraId="7A289FBD">
      <w:pPr>
        <w:pStyle w:val="40"/>
        <w:spacing w:after="240" w:line="240" w:lineRule="auto"/>
        <w:ind w:left="0"/>
        <w:rPr>
          <w:rFonts w:cstheme="minorHAnsi"/>
          <w:sz w:val="21"/>
          <w:szCs w:val="21"/>
        </w:rPr>
      </w:pPr>
    </w:p>
    <w:p w14:paraId="58B99C72">
      <w:pPr>
        <w:pStyle w:val="40"/>
        <w:spacing w:after="240" w:line="240" w:lineRule="auto"/>
        <w:ind w:left="0"/>
        <w:rPr>
          <w:rFonts w:cstheme="minorHAnsi"/>
          <w:sz w:val="21"/>
          <w:szCs w:val="21"/>
        </w:rPr>
      </w:pPr>
    </w:p>
    <w:p w14:paraId="096DC1C7">
      <w:pPr>
        <w:pStyle w:val="40"/>
        <w:spacing w:after="240" w:line="240" w:lineRule="auto"/>
        <w:ind w:left="0"/>
        <w:rPr>
          <w:rFonts w:cstheme="minorHAnsi"/>
          <w:sz w:val="18"/>
          <w:szCs w:val="18"/>
        </w:rPr>
        <w:sectPr>
          <w:pgSz w:w="11907" w:h="16840"/>
          <w:pgMar w:top="1554" w:right="1077" w:bottom="1134" w:left="1077" w:header="680" w:footer="680" w:gutter="0"/>
          <w:cols w:space="425" w:num="1"/>
          <w:docGrid w:linePitch="312" w:charSpace="48128"/>
        </w:sectPr>
      </w:pPr>
    </w:p>
    <w:bookmarkEnd w:id="34"/>
    <w:bookmarkEnd w:id="35"/>
    <w:bookmarkEnd w:id="36"/>
    <w:bookmarkEnd w:id="37"/>
    <w:bookmarkEnd w:id="38"/>
    <w:bookmarkEnd w:id="39"/>
    <w:p w14:paraId="52AF9B20">
      <w:pPr>
        <w:pStyle w:val="2"/>
      </w:pPr>
      <w:bookmarkStart w:id="97" w:name="_Toc440269429"/>
      <w:bookmarkStart w:id="98" w:name="_Toc165164089"/>
      <w:bookmarkStart w:id="99" w:name="_Toc165164083"/>
      <w:bookmarkStart w:id="100" w:name="_Toc165172505"/>
      <w:bookmarkStart w:id="101" w:name="_Toc166471637"/>
      <w:bookmarkStart w:id="102" w:name="_Toc165177461"/>
      <w:bookmarkStart w:id="103" w:name="_Toc165172499"/>
      <w:bookmarkStart w:id="104" w:name="_Toc165177467"/>
      <w:bookmarkStart w:id="105" w:name="_Toc440033237"/>
      <w:bookmarkStart w:id="106" w:name="_Toc166471631"/>
      <w:bookmarkStart w:id="107" w:name="_Toc440033494"/>
      <w:bookmarkStart w:id="108" w:name="_Toc440030916"/>
      <w:bookmarkStart w:id="109" w:name="_Toc440034772"/>
      <w:r>
        <w:t xml:space="preserve"> </w:t>
      </w:r>
      <w:bookmarkStart w:id="110" w:name="_Toc199429804"/>
      <w:r>
        <w:t>HART Type Intelligent Transmitter Confi</w:t>
      </w:r>
      <w:bookmarkEnd w:id="97"/>
      <w:r>
        <w:t>guration</w:t>
      </w:r>
      <w:bookmarkEnd w:id="110"/>
    </w:p>
    <w:p w14:paraId="35DEFE6E">
      <w:pPr>
        <w:pStyle w:val="3"/>
        <w:spacing w:before="120" w:beforeLines="50" w:after="120" w:afterLines="50" w:line="240" w:lineRule="auto"/>
        <w:ind w:left="578" w:hanging="578"/>
        <w:rPr>
          <w:rFonts w:asciiTheme="minorHAnsi" w:hAnsiTheme="minorHAnsi" w:cstheme="minorHAnsi"/>
        </w:rPr>
      </w:pPr>
      <w:bookmarkStart w:id="111" w:name="_Toc199429805"/>
      <w:r>
        <w:rPr>
          <w:rFonts w:asciiTheme="minorHAnsi" w:hAnsiTheme="minorHAnsi" w:cstheme="minorHAnsi"/>
        </w:rPr>
        <w:t>Topologic Connection</w:t>
      </w:r>
      <w:bookmarkEnd w:id="111"/>
    </w:p>
    <w:p w14:paraId="46D399B4">
      <w:pPr>
        <w:pStyle w:val="40"/>
        <w:spacing w:after="240" w:line="240" w:lineRule="auto"/>
        <w:ind w:left="0"/>
        <w:rPr>
          <w:rFonts w:cstheme="minorHAnsi"/>
          <w:sz w:val="21"/>
          <w:szCs w:val="21"/>
        </w:rPr>
      </w:pPr>
      <w:r>
        <w:rPr>
          <w:rFonts w:cstheme="minorHAnsi"/>
          <w:sz w:val="21"/>
          <w:szCs w:val="21"/>
        </w:rPr>
        <w:t>The connection of the HART intelligent transmitter includes Point-to-Point connection and Multi-Point connection.</w:t>
      </w:r>
    </w:p>
    <w:p w14:paraId="3EBC5CC4">
      <w:pPr>
        <w:numPr>
          <w:ilvl w:val="0"/>
          <w:numId w:val="11"/>
        </w:numPr>
        <w:spacing w:after="240"/>
        <w:rPr>
          <w:rFonts w:cstheme="minorHAnsi"/>
          <w:b/>
        </w:rPr>
      </w:pPr>
      <w:r>
        <w:rPr>
          <w:rFonts w:cstheme="minorHAnsi"/>
          <w:b/>
        </w:rPr>
        <w:t>Point-to-Point Connection (Figure 5.1）</w:t>
      </w:r>
    </w:p>
    <w:p w14:paraId="5B3FA4E4">
      <w:pPr>
        <w:keepNext/>
        <w:autoSpaceDE w:val="0"/>
        <w:autoSpaceDN w:val="0"/>
        <w:adjustRightInd w:val="0"/>
        <w:spacing w:after="240"/>
        <w:jc w:val="center"/>
        <w:rPr>
          <w:rFonts w:cstheme="minorHAnsi"/>
        </w:rPr>
      </w:pPr>
      <w:r>
        <w:rPr>
          <w:rFonts w:cstheme="minorHAnsi"/>
        </w:rPr>
        <w:drawing>
          <wp:inline distT="0" distB="0" distL="0" distR="0">
            <wp:extent cx="4381500" cy="2085975"/>
            <wp:effectExtent l="0" t="0" r="0" b="9525"/>
            <wp:docPr id="5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7"/>
                    <pic:cNvPicPr>
                      <a:picLocks noChangeAspect="1"/>
                    </pic:cNvPicPr>
                  </pic:nvPicPr>
                  <pic:blipFill>
                    <a:blip r:embed="rId56"/>
                    <a:stretch>
                      <a:fillRect/>
                    </a:stretch>
                  </pic:blipFill>
                  <pic:spPr>
                    <a:xfrm>
                      <a:off x="0" y="0"/>
                      <a:ext cx="4381500" cy="2085975"/>
                    </a:xfrm>
                    <a:prstGeom prst="rect">
                      <a:avLst/>
                    </a:prstGeom>
                  </pic:spPr>
                </pic:pic>
              </a:graphicData>
            </a:graphic>
          </wp:inline>
        </w:drawing>
      </w:r>
    </w:p>
    <w:p w14:paraId="33A5A8ED">
      <w:pPr>
        <w:pStyle w:val="12"/>
        <w:spacing w:before="120" w:after="120"/>
        <w:rPr>
          <w:rFonts w:asciiTheme="minorHAnsi" w:hAnsiTheme="minorHAnsi" w:cstheme="minorHAnsi"/>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5</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Figure \* ARABIC \s 1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rPr>
        <w:fldChar w:fldCharType="end"/>
      </w:r>
      <w:r>
        <w:rPr>
          <w:rFonts w:asciiTheme="minorHAnsi" w:hAnsiTheme="minorHAnsi" w:cstheme="minorHAnsi"/>
        </w:rPr>
        <w:t xml:space="preserve"> Point-to-Point Connection</w:t>
      </w:r>
    </w:p>
    <w:p w14:paraId="754E6DBA">
      <w:pPr>
        <w:pStyle w:val="12"/>
        <w:spacing w:before="120" w:after="120"/>
        <w:rPr>
          <w:rFonts w:asciiTheme="minorHAnsi" w:hAnsiTheme="minorHAnsi" w:cstheme="minorHAnsi"/>
          <w:kern w:val="0"/>
          <w:szCs w:val="21"/>
        </w:rPr>
      </w:pPr>
    </w:p>
    <w:p w14:paraId="5CD46C68">
      <w:pPr>
        <w:pStyle w:val="40"/>
        <w:spacing w:after="240" w:line="240" w:lineRule="auto"/>
        <w:ind w:left="0"/>
        <w:rPr>
          <w:rFonts w:cstheme="minorHAnsi"/>
          <w:sz w:val="21"/>
          <w:szCs w:val="21"/>
        </w:rPr>
      </w:pPr>
      <w:r>
        <w:rPr>
          <w:rFonts w:cstheme="minorHAnsi"/>
          <w:sz w:val="21"/>
          <w:szCs w:val="21"/>
        </w:rPr>
        <w:t>Feature:</w:t>
      </w:r>
    </w:p>
    <w:p w14:paraId="5C4FCB17">
      <w:pPr>
        <w:pStyle w:val="40"/>
        <w:numPr>
          <w:ilvl w:val="0"/>
          <w:numId w:val="12"/>
        </w:numPr>
        <w:spacing w:after="240" w:line="240" w:lineRule="auto"/>
        <w:ind w:left="0"/>
        <w:rPr>
          <w:rFonts w:cstheme="minorHAnsi"/>
          <w:sz w:val="21"/>
          <w:szCs w:val="21"/>
        </w:rPr>
      </w:pPr>
      <w:r>
        <w:rPr>
          <w:rFonts w:cstheme="minorHAnsi"/>
          <w:sz w:val="21"/>
          <w:szCs w:val="21"/>
        </w:rPr>
        <w:t>It can be connected to the upper level control system through the ordinary AI input module and HART communication device;</w:t>
      </w:r>
    </w:p>
    <w:p w14:paraId="7C2F0E1D">
      <w:pPr>
        <w:pStyle w:val="40"/>
        <w:spacing w:after="240" w:line="240" w:lineRule="auto"/>
        <w:ind w:left="0"/>
        <w:rPr>
          <w:rFonts w:cstheme="minorHAnsi"/>
          <w:sz w:val="21"/>
          <w:szCs w:val="21"/>
        </w:rPr>
      </w:pPr>
      <w:r>
        <w:rPr>
          <w:rFonts w:cstheme="minorHAnsi"/>
          <w:sz w:val="21"/>
          <w:szCs w:val="21"/>
        </w:rPr>
        <w:t xml:space="preserve">2) </w:t>
      </w:r>
      <w:r>
        <w:rPr>
          <w:rFonts w:eastAsia="ArialMT" w:cstheme="minorHAnsi"/>
          <w:color w:val="000000"/>
          <w:sz w:val="21"/>
        </w:rPr>
        <w:t>Mixed use of the analog and digital communication</w:t>
      </w:r>
      <w:r>
        <w:rPr>
          <w:rFonts w:cstheme="minorHAnsi"/>
          <w:color w:val="000000"/>
          <w:sz w:val="21"/>
        </w:rPr>
        <w:t>;</w:t>
      </w:r>
    </w:p>
    <w:p w14:paraId="343D69CB">
      <w:pPr>
        <w:pStyle w:val="40"/>
        <w:spacing w:after="240" w:line="240" w:lineRule="auto"/>
        <w:ind w:left="0"/>
        <w:rPr>
          <w:rFonts w:cstheme="minorHAnsi"/>
          <w:color w:val="000000"/>
          <w:sz w:val="21"/>
        </w:rPr>
      </w:pPr>
      <w:r>
        <w:rPr>
          <w:rFonts w:cstheme="minorHAnsi"/>
          <w:sz w:val="21"/>
          <w:szCs w:val="21"/>
        </w:rPr>
        <w:t xml:space="preserve">3) </w:t>
      </w:r>
      <w:r>
        <w:rPr>
          <w:rFonts w:eastAsia="ArialMT" w:cstheme="minorHAnsi"/>
          <w:color w:val="000000"/>
          <w:sz w:val="21"/>
        </w:rPr>
        <w:t>The device address is 0</w:t>
      </w:r>
      <w:r>
        <w:rPr>
          <w:rFonts w:cstheme="minorHAnsi"/>
          <w:color w:val="000000"/>
          <w:sz w:val="21"/>
        </w:rPr>
        <w:t>.</w:t>
      </w:r>
    </w:p>
    <w:p w14:paraId="331062F2">
      <w:pPr>
        <w:numPr>
          <w:ilvl w:val="0"/>
          <w:numId w:val="11"/>
        </w:numPr>
        <w:spacing w:after="240"/>
        <w:rPr>
          <w:rFonts w:cstheme="minorHAnsi"/>
          <w:b/>
        </w:rPr>
      </w:pPr>
      <w:r>
        <w:rPr>
          <w:rFonts w:cstheme="minorHAnsi"/>
          <w:b/>
        </w:rPr>
        <w:t>Multi-Point Connection (Figure 5.2）</w:t>
      </w:r>
    </w:p>
    <w:p w14:paraId="16B09B5C">
      <w:pPr>
        <w:pStyle w:val="41"/>
        <w:keepNext/>
        <w:spacing w:before="120" w:beforeLines="50" w:after="120" w:afterLines="50" w:line="240" w:lineRule="auto"/>
        <w:ind w:firstLine="0" w:firstLineChars="0"/>
        <w:jc w:val="center"/>
        <w:rPr>
          <w:rFonts w:cstheme="minorHAnsi"/>
        </w:rPr>
      </w:pPr>
      <w:r>
        <w:rPr>
          <w:rFonts w:cstheme="minorHAnsi"/>
          <w:color w:val="auto"/>
        </w:rPr>
        <w:drawing>
          <wp:inline distT="0" distB="0" distL="0" distR="0">
            <wp:extent cx="5038725" cy="2491105"/>
            <wp:effectExtent l="0" t="0" r="3175" b="10795"/>
            <wp:docPr id="30" name="图片 30" descr="D:\Users\MG\Desktop\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Users\MG\Desktop\4.jpg4"/>
                    <pic:cNvPicPr>
                      <a:picLocks noChangeAspect="1" noChangeArrowheads="1"/>
                    </pic:cNvPicPr>
                  </pic:nvPicPr>
                  <pic:blipFill>
                    <a:blip r:embed="rId57"/>
                    <a:srcRect/>
                    <a:stretch>
                      <a:fillRect/>
                    </a:stretch>
                  </pic:blipFill>
                  <pic:spPr>
                    <a:xfrm>
                      <a:off x="0" y="0"/>
                      <a:ext cx="5038725" cy="2497246"/>
                    </a:xfrm>
                    <a:prstGeom prst="rect">
                      <a:avLst/>
                    </a:prstGeom>
                    <a:noFill/>
                    <a:ln>
                      <a:noFill/>
                    </a:ln>
                  </pic:spPr>
                </pic:pic>
              </a:graphicData>
            </a:graphic>
          </wp:inline>
        </w:drawing>
      </w:r>
    </w:p>
    <w:p w14:paraId="1044C9CE">
      <w:pPr>
        <w:pStyle w:val="12"/>
        <w:spacing w:before="120" w:after="120"/>
        <w:rPr>
          <w:rFonts w:ascii="Calibri" w:hAnsi="Calibri" w:cs="Calibri"/>
        </w:rPr>
      </w:pPr>
      <w:r>
        <w:rPr>
          <w:rFonts w:ascii="Calibri" w:hAnsi="Calibri" w:cs="Calibri"/>
        </w:rPr>
        <w:t xml:space="preserve">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5</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2</w:t>
      </w:r>
      <w:r>
        <w:rPr>
          <w:rFonts w:ascii="Calibri" w:hAnsi="Calibri" w:cs="Calibri"/>
        </w:rPr>
        <w:fldChar w:fldCharType="end"/>
      </w:r>
      <w:r>
        <w:rPr>
          <w:rFonts w:hint="eastAsia" w:ascii="Calibri" w:hAnsi="Calibri" w:cs="Calibri"/>
        </w:rPr>
        <w:t xml:space="preserve"> </w:t>
      </w:r>
      <w:r>
        <w:rPr>
          <w:rFonts w:asciiTheme="minorHAnsi" w:hAnsiTheme="minorHAnsi" w:cstheme="minorHAnsi"/>
        </w:rPr>
        <w:t>Multi-Point Connection</w:t>
      </w:r>
    </w:p>
    <w:p w14:paraId="39FE8BD9">
      <w:pPr>
        <w:pStyle w:val="40"/>
        <w:spacing w:after="240" w:line="240" w:lineRule="auto"/>
        <w:ind w:left="0"/>
        <w:rPr>
          <w:rFonts w:eastAsia="黑体" w:cstheme="minorHAnsi"/>
          <w:kern w:val="2"/>
          <w:sz w:val="21"/>
          <w:szCs w:val="21"/>
        </w:rPr>
      </w:pPr>
    </w:p>
    <w:p w14:paraId="7547DD85">
      <w:pPr>
        <w:pStyle w:val="40"/>
        <w:spacing w:after="240" w:line="240" w:lineRule="auto"/>
        <w:ind w:left="0"/>
        <w:rPr>
          <w:rFonts w:eastAsia="黑体" w:cstheme="minorHAnsi"/>
          <w:kern w:val="2"/>
          <w:sz w:val="21"/>
          <w:szCs w:val="21"/>
        </w:rPr>
      </w:pPr>
      <w:r>
        <w:rPr>
          <w:rFonts w:eastAsia="黑体" w:cstheme="minorHAnsi"/>
          <w:kern w:val="2"/>
          <w:sz w:val="21"/>
          <w:szCs w:val="21"/>
        </w:rPr>
        <w:t>Feature：</w:t>
      </w:r>
    </w:p>
    <w:p w14:paraId="610A216A">
      <w:pPr>
        <w:pStyle w:val="40"/>
        <w:numPr>
          <w:ilvl w:val="0"/>
          <w:numId w:val="13"/>
        </w:numPr>
        <w:spacing w:after="240" w:line="240" w:lineRule="auto"/>
        <w:ind w:left="0"/>
        <w:rPr>
          <w:rFonts w:cstheme="minorHAnsi"/>
          <w:sz w:val="21"/>
          <w:szCs w:val="21"/>
        </w:rPr>
      </w:pPr>
      <w:r>
        <w:rPr>
          <w:rFonts w:cstheme="minorHAnsi"/>
          <w:sz w:val="21"/>
          <w:szCs w:val="21"/>
        </w:rPr>
        <w:t>Can be connected to the upper level control system through HART communication device;</w:t>
      </w:r>
    </w:p>
    <w:p w14:paraId="5CB0C123">
      <w:pPr>
        <w:pStyle w:val="40"/>
        <w:numPr>
          <w:ilvl w:val="0"/>
          <w:numId w:val="13"/>
        </w:numPr>
        <w:spacing w:after="240" w:line="240" w:lineRule="auto"/>
        <w:ind w:left="0"/>
        <w:rPr>
          <w:rFonts w:cstheme="minorHAnsi"/>
          <w:sz w:val="21"/>
          <w:szCs w:val="21"/>
        </w:rPr>
      </w:pPr>
      <w:r>
        <w:rPr>
          <w:rFonts w:cstheme="minorHAnsi"/>
          <w:sz w:val="21"/>
          <w:szCs w:val="21"/>
        </w:rPr>
        <w:t>Only use HART system digital function , and the fixed current on wire is 4mA;</w:t>
      </w:r>
    </w:p>
    <w:p w14:paraId="03EE4F8F">
      <w:pPr>
        <w:pStyle w:val="40"/>
        <w:numPr>
          <w:ilvl w:val="0"/>
          <w:numId w:val="13"/>
        </w:numPr>
        <w:spacing w:after="240" w:line="240" w:lineRule="auto"/>
        <w:ind w:left="0"/>
        <w:rPr>
          <w:rFonts w:cstheme="minorHAnsi"/>
          <w:sz w:val="21"/>
          <w:szCs w:val="21"/>
        </w:rPr>
      </w:pPr>
      <w:r>
        <w:rPr>
          <w:rFonts w:cstheme="minorHAnsi"/>
          <w:sz w:val="21"/>
          <w:szCs w:val="21"/>
        </w:rPr>
        <w:t>Up to 63 device networking is supported in the short address format.</w:t>
      </w:r>
    </w:p>
    <w:p w14:paraId="686ECD61">
      <w:pPr>
        <w:pStyle w:val="3"/>
        <w:spacing w:before="120" w:beforeLines="50" w:after="120" w:afterLines="50" w:line="240" w:lineRule="auto"/>
        <w:ind w:left="578" w:hanging="578"/>
        <w:rPr>
          <w:rFonts w:asciiTheme="minorHAnsi" w:hAnsiTheme="minorHAnsi" w:cstheme="minorHAnsi"/>
        </w:rPr>
      </w:pPr>
      <w:bookmarkStart w:id="112" w:name="_Toc199429806"/>
      <w:r>
        <w:rPr>
          <w:rFonts w:asciiTheme="minorHAnsi" w:hAnsiTheme="minorHAnsi" w:cstheme="minorHAnsi"/>
        </w:rPr>
        <w:t>Function Configuration</w:t>
      </w:r>
      <w:bookmarkEnd w:id="112"/>
    </w:p>
    <w:p w14:paraId="7DC9F76C">
      <w:pPr>
        <w:pStyle w:val="40"/>
        <w:spacing w:after="240" w:line="240" w:lineRule="auto"/>
        <w:ind w:left="0"/>
        <w:rPr>
          <w:rFonts w:cstheme="minorHAnsi"/>
          <w:sz w:val="21"/>
          <w:szCs w:val="21"/>
        </w:rPr>
      </w:pPr>
      <w:r>
        <w:rPr>
          <w:rFonts w:cstheme="minorHAnsi"/>
          <w:sz w:val="21"/>
          <w:szCs w:val="21"/>
        </w:rPr>
        <w:t>The intelligent transmitter can be debugged using the HART configuration software, including the following five functions:</w:t>
      </w:r>
    </w:p>
    <w:p w14:paraId="4825EDBC">
      <w:pPr>
        <w:pStyle w:val="40"/>
        <w:numPr>
          <w:ilvl w:val="0"/>
          <w:numId w:val="14"/>
        </w:numPr>
        <w:spacing w:after="240" w:line="240" w:lineRule="auto"/>
        <w:ind w:left="0"/>
        <w:rPr>
          <w:rFonts w:cstheme="minorHAnsi"/>
          <w:sz w:val="21"/>
          <w:szCs w:val="21"/>
        </w:rPr>
      </w:pPr>
      <w:r>
        <w:rPr>
          <w:rFonts w:eastAsia="ArialMT" w:cstheme="minorHAnsi"/>
          <w:color w:val="000000"/>
          <w:sz w:val="21"/>
        </w:rPr>
        <w:t xml:space="preserve">Basic information configuration: </w:t>
      </w:r>
      <w:r>
        <w:rPr>
          <w:rFonts w:cstheme="minorHAnsi"/>
          <w:sz w:val="21"/>
          <w:szCs w:val="21"/>
        </w:rPr>
        <w:t>configure the basic information of online equipment, including label, address, date, assembly number information, etc.;</w:t>
      </w:r>
    </w:p>
    <w:p w14:paraId="721E16BE">
      <w:pPr>
        <w:pStyle w:val="40"/>
        <w:numPr>
          <w:ilvl w:val="0"/>
          <w:numId w:val="14"/>
        </w:numPr>
        <w:spacing w:after="240" w:line="240" w:lineRule="auto"/>
        <w:ind w:left="0"/>
        <w:rPr>
          <w:rFonts w:cstheme="minorHAnsi"/>
          <w:sz w:val="21"/>
          <w:szCs w:val="21"/>
        </w:rPr>
      </w:pPr>
      <w:r>
        <w:rPr>
          <w:rFonts w:cstheme="minorHAnsi"/>
          <w:sz w:val="21"/>
          <w:szCs w:val="21"/>
        </w:rPr>
        <w:t>Configuration information: configuration information of online equipment, including main variable range, damping and other information;</w:t>
      </w:r>
    </w:p>
    <w:p w14:paraId="075B61E0">
      <w:pPr>
        <w:pStyle w:val="40"/>
        <w:numPr>
          <w:ilvl w:val="0"/>
          <w:numId w:val="14"/>
        </w:numPr>
        <w:spacing w:after="240" w:line="240" w:lineRule="auto"/>
        <w:ind w:left="0"/>
        <w:rPr>
          <w:rFonts w:cstheme="minorHAnsi"/>
          <w:sz w:val="21"/>
          <w:szCs w:val="21"/>
        </w:rPr>
      </w:pPr>
      <w:r>
        <w:rPr>
          <w:rFonts w:cstheme="minorHAnsi"/>
          <w:sz w:val="21"/>
          <w:szCs w:val="21"/>
        </w:rPr>
        <w:t>Current calibration: can calibrate (4~20) mA current and currently using two-point calibration, namely 4 mA and 20 mA. While the user can set the fixed current output mode to test the current accuracy;</w:t>
      </w:r>
    </w:p>
    <w:p w14:paraId="57C682C0">
      <w:pPr>
        <w:pStyle w:val="40"/>
        <w:numPr>
          <w:ilvl w:val="0"/>
          <w:numId w:val="14"/>
        </w:numPr>
        <w:spacing w:after="240" w:line="240" w:lineRule="auto"/>
        <w:ind w:left="0"/>
        <w:rPr>
          <w:rFonts w:cstheme="minorHAnsi"/>
          <w:sz w:val="21"/>
          <w:szCs w:val="21"/>
        </w:rPr>
      </w:pPr>
      <w:r>
        <w:rPr>
          <w:rFonts w:cstheme="minorHAnsi"/>
          <w:sz w:val="21"/>
          <w:szCs w:val="21"/>
        </w:rPr>
        <w:t>Special command: can configure the LCD display type, configuration of small signal resection, user unit, special curve configuration and other functions.</w:t>
      </w:r>
    </w:p>
    <w:p w14:paraId="7592D850">
      <w:pPr>
        <w:pStyle w:val="40"/>
        <w:numPr>
          <w:ilvl w:val="0"/>
          <w:numId w:val="14"/>
        </w:numPr>
        <w:spacing w:after="240" w:line="240" w:lineRule="auto"/>
        <w:ind w:left="0"/>
        <w:rPr>
          <w:rFonts w:cstheme="minorHAnsi"/>
          <w:sz w:val="21"/>
          <w:szCs w:val="21"/>
        </w:rPr>
      </w:pPr>
      <w:r>
        <w:rPr>
          <w:rFonts w:cstheme="minorHAnsi"/>
          <w:sz w:val="21"/>
          <w:szCs w:val="21"/>
        </w:rPr>
        <w:t>Additional information: Ability to configure sensor information for the entire pressure meter and user custom saturation / alarm current values.</w:t>
      </w:r>
    </w:p>
    <w:p w14:paraId="1D8169BA">
      <w:pPr>
        <w:pStyle w:val="4"/>
        <w:spacing w:before="120" w:beforeLines="50" w:after="120" w:afterLines="50"/>
        <w:rPr>
          <w:rFonts w:asciiTheme="minorHAnsi" w:hAnsiTheme="minorHAnsi" w:cstheme="minorHAnsi"/>
        </w:rPr>
      </w:pPr>
      <w:bookmarkStart w:id="113" w:name="_Toc199429807"/>
      <w:r>
        <w:rPr>
          <w:rFonts w:eastAsia="Arial" w:asciiTheme="minorHAnsi" w:hAnsiTheme="minorHAnsi" w:cstheme="minorHAnsi"/>
          <w:color w:val="000000"/>
        </w:rPr>
        <w:t xml:space="preserve">Configuration </w:t>
      </w:r>
      <w:r>
        <w:rPr>
          <w:rFonts w:asciiTheme="minorHAnsi" w:hAnsiTheme="minorHAnsi" w:cstheme="minorHAnsi"/>
          <w:color w:val="000000"/>
        </w:rPr>
        <w:t>E</w:t>
      </w:r>
      <w:r>
        <w:rPr>
          <w:rFonts w:eastAsia="Arial" w:asciiTheme="minorHAnsi" w:hAnsiTheme="minorHAnsi" w:cstheme="minorHAnsi"/>
          <w:color w:val="000000"/>
        </w:rPr>
        <w:t>nvironment</w:t>
      </w:r>
      <w:bookmarkEnd w:id="113"/>
    </w:p>
    <w:p w14:paraId="08C1D75F">
      <w:pPr>
        <w:pStyle w:val="40"/>
        <w:numPr>
          <w:ilvl w:val="0"/>
          <w:numId w:val="15"/>
        </w:numPr>
        <w:spacing w:after="240" w:line="240" w:lineRule="auto"/>
        <w:rPr>
          <w:rFonts w:cstheme="minorHAnsi"/>
          <w:sz w:val="21"/>
          <w:szCs w:val="21"/>
        </w:rPr>
      </w:pPr>
      <w:r>
        <w:rPr>
          <w:rFonts w:cstheme="minorHAnsi"/>
          <w:sz w:val="21"/>
          <w:szCs w:val="21"/>
        </w:rPr>
        <w:t>PC machine；</w:t>
      </w:r>
    </w:p>
    <w:p w14:paraId="0F6FFFFA">
      <w:pPr>
        <w:pStyle w:val="40"/>
        <w:numPr>
          <w:ilvl w:val="0"/>
          <w:numId w:val="15"/>
        </w:numPr>
        <w:spacing w:after="240" w:line="240" w:lineRule="auto"/>
        <w:rPr>
          <w:rFonts w:cstheme="minorHAnsi"/>
          <w:sz w:val="21"/>
          <w:szCs w:val="21"/>
        </w:rPr>
      </w:pPr>
      <w:r>
        <w:rPr>
          <w:rFonts w:cstheme="minorHAnsi"/>
          <w:sz w:val="21"/>
          <w:szCs w:val="21"/>
        </w:rPr>
        <w:t>HART Modem；</w:t>
      </w:r>
    </w:p>
    <w:p w14:paraId="56BBD098">
      <w:pPr>
        <w:pStyle w:val="40"/>
        <w:numPr>
          <w:ilvl w:val="0"/>
          <w:numId w:val="15"/>
        </w:numPr>
        <w:spacing w:after="240" w:line="240" w:lineRule="auto"/>
        <w:rPr>
          <w:rFonts w:cstheme="minorHAnsi"/>
          <w:sz w:val="21"/>
          <w:szCs w:val="21"/>
        </w:rPr>
      </w:pPr>
      <w:r>
        <w:rPr>
          <w:rFonts w:cstheme="minorHAnsi"/>
          <w:sz w:val="21"/>
          <w:szCs w:val="21"/>
        </w:rPr>
        <w:t>Match resistance (250～550) Ω；</w:t>
      </w:r>
    </w:p>
    <w:p w14:paraId="7E3E2896">
      <w:pPr>
        <w:pStyle w:val="40"/>
        <w:numPr>
          <w:ilvl w:val="0"/>
          <w:numId w:val="15"/>
        </w:numPr>
        <w:spacing w:after="240" w:line="240" w:lineRule="auto"/>
        <w:rPr>
          <w:rFonts w:cstheme="minorHAnsi"/>
          <w:sz w:val="21"/>
          <w:szCs w:val="21"/>
        </w:rPr>
      </w:pPr>
      <w:r>
        <w:rPr>
          <w:rFonts w:cstheme="minorHAnsi"/>
          <w:sz w:val="21"/>
          <w:szCs w:val="21"/>
        </w:rPr>
        <w:t>Standard pressure source.</w:t>
      </w:r>
    </w:p>
    <w:p w14:paraId="31A80CBC">
      <w:pPr>
        <w:pStyle w:val="4"/>
        <w:spacing w:before="120" w:beforeLines="50" w:after="120" w:afterLines="50"/>
        <w:rPr>
          <w:rFonts w:asciiTheme="minorHAnsi" w:hAnsiTheme="minorHAnsi" w:cstheme="minorHAnsi"/>
        </w:rPr>
      </w:pPr>
      <w:bookmarkStart w:id="114" w:name="_Toc199429808"/>
      <w:r>
        <w:rPr>
          <w:rFonts w:eastAsia="Arial" w:asciiTheme="minorHAnsi" w:hAnsiTheme="minorHAnsi" w:cstheme="minorHAnsi"/>
          <w:color w:val="000000"/>
        </w:rPr>
        <w:t xml:space="preserve">Basic </w:t>
      </w:r>
      <w:r>
        <w:rPr>
          <w:rFonts w:asciiTheme="minorHAnsi" w:hAnsiTheme="minorHAnsi" w:cstheme="minorHAnsi"/>
          <w:color w:val="000000"/>
        </w:rPr>
        <w:t>I</w:t>
      </w:r>
      <w:r>
        <w:rPr>
          <w:rFonts w:eastAsia="Arial" w:asciiTheme="minorHAnsi" w:hAnsiTheme="minorHAnsi" w:cstheme="minorHAnsi"/>
          <w:color w:val="000000"/>
        </w:rPr>
        <w:t xml:space="preserve">nformation </w:t>
      </w:r>
      <w:r>
        <w:rPr>
          <w:rFonts w:asciiTheme="minorHAnsi" w:hAnsiTheme="minorHAnsi" w:cstheme="minorHAnsi"/>
          <w:color w:val="000000"/>
        </w:rPr>
        <w:t>C</w:t>
      </w:r>
      <w:r>
        <w:rPr>
          <w:rFonts w:eastAsia="Arial" w:asciiTheme="minorHAnsi" w:hAnsiTheme="minorHAnsi" w:cstheme="minorHAnsi"/>
          <w:color w:val="000000"/>
        </w:rPr>
        <w:t>onfiguration</w:t>
      </w:r>
      <w:bookmarkEnd w:id="114"/>
    </w:p>
    <w:p w14:paraId="16FD6716">
      <w:pPr>
        <w:pStyle w:val="40"/>
        <w:spacing w:after="240" w:line="240" w:lineRule="auto"/>
        <w:ind w:left="0"/>
        <w:rPr>
          <w:rFonts w:cstheme="minorHAnsi"/>
          <w:sz w:val="21"/>
          <w:szCs w:val="21"/>
        </w:rPr>
      </w:pPr>
      <w:r>
        <w:rPr>
          <w:rFonts w:cstheme="minorHAnsi"/>
          <w:sz w:val="21"/>
          <w:szCs w:val="21"/>
        </w:rPr>
        <w:t>Through the dialog of basic information, the basic information of the intelligent transmitter can be read or modified, including device address, message, description, label, date, assembly number, alarm, write protection, manufacturer ID, manufacturer, equipment type, equipment ID, long address, and version information, as shown in Figure 5.3.</w:t>
      </w:r>
    </w:p>
    <w:p w14:paraId="126861DB">
      <w:pPr>
        <w:pStyle w:val="40"/>
        <w:spacing w:after="240" w:line="240" w:lineRule="auto"/>
        <w:ind w:left="0"/>
        <w:rPr>
          <w:rFonts w:cstheme="minorHAnsi"/>
          <w:sz w:val="21"/>
          <w:szCs w:val="21"/>
        </w:rPr>
      </w:pPr>
      <w:r>
        <w:rPr>
          <w:rFonts w:cstheme="minorHAnsi"/>
          <w:sz w:val="21"/>
          <w:szCs w:val="21"/>
        </w:rPr>
        <w:t>After the information is modified, it can be downloaded to the device by pressing the "Application" button. If not sent successfully, the device information will be restored to the previously modified content. If you abandon the modification, you can choose the “Exit ” button to exit the basic information operation.</w:t>
      </w:r>
    </w:p>
    <w:p w14:paraId="497EBE23">
      <w:pPr>
        <w:pStyle w:val="40"/>
        <w:numPr>
          <w:ilvl w:val="0"/>
          <w:numId w:val="16"/>
        </w:numPr>
        <w:spacing w:after="240" w:line="240" w:lineRule="auto"/>
        <w:rPr>
          <w:rFonts w:cstheme="minorHAnsi"/>
          <w:sz w:val="21"/>
          <w:szCs w:val="21"/>
        </w:rPr>
      </w:pPr>
      <w:r>
        <w:rPr>
          <w:rFonts w:cstheme="minorHAnsi"/>
          <w:sz w:val="21"/>
          <w:szCs w:val="21"/>
        </w:rPr>
        <w:t>The maximum length of the label is 8 specified characters;</w:t>
      </w:r>
    </w:p>
    <w:p w14:paraId="1E512BAB">
      <w:pPr>
        <w:pStyle w:val="40"/>
        <w:numPr>
          <w:ilvl w:val="0"/>
          <w:numId w:val="16"/>
        </w:numPr>
        <w:spacing w:after="240" w:line="240" w:lineRule="auto"/>
        <w:rPr>
          <w:rFonts w:cstheme="minorHAnsi"/>
          <w:sz w:val="21"/>
          <w:szCs w:val="21"/>
        </w:rPr>
      </w:pPr>
      <w:r>
        <w:rPr>
          <w:rFonts w:cstheme="minorHAnsi"/>
          <w:sz w:val="21"/>
          <w:szCs w:val="21"/>
        </w:rPr>
        <w:t>Description can enter up to 16 specified characters;</w:t>
      </w:r>
    </w:p>
    <w:p w14:paraId="2B0508A1">
      <w:pPr>
        <w:pStyle w:val="40"/>
        <w:numPr>
          <w:ilvl w:val="0"/>
          <w:numId w:val="16"/>
        </w:numPr>
        <w:spacing w:after="240" w:line="240" w:lineRule="auto"/>
        <w:rPr>
          <w:rFonts w:cstheme="minorHAnsi"/>
          <w:sz w:val="21"/>
          <w:szCs w:val="21"/>
        </w:rPr>
      </w:pPr>
      <w:r>
        <w:rPr>
          <w:rFonts w:cstheme="minorHAnsi"/>
          <w:sz w:val="21"/>
          <w:szCs w:val="21"/>
        </w:rPr>
        <w:t>Messages can enter up to 32 characters;</w:t>
      </w:r>
    </w:p>
    <w:p w14:paraId="7B28C33B">
      <w:pPr>
        <w:pStyle w:val="40"/>
        <w:numPr>
          <w:ilvl w:val="0"/>
          <w:numId w:val="16"/>
        </w:numPr>
        <w:spacing w:after="240" w:line="240" w:lineRule="auto"/>
        <w:rPr>
          <w:rFonts w:cstheme="minorHAnsi"/>
          <w:sz w:val="21"/>
          <w:szCs w:val="21"/>
        </w:rPr>
      </w:pPr>
      <w:r>
        <w:rPr>
          <w:rFonts w:cstheme="minorHAnsi"/>
          <w:sz w:val="21"/>
          <w:szCs w:val="21"/>
        </w:rPr>
        <w:t>The address selection range is 0~63;</w:t>
      </w:r>
    </w:p>
    <w:p w14:paraId="65D697DB">
      <w:pPr>
        <w:pStyle w:val="40"/>
        <w:numPr>
          <w:ilvl w:val="0"/>
          <w:numId w:val="16"/>
        </w:numPr>
        <w:spacing w:after="240" w:line="240" w:lineRule="auto"/>
        <w:rPr>
          <w:rFonts w:cstheme="minorHAnsi"/>
          <w:sz w:val="21"/>
          <w:szCs w:val="21"/>
        </w:rPr>
      </w:pPr>
      <w:r>
        <w:rPr>
          <w:rFonts w:cstheme="minorHAnsi"/>
          <w:sz w:val="21"/>
          <w:szCs w:val="21"/>
        </w:rPr>
        <w:t>The maximum assembly number length is 6 specified characters.</w:t>
      </w:r>
    </w:p>
    <w:p w14:paraId="748C9C46">
      <w:pPr>
        <w:pStyle w:val="40"/>
        <w:numPr>
          <w:ilvl w:val="0"/>
          <w:numId w:val="16"/>
        </w:numPr>
        <w:spacing w:after="240" w:line="240" w:lineRule="auto"/>
        <w:rPr>
          <w:rFonts w:cstheme="minorHAnsi"/>
          <w:sz w:val="21"/>
          <w:szCs w:val="21"/>
        </w:rPr>
      </w:pPr>
      <w:r>
        <w:rPr>
          <w:rFonts w:cstheme="minorHAnsi"/>
          <w:sz w:val="21"/>
          <w:szCs w:val="21"/>
        </w:rPr>
        <w:t>The whole machine series number can not be modified;</w:t>
      </w:r>
    </w:p>
    <w:p w14:paraId="515422F6">
      <w:pPr>
        <w:keepNext/>
        <w:spacing w:after="240"/>
        <w:jc w:val="center"/>
        <w:rPr>
          <w:rFonts w:cstheme="minorHAnsi"/>
        </w:rPr>
      </w:pPr>
      <w:r>
        <w:rPr>
          <w:rFonts w:hint="eastAsia" w:cstheme="minorHAnsi"/>
        </w:rPr>
        <w:drawing>
          <wp:inline distT="0" distB="0" distL="114300" distR="114300">
            <wp:extent cx="4680585" cy="3322955"/>
            <wp:effectExtent l="0" t="0" r="5715" b="10795"/>
            <wp:docPr id="9" name="图片 9" descr="168077014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80770145756"/>
                    <pic:cNvPicPr>
                      <a:picLocks noChangeAspect="1"/>
                    </pic:cNvPicPr>
                  </pic:nvPicPr>
                  <pic:blipFill>
                    <a:blip r:embed="rId58"/>
                    <a:stretch>
                      <a:fillRect/>
                    </a:stretch>
                  </pic:blipFill>
                  <pic:spPr>
                    <a:xfrm>
                      <a:off x="0" y="0"/>
                      <a:ext cx="4680585" cy="3322955"/>
                    </a:xfrm>
                    <a:prstGeom prst="rect">
                      <a:avLst/>
                    </a:prstGeom>
                  </pic:spPr>
                </pic:pic>
              </a:graphicData>
            </a:graphic>
          </wp:inline>
        </w:drawing>
      </w:r>
    </w:p>
    <w:p w14:paraId="23CE292F">
      <w:pPr>
        <w:pStyle w:val="12"/>
        <w:spacing w:before="120" w:after="120"/>
        <w:rPr>
          <w:rFonts w:ascii="Calibri" w:hAnsi="Calibri" w:cs="Calibri"/>
        </w:rPr>
      </w:pPr>
      <w:r>
        <w:rPr>
          <w:rFonts w:ascii="Calibri" w:hAnsi="Calibri" w:cs="Calibri"/>
        </w:rPr>
        <w:t xml:space="preserve">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5</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3</w:t>
      </w:r>
      <w:r>
        <w:rPr>
          <w:rFonts w:ascii="Calibri" w:hAnsi="Calibri" w:cs="Calibri"/>
        </w:rPr>
        <w:fldChar w:fldCharType="end"/>
      </w:r>
      <w:r>
        <w:rPr>
          <w:rFonts w:asciiTheme="minorHAnsi" w:hAnsiTheme="minorHAnsi" w:cstheme="minorHAnsi"/>
        </w:rPr>
        <w:t xml:space="preserve"> Basic Info Tab</w:t>
      </w:r>
    </w:p>
    <w:p w14:paraId="370EC68B">
      <w:pPr>
        <w:pStyle w:val="4"/>
        <w:spacing w:before="120" w:beforeLines="50" w:after="120" w:afterLines="50"/>
        <w:rPr>
          <w:rFonts w:asciiTheme="minorHAnsi" w:hAnsiTheme="minorHAnsi" w:cstheme="minorHAnsi"/>
        </w:rPr>
      </w:pPr>
      <w:bookmarkStart w:id="115" w:name="_Toc199429809"/>
      <w:r>
        <w:rPr>
          <w:rFonts w:asciiTheme="minorHAnsi" w:hAnsiTheme="minorHAnsi" w:cstheme="minorHAnsi"/>
        </w:rPr>
        <w:t>Configuration of Configuration Information</w:t>
      </w:r>
      <w:bookmarkEnd w:id="115"/>
    </w:p>
    <w:p w14:paraId="4CE38D80">
      <w:pPr>
        <w:spacing w:after="240"/>
        <w:rPr>
          <w:rFonts w:cstheme="minorHAnsi"/>
        </w:rPr>
      </w:pPr>
      <w:r>
        <w:rPr>
          <w:rFonts w:cstheme="minorHAnsi"/>
        </w:rPr>
        <w:t>Through the configuration information dialog box, you can read or modify the configuration information of the intelligent transmitter, including the value and unit of the main variable and the second variable of the device (here refers to pressure and temperature), the current value, the percentage, the output information of the main variable (damping value, unit, upper limit of range, lower limit of range, output transfer function), sensor information (serial number, upper limit, lower limit, minimum range, unit), etc., as shown in Figure 5.4.</w:t>
      </w:r>
    </w:p>
    <w:p w14:paraId="50B83A85">
      <w:pPr>
        <w:pStyle w:val="40"/>
        <w:numPr>
          <w:ilvl w:val="0"/>
          <w:numId w:val="17"/>
        </w:numPr>
        <w:spacing w:after="240" w:line="240" w:lineRule="auto"/>
        <w:rPr>
          <w:rFonts w:cstheme="minorHAnsi"/>
          <w:sz w:val="21"/>
          <w:szCs w:val="21"/>
        </w:rPr>
      </w:pPr>
      <w:r>
        <w:rPr>
          <w:rFonts w:cstheme="minorHAnsi"/>
          <w:sz w:val="21"/>
          <w:szCs w:val="21"/>
        </w:rPr>
        <w:t>Primary variable unit configuration: the change of the main variable unit directly affects the variables associated with the unit, such as the upper and lower limit of the range, the upper and lower limit of the sensor, and the minimum range.When modifying units, the upper and lower limits of the main variable range cannot be modified at the same time.</w:t>
      </w:r>
    </w:p>
    <w:p w14:paraId="46A9E40C">
      <w:pPr>
        <w:pStyle w:val="40"/>
        <w:numPr>
          <w:ilvl w:val="0"/>
          <w:numId w:val="17"/>
        </w:numPr>
        <w:spacing w:after="240" w:line="240" w:lineRule="auto"/>
        <w:rPr>
          <w:rFonts w:cstheme="minorHAnsi"/>
          <w:sz w:val="21"/>
          <w:szCs w:val="21"/>
        </w:rPr>
      </w:pPr>
      <w:r>
        <w:rPr>
          <w:rFonts w:cstheme="minorHAnsi"/>
          <w:sz w:val="21"/>
          <w:szCs w:val="21"/>
        </w:rPr>
        <w:t>Damping value configuration: the damping parameter range ranges from 0 to 32 seconds.</w:t>
      </w:r>
    </w:p>
    <w:p w14:paraId="7E9E7121">
      <w:pPr>
        <w:pStyle w:val="40"/>
        <w:numPr>
          <w:ilvl w:val="0"/>
          <w:numId w:val="17"/>
        </w:numPr>
        <w:spacing w:after="240" w:line="240" w:lineRule="auto"/>
        <w:rPr>
          <w:rFonts w:cstheme="minorHAnsi"/>
          <w:sz w:val="21"/>
          <w:szCs w:val="21"/>
        </w:rPr>
      </w:pPr>
      <w:r>
        <w:rPr>
          <w:rFonts w:cstheme="minorHAnsi"/>
          <w:sz w:val="21"/>
          <w:szCs w:val="21"/>
        </w:rPr>
        <w:t>Set range lower limit: take the main variable value of the currently measured as the lower range range (the upper limit is adjusted); if the range upper limit exceeds the sensor upper limit, the sensor upper range upper limit is set after adjustment, and the range changes accordingly.</w:t>
      </w:r>
    </w:p>
    <w:p w14:paraId="1F66F7DA">
      <w:pPr>
        <w:pStyle w:val="40"/>
        <w:numPr>
          <w:ilvl w:val="0"/>
          <w:numId w:val="17"/>
        </w:numPr>
        <w:spacing w:after="240" w:line="240" w:lineRule="auto"/>
        <w:rPr>
          <w:rFonts w:cstheme="minorHAnsi"/>
          <w:sz w:val="21"/>
          <w:szCs w:val="21"/>
        </w:rPr>
      </w:pPr>
      <w:r>
        <w:rPr>
          <w:rFonts w:cstheme="minorHAnsi"/>
          <w:sz w:val="21"/>
          <w:szCs w:val="21"/>
        </w:rPr>
        <w:t>Set the upper limit: with the current measured main variable value as the upper limit and change the upper limit of the sensor, set the upper limit as the adjusted upper limit.</w:t>
      </w:r>
    </w:p>
    <w:p w14:paraId="4C3F1939">
      <w:pPr>
        <w:pStyle w:val="40"/>
        <w:numPr>
          <w:ilvl w:val="0"/>
          <w:numId w:val="17"/>
        </w:numPr>
        <w:spacing w:after="240" w:line="240" w:lineRule="auto"/>
        <w:rPr>
          <w:rFonts w:cstheme="minorHAnsi"/>
          <w:sz w:val="21"/>
          <w:szCs w:val="21"/>
        </w:rPr>
      </w:pPr>
      <w:r>
        <w:rPr>
          <w:rFonts w:cstheme="minorHAnsi"/>
          <w:sz w:val="21"/>
          <w:szCs w:val="21"/>
        </w:rPr>
        <w:t>Primary variable zero: correct the offset of primary variable zero due to the influence of installation position.</w:t>
      </w:r>
    </w:p>
    <w:p w14:paraId="2BB76DEF">
      <w:pPr>
        <w:pStyle w:val="16"/>
        <w:keepNext/>
        <w:spacing w:after="240"/>
        <w:ind w:firstLine="0" w:firstLineChars="0"/>
        <w:jc w:val="center"/>
        <w:rPr>
          <w:rFonts w:cstheme="minorHAnsi"/>
        </w:rPr>
      </w:pPr>
      <w:r>
        <w:rPr>
          <w:rFonts w:hint="eastAsia" w:cstheme="minorHAnsi"/>
          <w:highlight w:val="yellow"/>
        </w:rPr>
        <w:drawing>
          <wp:inline distT="0" distB="0" distL="114300" distR="114300">
            <wp:extent cx="5261610" cy="3401060"/>
            <wp:effectExtent l="0" t="0" r="15240" b="8890"/>
            <wp:docPr id="10" name="图片 10" descr="1680770210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80770210190"/>
                    <pic:cNvPicPr>
                      <a:picLocks noChangeAspect="1"/>
                    </pic:cNvPicPr>
                  </pic:nvPicPr>
                  <pic:blipFill>
                    <a:blip r:embed="rId59"/>
                    <a:stretch>
                      <a:fillRect/>
                    </a:stretch>
                  </pic:blipFill>
                  <pic:spPr>
                    <a:xfrm>
                      <a:off x="0" y="0"/>
                      <a:ext cx="5261610" cy="3401060"/>
                    </a:xfrm>
                    <a:prstGeom prst="rect">
                      <a:avLst/>
                    </a:prstGeom>
                  </pic:spPr>
                </pic:pic>
              </a:graphicData>
            </a:graphic>
          </wp:inline>
        </w:drawing>
      </w:r>
    </w:p>
    <w:p w14:paraId="37013594">
      <w:pPr>
        <w:pStyle w:val="12"/>
        <w:spacing w:before="120" w:after="120"/>
        <w:rPr>
          <w:rFonts w:ascii="Calibri" w:hAnsi="Calibri" w:cs="Calibri"/>
        </w:rPr>
      </w:pPr>
      <w:r>
        <w:rPr>
          <w:rFonts w:ascii="Calibri" w:hAnsi="Calibri" w:cs="Calibri"/>
        </w:rPr>
        <w:t xml:space="preserve">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5</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4</w:t>
      </w:r>
      <w:r>
        <w:rPr>
          <w:rFonts w:ascii="Calibri" w:hAnsi="Calibri" w:cs="Calibri"/>
        </w:rPr>
        <w:fldChar w:fldCharType="end"/>
      </w:r>
      <w:r>
        <w:rPr>
          <w:rFonts w:asciiTheme="minorHAnsi" w:hAnsiTheme="minorHAnsi" w:cstheme="minorHAnsi"/>
        </w:rPr>
        <w:t xml:space="preserve"> The Configuration Information Tab</w:t>
      </w:r>
    </w:p>
    <w:p w14:paraId="44713ABE">
      <w:pPr>
        <w:pStyle w:val="40"/>
        <w:numPr>
          <w:ilvl w:val="0"/>
          <w:numId w:val="17"/>
        </w:numPr>
        <w:spacing w:after="240" w:line="240" w:lineRule="auto"/>
        <w:rPr>
          <w:rFonts w:cstheme="minorHAnsi"/>
          <w:sz w:val="21"/>
          <w:szCs w:val="21"/>
        </w:rPr>
      </w:pPr>
      <w:r>
        <w:rPr>
          <w:rFonts w:cstheme="minorHAnsi"/>
          <w:sz w:val="21"/>
          <w:szCs w:val="21"/>
        </w:rPr>
        <w:t>Range calibration: after the range migration, calibration the upper and lower range limits.The calibration process is as follows:</w:t>
      </w:r>
    </w:p>
    <w:p w14:paraId="46E76BE8">
      <w:pPr>
        <w:pStyle w:val="16"/>
        <w:numPr>
          <w:ilvl w:val="2"/>
          <w:numId w:val="18"/>
        </w:numPr>
        <w:tabs>
          <w:tab w:val="left" w:pos="900"/>
        </w:tabs>
        <w:spacing w:after="240"/>
        <w:ind w:left="0" w:firstLine="0" w:firstLineChars="0"/>
        <w:rPr>
          <w:rFonts w:cstheme="minorHAnsi"/>
          <w:sz w:val="21"/>
        </w:rPr>
      </w:pPr>
      <w:r>
        <w:rPr>
          <w:rFonts w:cstheme="minorHAnsi"/>
          <w:sz w:val="21"/>
        </w:rPr>
        <w:t>The transmitter adds the standard range lower limit pressure, select the calibration point "range lower limit", as shown in Figure 5.5, click "Get the current value", display the calibration data in the "correct value", click "download", then the actual pressure value is the lower range lower pressure value, and the current output is 4 mA.</w:t>
      </w:r>
    </w:p>
    <w:p w14:paraId="372377CD">
      <w:pPr>
        <w:pStyle w:val="16"/>
        <w:keepNext/>
        <w:spacing w:after="240"/>
        <w:ind w:firstLine="0" w:firstLineChars="0"/>
        <w:jc w:val="center"/>
        <w:rPr>
          <w:rFonts w:cstheme="minorHAnsi"/>
        </w:rPr>
      </w:pPr>
      <w:r>
        <w:rPr>
          <w:rFonts w:hint="eastAsia" w:cstheme="minorHAnsi"/>
          <w:highlight w:val="yellow"/>
        </w:rPr>
        <w:drawing>
          <wp:inline distT="0" distB="0" distL="114300" distR="114300">
            <wp:extent cx="1628775" cy="1743075"/>
            <wp:effectExtent l="0" t="0" r="9525" b="9525"/>
            <wp:docPr id="29" name="图片 29" descr="168077035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680770354459"/>
                    <pic:cNvPicPr>
                      <a:picLocks noChangeAspect="1"/>
                    </pic:cNvPicPr>
                  </pic:nvPicPr>
                  <pic:blipFill>
                    <a:blip r:embed="rId60"/>
                    <a:stretch>
                      <a:fillRect/>
                    </a:stretch>
                  </pic:blipFill>
                  <pic:spPr>
                    <a:xfrm>
                      <a:off x="0" y="0"/>
                      <a:ext cx="1628775" cy="1743075"/>
                    </a:xfrm>
                    <a:prstGeom prst="rect">
                      <a:avLst/>
                    </a:prstGeom>
                  </pic:spPr>
                </pic:pic>
              </a:graphicData>
            </a:graphic>
          </wp:inline>
        </w:drawing>
      </w:r>
    </w:p>
    <w:p w14:paraId="66B7C91D">
      <w:pPr>
        <w:pStyle w:val="12"/>
        <w:spacing w:before="120" w:after="120"/>
        <w:rPr>
          <w:rFonts w:asciiTheme="minorHAnsi" w:hAnsiTheme="minorHAnsi" w:cstheme="minorHAnsi"/>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5</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Figure \* ARABIC \s 1 </w:instrText>
      </w:r>
      <w:r>
        <w:rPr>
          <w:rFonts w:asciiTheme="minorHAnsi" w:hAnsiTheme="minorHAnsi" w:cstheme="minorHAnsi"/>
        </w:rPr>
        <w:fldChar w:fldCharType="separate"/>
      </w:r>
      <w:r>
        <w:rPr>
          <w:rFonts w:asciiTheme="minorHAnsi" w:hAnsiTheme="minorHAnsi" w:cstheme="minorHAnsi"/>
        </w:rPr>
        <w:t>5</w:t>
      </w:r>
      <w:r>
        <w:rPr>
          <w:rFonts w:asciiTheme="minorHAnsi" w:hAnsiTheme="minorHAnsi" w:cstheme="minorHAnsi"/>
        </w:rPr>
        <w:fldChar w:fldCharType="end"/>
      </w:r>
      <w:r>
        <w:rPr>
          <w:rFonts w:asciiTheme="minorHAnsi" w:hAnsiTheme="minorHAnsi" w:cstheme="minorHAnsi"/>
        </w:rPr>
        <w:t xml:space="preserve"> Range Calibration-calibration Range Lower Limit</w:t>
      </w:r>
    </w:p>
    <w:p w14:paraId="33AB4EFA">
      <w:pPr>
        <w:pStyle w:val="16"/>
        <w:numPr>
          <w:ilvl w:val="2"/>
          <w:numId w:val="18"/>
        </w:numPr>
        <w:tabs>
          <w:tab w:val="left" w:pos="900"/>
        </w:tabs>
        <w:spacing w:after="240"/>
        <w:ind w:left="0" w:firstLine="0" w:firstLineChars="0"/>
        <w:rPr>
          <w:rFonts w:cstheme="minorHAnsi"/>
          <w:sz w:val="21"/>
        </w:rPr>
      </w:pPr>
      <w:r>
        <w:rPr>
          <w:rFonts w:cstheme="minorHAnsi"/>
          <w:sz w:val="21"/>
        </w:rPr>
        <w:t>The transmitter adds the standard upper limit pressure. After the pressure is stable, select the calibration point "upper limit", as shown in Figure 5.6, click "Get the current value", display the calibration data in the "correction value", click "Download", then the actual pressure output is the upper range pressure value, and the current output is 20 mA;</w:t>
      </w:r>
    </w:p>
    <w:p w14:paraId="4E01A6CF">
      <w:pPr>
        <w:pStyle w:val="16"/>
        <w:keepNext/>
        <w:spacing w:after="240"/>
        <w:ind w:firstLine="0" w:firstLineChars="0"/>
        <w:jc w:val="center"/>
        <w:rPr>
          <w:rFonts w:cstheme="minorHAnsi"/>
        </w:rPr>
      </w:pPr>
      <w:r>
        <w:rPr>
          <w:rFonts w:hint="eastAsia" w:cstheme="minorHAnsi"/>
          <w:highlight w:val="yellow"/>
        </w:rPr>
        <w:drawing>
          <wp:inline distT="0" distB="0" distL="114300" distR="114300">
            <wp:extent cx="1619250" cy="1771650"/>
            <wp:effectExtent l="0" t="0" r="0" b="0"/>
            <wp:docPr id="32" name="图片 32" descr="168077037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680770375684"/>
                    <pic:cNvPicPr>
                      <a:picLocks noChangeAspect="1"/>
                    </pic:cNvPicPr>
                  </pic:nvPicPr>
                  <pic:blipFill>
                    <a:blip r:embed="rId61"/>
                    <a:stretch>
                      <a:fillRect/>
                    </a:stretch>
                  </pic:blipFill>
                  <pic:spPr>
                    <a:xfrm>
                      <a:off x="0" y="0"/>
                      <a:ext cx="1619250" cy="1771650"/>
                    </a:xfrm>
                    <a:prstGeom prst="rect">
                      <a:avLst/>
                    </a:prstGeom>
                  </pic:spPr>
                </pic:pic>
              </a:graphicData>
            </a:graphic>
          </wp:inline>
        </w:drawing>
      </w:r>
    </w:p>
    <w:p w14:paraId="306932CF">
      <w:pPr>
        <w:pStyle w:val="12"/>
        <w:spacing w:before="120" w:after="120"/>
        <w:rPr>
          <w:rFonts w:asciiTheme="minorHAnsi" w:hAnsiTheme="minorHAnsi" w:cstheme="minorHAnsi"/>
          <w:sz w:val="21"/>
          <w:szCs w:val="21"/>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5</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Figure \* ARABIC \s 1 </w:instrText>
      </w:r>
      <w:r>
        <w:rPr>
          <w:rFonts w:asciiTheme="minorHAnsi" w:hAnsiTheme="minorHAnsi" w:cstheme="minorHAnsi"/>
        </w:rPr>
        <w:fldChar w:fldCharType="separate"/>
      </w:r>
      <w:r>
        <w:rPr>
          <w:rFonts w:asciiTheme="minorHAnsi" w:hAnsiTheme="minorHAnsi" w:cstheme="minorHAnsi"/>
        </w:rPr>
        <w:t>6</w:t>
      </w:r>
      <w:r>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cstheme="minorHAnsi"/>
          <w:szCs w:val="18"/>
        </w:rPr>
        <w:t>Scale Calibration-calibration range upper limit</w:t>
      </w:r>
    </w:p>
    <w:p w14:paraId="4ECF0059">
      <w:pPr>
        <w:pStyle w:val="4"/>
        <w:spacing w:before="120" w:beforeLines="50" w:after="120" w:afterLines="50"/>
        <w:rPr>
          <w:rFonts w:asciiTheme="minorHAnsi" w:hAnsiTheme="minorHAnsi" w:cstheme="minorHAnsi"/>
        </w:rPr>
      </w:pPr>
      <w:bookmarkStart w:id="116" w:name="_Toc199429810"/>
      <w:r>
        <w:rPr>
          <w:rFonts w:asciiTheme="minorHAnsi" w:hAnsiTheme="minorHAnsi" w:cstheme="minorHAnsi"/>
        </w:rPr>
        <w:t>Current Calibration and Fixed Current Output</w:t>
      </w:r>
      <w:bookmarkEnd w:id="116"/>
    </w:p>
    <w:p w14:paraId="764D254E">
      <w:pPr>
        <w:pStyle w:val="40"/>
        <w:spacing w:after="240" w:line="240" w:lineRule="auto"/>
        <w:ind w:left="0"/>
        <w:rPr>
          <w:rFonts w:cstheme="minorHAnsi"/>
          <w:sz w:val="21"/>
          <w:szCs w:val="21"/>
        </w:rPr>
      </w:pPr>
      <w:r>
        <w:rPr>
          <w:rFonts w:cstheme="minorHAnsi"/>
          <w:sz w:val="21"/>
          <w:szCs w:val="21"/>
        </w:rPr>
        <w:t>The user can calibrate the intelligent transmitter analog output current of 4 mA, 20 mA and output fixed current.When calibrating the current and fixed current output, the polling address of the intelligent transmitter can only be 0, and other polling addresses will prompt the error message "in multipoint mode".In addition, it is necessary to string in more than five and a half precision ammeters in the intelligent transmitter output loop.</w:t>
      </w:r>
    </w:p>
    <w:p w14:paraId="089D0C6A">
      <w:pPr>
        <w:pStyle w:val="40"/>
        <w:spacing w:after="240" w:line="240" w:lineRule="auto"/>
        <w:ind w:left="0"/>
        <w:rPr>
          <w:rFonts w:cstheme="minorHAnsi"/>
          <w:sz w:val="21"/>
          <w:szCs w:val="21"/>
        </w:rPr>
      </w:pPr>
      <w:r>
        <w:rPr>
          <w:rFonts w:cstheme="minorHAnsi"/>
          <w:sz w:val="21"/>
          <w:szCs w:val="21"/>
        </w:rPr>
        <w:t>4 mA and 20 mA current calibration: In Figure 5.7, select the current value to be calibrated. After the output current value is stable, input the reading of the ammeter into the "Adjustment value" box and click "Apply" to observe whether the output current meets the requirements. If it does not meet, continue the adjustment ac</w:t>
      </w:r>
    </w:p>
    <w:p w14:paraId="0BF1E15A">
      <w:pPr>
        <w:pStyle w:val="40"/>
        <w:spacing w:after="240" w:line="240" w:lineRule="auto"/>
        <w:ind w:left="0"/>
        <w:rPr>
          <w:rFonts w:cstheme="minorHAnsi"/>
          <w:sz w:val="21"/>
          <w:szCs w:val="21"/>
        </w:rPr>
      </w:pPr>
      <w:r>
        <w:rPr>
          <w:rFonts w:cstheme="minorHAnsi"/>
          <w:sz w:val="21"/>
          <w:szCs w:val="21"/>
        </w:rPr>
        <w:t>Fixed current output: In Figure 5.7, enter the current value that the intelligent transmitter will fixed output in "Fixed Current Value" and click "Enter / Exit Fixed Current Mode" to enter the fixed current output mode.The button displays "Exit Fixed Current Mode". In order to exit the fixed current mode, click the button again.</w:t>
      </w:r>
    </w:p>
    <w:p w14:paraId="595EFEEE">
      <w:pPr>
        <w:keepNext/>
        <w:spacing w:after="240"/>
        <w:jc w:val="center"/>
        <w:rPr>
          <w:rFonts w:cstheme="minorHAnsi"/>
        </w:rPr>
      </w:pPr>
      <w:r>
        <w:rPr>
          <w:rFonts w:hint="eastAsia" w:cstheme="minorHAnsi"/>
          <w:highlight w:val="yellow"/>
        </w:rPr>
        <w:drawing>
          <wp:inline distT="0" distB="0" distL="114300" distR="114300">
            <wp:extent cx="3646805" cy="3733800"/>
            <wp:effectExtent l="0" t="0" r="0" b="0"/>
            <wp:docPr id="34" name="图片 34" descr="1680770400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680770400695"/>
                    <pic:cNvPicPr>
                      <a:picLocks noChangeAspect="1"/>
                    </pic:cNvPicPr>
                  </pic:nvPicPr>
                  <pic:blipFill>
                    <a:blip r:embed="rId62"/>
                    <a:stretch>
                      <a:fillRect/>
                    </a:stretch>
                  </pic:blipFill>
                  <pic:spPr>
                    <a:xfrm>
                      <a:off x="0" y="0"/>
                      <a:ext cx="3656723" cy="3743376"/>
                    </a:xfrm>
                    <a:prstGeom prst="rect">
                      <a:avLst/>
                    </a:prstGeom>
                  </pic:spPr>
                </pic:pic>
              </a:graphicData>
            </a:graphic>
          </wp:inline>
        </w:drawing>
      </w:r>
    </w:p>
    <w:p w14:paraId="2C66C402">
      <w:pPr>
        <w:pStyle w:val="12"/>
        <w:spacing w:before="120" w:after="120"/>
        <w:rPr>
          <w:rFonts w:asciiTheme="minorHAnsi" w:hAnsiTheme="minorHAnsi" w:cstheme="minorHAnsi"/>
          <w:sz w:val="24"/>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5</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Figure \* ARABIC \s 1 </w:instrText>
      </w:r>
      <w:r>
        <w:rPr>
          <w:rFonts w:asciiTheme="minorHAnsi" w:hAnsiTheme="minorHAnsi" w:cstheme="minorHAnsi"/>
        </w:rPr>
        <w:fldChar w:fldCharType="separate"/>
      </w:r>
      <w:r>
        <w:rPr>
          <w:rFonts w:asciiTheme="minorHAnsi" w:hAnsiTheme="minorHAnsi" w:cstheme="minorHAnsi"/>
        </w:rPr>
        <w:t>7</w:t>
      </w:r>
      <w:r>
        <w:rPr>
          <w:rFonts w:asciiTheme="minorHAnsi" w:hAnsiTheme="minorHAnsi" w:cstheme="minorHAnsi"/>
        </w:rPr>
        <w:fldChar w:fldCharType="end"/>
      </w:r>
      <w:r>
        <w:t xml:space="preserve"> </w:t>
      </w:r>
      <w:r>
        <w:rPr>
          <w:rFonts w:asciiTheme="minorHAnsi" w:hAnsiTheme="minorHAnsi" w:cstheme="minorHAnsi"/>
        </w:rPr>
        <w:t>Calibrate Current Tab</w:t>
      </w:r>
    </w:p>
    <w:p w14:paraId="7D7A4881">
      <w:pPr>
        <w:pStyle w:val="4"/>
        <w:spacing w:before="120" w:beforeLines="50" w:after="120" w:afterLines="50"/>
        <w:rPr>
          <w:rFonts w:asciiTheme="minorHAnsi" w:hAnsiTheme="minorHAnsi" w:cstheme="minorHAnsi"/>
        </w:rPr>
      </w:pPr>
      <w:bookmarkStart w:id="117" w:name="_Toc199429811"/>
      <w:r>
        <w:rPr>
          <w:rFonts w:asciiTheme="minorHAnsi" w:hAnsiTheme="minorHAnsi" w:cstheme="minorHAnsi"/>
        </w:rPr>
        <w:t>Saturable Fixed Output (Manufacturer setting, not configurable)</w:t>
      </w:r>
      <w:bookmarkEnd w:id="117"/>
    </w:p>
    <w:p w14:paraId="573C7D84">
      <w:pPr>
        <w:pStyle w:val="40"/>
        <w:spacing w:after="240" w:line="240" w:lineRule="auto"/>
        <w:ind w:left="0"/>
        <w:rPr>
          <w:rFonts w:cstheme="minorHAnsi"/>
          <w:sz w:val="21"/>
          <w:szCs w:val="21"/>
        </w:rPr>
      </w:pPr>
      <w:r>
        <w:rPr>
          <w:rFonts w:cstheme="minorHAnsi"/>
          <w:sz w:val="21"/>
          <w:szCs w:val="21"/>
        </w:rPr>
        <w:t>When the HART intelligent transmitter runs continuously, it constantly compares the value of the main variable with the upper and lower limits. When the value of the main variable exceeds the upper and lower range, the intelligent transmitter output saturation current, indicating that the main variable exceeds the range.When the main variable is above the upper limit, the intelligent transmitter output high alarm current; when below the lower limit, the intelligent transmitter output low alarm current.</w:t>
      </w:r>
    </w:p>
    <w:p w14:paraId="46A80626">
      <w:pPr>
        <w:pStyle w:val="4"/>
        <w:spacing w:before="120" w:beforeLines="50" w:after="120" w:afterLines="50"/>
        <w:rPr>
          <w:rFonts w:asciiTheme="minorHAnsi" w:hAnsiTheme="minorHAnsi" w:cstheme="minorHAnsi"/>
        </w:rPr>
      </w:pPr>
      <w:bookmarkStart w:id="118" w:name="_Toc199429812"/>
      <w:r>
        <w:rPr>
          <w:rFonts w:asciiTheme="minorHAnsi" w:hAnsiTheme="minorHAnsi" w:cstheme="minorHAnsi"/>
        </w:rPr>
        <w:t>Special Command</w:t>
      </w:r>
      <w:bookmarkEnd w:id="118"/>
    </w:p>
    <w:p w14:paraId="3700A770">
      <w:pPr>
        <w:pStyle w:val="40"/>
        <w:spacing w:after="240" w:line="240" w:lineRule="auto"/>
        <w:ind w:left="0"/>
        <w:rPr>
          <w:rFonts w:cstheme="minorHAnsi"/>
          <w:sz w:val="21"/>
          <w:szCs w:val="21"/>
        </w:rPr>
      </w:pPr>
      <w:r>
        <w:rPr>
          <w:rFonts w:cstheme="minorHAnsi"/>
          <w:sz w:val="21"/>
          <w:szCs w:val="21"/>
        </w:rPr>
        <w:t>The special command tab on the configuration software is shown in Figure 5.8:</w:t>
      </w:r>
    </w:p>
    <w:p w14:paraId="2F24400A">
      <w:pPr>
        <w:keepNext/>
        <w:spacing w:after="240"/>
        <w:jc w:val="center"/>
        <w:rPr>
          <w:rFonts w:cstheme="minorHAnsi"/>
        </w:rPr>
      </w:pPr>
      <w:r>
        <w:rPr>
          <w:rFonts w:hint="eastAsia" w:cstheme="minorHAnsi"/>
          <w:highlight w:val="yellow"/>
        </w:rPr>
        <w:drawing>
          <wp:inline distT="0" distB="0" distL="114300" distR="114300">
            <wp:extent cx="5344795" cy="3759200"/>
            <wp:effectExtent l="0" t="0" r="8255" b="12700"/>
            <wp:docPr id="35" name="图片 35" descr="168077043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680770436579"/>
                    <pic:cNvPicPr>
                      <a:picLocks noChangeAspect="1"/>
                    </pic:cNvPicPr>
                  </pic:nvPicPr>
                  <pic:blipFill>
                    <a:blip r:embed="rId63"/>
                    <a:stretch>
                      <a:fillRect/>
                    </a:stretch>
                  </pic:blipFill>
                  <pic:spPr>
                    <a:xfrm>
                      <a:off x="0" y="0"/>
                      <a:ext cx="5344795" cy="3759200"/>
                    </a:xfrm>
                    <a:prstGeom prst="rect">
                      <a:avLst/>
                    </a:prstGeom>
                  </pic:spPr>
                </pic:pic>
              </a:graphicData>
            </a:graphic>
          </wp:inline>
        </w:drawing>
      </w:r>
    </w:p>
    <w:p w14:paraId="1CB99CFF">
      <w:pPr>
        <w:pStyle w:val="12"/>
        <w:spacing w:before="120" w:after="120"/>
        <w:rPr>
          <w:rFonts w:asciiTheme="minorHAnsi" w:hAnsiTheme="minorHAnsi" w:cstheme="minorHAnsi"/>
        </w:rPr>
      </w:pPr>
      <w:r>
        <w:rPr>
          <w:rFonts w:ascii="Calibri" w:hAnsi="Calibri" w:cs="Calibri"/>
        </w:rPr>
        <w:t xml:space="preserve"> 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5</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8</w:t>
      </w:r>
      <w:r>
        <w:rPr>
          <w:rFonts w:ascii="Calibri" w:hAnsi="Calibri" w:cs="Calibri"/>
        </w:rPr>
        <w:fldChar w:fldCharType="end"/>
      </w:r>
      <w:r>
        <w:rPr>
          <w:rFonts w:asciiTheme="minorHAnsi" w:hAnsiTheme="minorHAnsi" w:cstheme="minorHAnsi"/>
        </w:rPr>
        <w:t xml:space="preserve"> The Special Commands Tab</w:t>
      </w:r>
    </w:p>
    <w:p w14:paraId="17C8A28E">
      <w:pPr>
        <w:pStyle w:val="40"/>
        <w:spacing w:after="240" w:line="240" w:lineRule="auto"/>
        <w:ind w:left="0"/>
        <w:rPr>
          <w:rFonts w:cstheme="minorHAnsi"/>
          <w:sz w:val="21"/>
          <w:szCs w:val="21"/>
        </w:rPr>
      </w:pPr>
      <w:r>
        <w:rPr>
          <w:rFonts w:cstheme="minorHAnsi"/>
          <w:sz w:val="21"/>
          <w:szCs w:val="21"/>
        </w:rPr>
        <w:t>In this tab includes:</w:t>
      </w:r>
    </w:p>
    <w:p w14:paraId="0710D2BE">
      <w:pPr>
        <w:pStyle w:val="61"/>
        <w:numPr>
          <w:ilvl w:val="0"/>
          <w:numId w:val="19"/>
        </w:numPr>
        <w:spacing w:after="240"/>
        <w:ind w:firstLineChars="0"/>
        <w:rPr>
          <w:rFonts w:cstheme="minorHAnsi"/>
        </w:rPr>
      </w:pPr>
      <w:r>
        <w:rPr>
          <w:rFonts w:cstheme="minorHAnsi"/>
        </w:rPr>
        <w:t>LCD display type: used to set the main variable to display the transmitter LCD head.You can be set to: display the main variable value, the second variable value, the current value, the display percentage, the main variable and the current value alternately display and the user value.</w:t>
      </w:r>
    </w:p>
    <w:p w14:paraId="2B717C7F">
      <w:pPr>
        <w:pStyle w:val="61"/>
        <w:numPr>
          <w:ilvl w:val="0"/>
          <w:numId w:val="19"/>
        </w:numPr>
        <w:spacing w:after="240"/>
        <w:ind w:firstLineChars="0"/>
        <w:rPr>
          <w:rFonts w:cstheme="minorHAnsi"/>
        </w:rPr>
      </w:pPr>
      <w:r>
        <w:rPr>
          <w:rFonts w:cstheme="minorHAnsi"/>
        </w:rPr>
        <w:t>Local operation: Configure the functional permission of the local magnetic rod operation through the software.With three settings: set to Cancel, the local magnet rod operation will be invalid; set to simplified version, the geomagnetic function is limited to adjust zero and full range points; set to Full Version, the local magnet rod can perform all local tuning functions.</w:t>
      </w:r>
    </w:p>
    <w:p w14:paraId="3BC1D3D4">
      <w:pPr>
        <w:pStyle w:val="61"/>
        <w:numPr>
          <w:ilvl w:val="0"/>
          <w:numId w:val="19"/>
        </w:numPr>
        <w:spacing w:after="240"/>
        <w:ind w:firstLineChars="0"/>
        <w:rPr>
          <w:rFonts w:cstheme="minorHAnsi"/>
        </w:rPr>
      </w:pPr>
      <w:r>
        <w:rPr>
          <w:rFonts w:cstheme="minorHAnsi"/>
        </w:rPr>
        <w:t>Small signal excision: the percentage of removing small signals ranges from 0.0 to 0.005.</w:t>
      </w:r>
    </w:p>
    <w:p w14:paraId="15E82EA1">
      <w:pPr>
        <w:pStyle w:val="61"/>
        <w:numPr>
          <w:ilvl w:val="0"/>
          <w:numId w:val="19"/>
        </w:numPr>
        <w:spacing w:after="240"/>
        <w:ind w:firstLineChars="0"/>
        <w:rPr>
          <w:rFonts w:cstheme="minorHAnsi"/>
        </w:rPr>
      </w:pPr>
      <w:r>
        <w:rPr>
          <w:rFonts w:cstheme="minorHAnsi"/>
        </w:rPr>
        <w:t>User unit: In applications or where relative adjustment is selected, the new unit can be defined by the custom unit (user unit) function.These measurements include applications of fluid level, volume, flow rate, or mass flow rate obtained indirectly through pressure measurements.Users must change the User Unit Mode to Enable before using this feature.</w:t>
      </w:r>
    </w:p>
    <w:p w14:paraId="07519C53">
      <w:pPr>
        <w:spacing w:after="240"/>
        <w:ind w:firstLine="420" w:firstLineChars="200"/>
        <w:rPr>
          <w:rFonts w:cstheme="minorHAnsi"/>
        </w:rPr>
      </w:pPr>
      <w:r>
        <w:rPr>
          <w:rFonts w:cstheme="minorHAnsi"/>
        </w:rPr>
        <w:t>For the reference, one value corresponds to 0% of the measurement and the other value corresponds to 100%.</w:t>
      </w:r>
    </w:p>
    <w:p w14:paraId="60E6DAB7">
      <w:pPr>
        <w:pStyle w:val="61"/>
        <w:numPr>
          <w:ilvl w:val="0"/>
          <w:numId w:val="20"/>
        </w:numPr>
        <w:spacing w:after="240"/>
        <w:ind w:firstLineChars="0"/>
        <w:rPr>
          <w:rFonts w:cstheme="minorHAnsi"/>
        </w:rPr>
      </w:pPr>
      <w:r>
        <w:rPr>
          <w:rFonts w:cstheme="minorHAnsi"/>
        </w:rPr>
        <w:t>0% -Required reading when pressure equals a low-end value (PV% = 0%, or output equals 4mA in transmitter mode).</w:t>
      </w:r>
    </w:p>
    <w:p w14:paraId="13619206">
      <w:pPr>
        <w:pStyle w:val="61"/>
        <w:numPr>
          <w:ilvl w:val="0"/>
          <w:numId w:val="20"/>
        </w:numPr>
        <w:spacing w:after="240"/>
        <w:ind w:firstLineChars="0"/>
        <w:rPr>
          <w:rFonts w:cstheme="minorHAnsi"/>
        </w:rPr>
      </w:pPr>
      <w:r>
        <w:rPr>
          <w:rFonts w:cstheme="minorHAnsi"/>
        </w:rPr>
        <w:t>100% - Required reading when the pressure is equal to the high-end value (PV% =100%, or the output equals 20mA in transmitter mode).</w:t>
      </w:r>
    </w:p>
    <w:p w14:paraId="212BA71B">
      <w:pPr>
        <w:pStyle w:val="61"/>
        <w:spacing w:after="240"/>
        <w:ind w:left="839" w:firstLine="0" w:firstLineChars="0"/>
        <w:rPr>
          <w:rFonts w:cstheme="minorHAnsi"/>
        </w:rPr>
      </w:pPr>
      <w:r>
        <w:rPr>
          <w:rFonts w:cstheme="minorHAnsi"/>
        </w:rPr>
        <w:t>User custom units can be selected from a drop-down list contained in the User Units. Make new measurements to be associated with new units so that all monitoring systems equipped with the HART protocol can access the special units included in the table. The user is responsible for the consistency of this information. This pressure transmitter cannot verify that the corresponding 0% and 100% values set by the user match the selected units.</w:t>
      </w:r>
    </w:p>
    <w:p w14:paraId="22B66FC2">
      <w:pPr>
        <w:pStyle w:val="61"/>
        <w:spacing w:after="240"/>
        <w:ind w:left="839" w:firstLine="0" w:firstLineChars="0"/>
        <w:rPr>
          <w:rFonts w:cstheme="minorHAnsi"/>
        </w:rPr>
      </w:pPr>
      <w:r>
        <w:rPr>
          <w:rFonts w:cstheme="minorHAnsi"/>
        </w:rPr>
        <w:t>If the user needs a special unit that is not included in the "User Unit," the transmitter allows the user to enter five characters in the "User unit string" to create a new unit.</w:t>
      </w:r>
    </w:p>
    <w:p w14:paraId="4BEA1AC0">
      <w:pPr>
        <w:pStyle w:val="61"/>
        <w:spacing w:after="240"/>
        <w:ind w:left="839" w:firstLine="0" w:firstLineChars="0"/>
        <w:rPr>
          <w:rFonts w:cstheme="minorHAnsi"/>
        </w:rPr>
      </w:pPr>
      <w:r>
        <w:rPr>
          <w:rFonts w:cstheme="minorHAnsi"/>
        </w:rPr>
        <w:t>Example: The transmitter PT105II is connected to a vertical cylinder tank (6 m long, 2 m diameter) and is linearized using the capacity meter data in the linearized table.Measured by high end pressure pressure, the transmitter is 250mm under the base. The measured liquid is the water at 20</w:t>
      </w:r>
      <w:r>
        <w:rPr>
          <w:rFonts w:ascii="Cambria Math" w:hAnsi="Cambria Math" w:cs="Cambria Math"/>
        </w:rPr>
        <w:t>℃</w:t>
      </w:r>
      <w:r>
        <w:rPr>
          <w:rFonts w:cstheme="minorHAnsi"/>
        </w:rPr>
        <w:t>.</w:t>
      </w:r>
    </w:p>
    <w:p w14:paraId="6F111735">
      <w:pPr>
        <w:spacing w:after="240"/>
        <w:ind w:firstLine="840" w:firstLineChars="400"/>
        <w:rPr>
          <w:rFonts w:cstheme="minorHAnsi"/>
        </w:rPr>
      </w:pPr>
      <w:r>
        <w:rPr>
          <w:rFonts w:cstheme="minorHAnsi"/>
        </w:rPr>
        <w:t>Tank volume：[(π*d2)/4]*l=[(π*22)/4]π*6 = 18,85 m3.</w:t>
      </w:r>
    </w:p>
    <w:p w14:paraId="7DB435D3">
      <w:pPr>
        <w:pStyle w:val="61"/>
        <w:spacing w:after="240"/>
        <w:ind w:left="839" w:firstLine="0" w:firstLineChars="0"/>
        <w:rPr>
          <w:rFonts w:cstheme="minorHAnsi"/>
        </w:rPr>
      </w:pPr>
      <w:r>
        <w:rPr>
          <w:rFonts w:cstheme="minorHAnsi"/>
        </w:rPr>
        <w:t>The pressure should be reduced from the measured pressure to obtain the tank level. Therefore, perform the following reference-free source calibration as follows:</w:t>
      </w:r>
    </w:p>
    <w:p w14:paraId="0581DD50">
      <w:pPr>
        <w:spacing w:after="240"/>
        <w:ind w:firstLine="840" w:firstLineChars="400"/>
        <w:rPr>
          <w:rFonts w:cstheme="minorHAnsi"/>
        </w:rPr>
      </w:pPr>
      <w:r>
        <w:rPr>
          <w:rFonts w:cstheme="minorHAnsi"/>
        </w:rPr>
        <w:t>After calibration is completed:</w:t>
      </w:r>
    </w:p>
    <w:p w14:paraId="6213EAB3">
      <w:pPr>
        <w:spacing w:after="240"/>
        <w:ind w:firstLine="840" w:firstLineChars="400"/>
        <w:rPr>
          <w:rFonts w:cstheme="minorHAnsi"/>
        </w:rPr>
      </w:pPr>
      <w:r>
        <w:rPr>
          <w:rFonts w:cstheme="minorHAnsi"/>
        </w:rPr>
        <w:t>Range lower limit = 250mmH2O</w:t>
      </w:r>
    </w:p>
    <w:p w14:paraId="311FCE6A">
      <w:pPr>
        <w:spacing w:after="240"/>
        <w:ind w:firstLine="840" w:firstLineChars="400"/>
        <w:rPr>
          <w:rFonts w:cstheme="minorHAnsi"/>
        </w:rPr>
      </w:pPr>
      <w:r>
        <w:rPr>
          <w:rFonts w:cstheme="minorHAnsi"/>
        </w:rPr>
        <w:t>Range upper limit = 2250 mmH2O</w:t>
      </w:r>
    </w:p>
    <w:p w14:paraId="2C3E75E0">
      <w:pPr>
        <w:spacing w:after="240"/>
        <w:ind w:firstLine="840" w:firstLineChars="400"/>
        <w:rPr>
          <w:rFonts w:cstheme="minorHAnsi"/>
        </w:rPr>
      </w:pPr>
      <w:r>
        <w:rPr>
          <w:rFonts w:cstheme="minorHAnsi"/>
        </w:rPr>
        <w:t>Pressure unit = mmH2O</w:t>
      </w:r>
    </w:p>
    <w:p w14:paraId="733CE325">
      <w:pPr>
        <w:spacing w:after="240"/>
        <w:ind w:firstLine="840" w:firstLineChars="400"/>
        <w:rPr>
          <w:rFonts w:cstheme="minorHAnsi"/>
        </w:rPr>
      </w:pPr>
      <w:r>
        <w:rPr>
          <w:rFonts w:cstheme="minorHAnsi"/>
        </w:rPr>
        <w:t>In the custom units:</w:t>
      </w:r>
    </w:p>
    <w:p w14:paraId="01E2FB4E">
      <w:pPr>
        <w:spacing w:after="240"/>
        <w:ind w:firstLine="840" w:firstLineChars="400"/>
        <w:rPr>
          <w:rFonts w:cstheme="minorHAnsi"/>
        </w:rPr>
      </w:pPr>
      <w:r>
        <w:rPr>
          <w:rFonts w:cstheme="minorHAnsi"/>
        </w:rPr>
        <w:t>EU0% = 0</w:t>
      </w:r>
    </w:p>
    <w:p w14:paraId="7BCF925C">
      <w:pPr>
        <w:spacing w:after="240"/>
        <w:ind w:firstLine="840" w:firstLineChars="400"/>
        <w:rPr>
          <w:rFonts w:cstheme="minorHAnsi"/>
        </w:rPr>
      </w:pPr>
      <w:r>
        <w:rPr>
          <w:rFonts w:cstheme="minorHAnsi"/>
        </w:rPr>
        <w:t>EU100% = 18.85</w:t>
      </w:r>
    </w:p>
    <w:p w14:paraId="652EC803">
      <w:pPr>
        <w:spacing w:after="240"/>
        <w:ind w:firstLine="840" w:firstLineChars="400"/>
        <w:rPr>
          <w:rFonts w:cstheme="minorHAnsi"/>
        </w:rPr>
      </w:pPr>
      <w:r>
        <w:rPr>
          <w:rFonts w:cstheme="minorHAnsi"/>
        </w:rPr>
        <w:t>User Unit = m3</w:t>
      </w:r>
    </w:p>
    <w:p w14:paraId="4EBBFDEB">
      <w:pPr>
        <w:spacing w:after="240"/>
        <w:ind w:firstLine="840" w:firstLineChars="400"/>
        <w:rPr>
          <w:rFonts w:cstheme="minorHAnsi"/>
        </w:rPr>
      </w:pPr>
      <w:r>
        <w:rPr>
          <w:rFonts w:cstheme="minorHAnsi"/>
        </w:rPr>
        <w:t>After you can customize the units, the PT105II begins to indicate the new measurements.</w:t>
      </w:r>
    </w:p>
    <w:p w14:paraId="1D09109E">
      <w:pPr>
        <w:pStyle w:val="61"/>
        <w:numPr>
          <w:ilvl w:val="0"/>
          <w:numId w:val="19"/>
        </w:numPr>
        <w:spacing w:after="240"/>
        <w:ind w:firstLineChars="0"/>
        <w:rPr>
          <w:rFonts w:cstheme="minorHAnsi"/>
        </w:rPr>
      </w:pPr>
      <w:r>
        <w:rPr>
          <w:rFonts w:cstheme="minorHAnsi"/>
        </w:rPr>
        <w:t>Linear table X-Y：</w:t>
      </w:r>
    </w:p>
    <w:p w14:paraId="7FCF349E">
      <w:pPr>
        <w:spacing w:after="240"/>
        <w:rPr>
          <w:rFonts w:cstheme="minorHAnsi"/>
        </w:rPr>
      </w:pPr>
      <w:r>
        <w:rPr>
          <w:rFonts w:cstheme="minorHAnsi"/>
        </w:rPr>
        <w:t>If the output transfer function of the pressure gauge is properly set to the Special Curve, the output follows the curve given by the table (X-Y).</w:t>
      </w:r>
    </w:p>
    <w:p w14:paraId="4B228C95">
      <w:pPr>
        <w:spacing w:after="240"/>
        <w:rPr>
          <w:rFonts w:cstheme="minorHAnsi"/>
        </w:rPr>
      </w:pPr>
      <w:r>
        <w:rPr>
          <w:rFonts w:cstheme="minorHAnsi"/>
        </w:rPr>
        <w:t>If 4 to 20 m A is expected to be proportional to the volume or mass of the liquid in the tank, you must convert the pressure measurement "X" into the volume (or mass) "Y" with the table shown in the table below.</w:t>
      </w:r>
    </w:p>
    <w:tbl>
      <w:tblPr>
        <w:tblStyle w:val="64"/>
        <w:tblW w:w="0" w:type="auto"/>
        <w:jc w:val="center"/>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5"/>
        <w:gridCol w:w="1855"/>
        <w:gridCol w:w="1118"/>
        <w:gridCol w:w="1121"/>
        <w:gridCol w:w="1123"/>
      </w:tblGrid>
      <w:tr w14:paraId="3F1415F0">
        <w:tblPrEx>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625" w:type="dxa"/>
            <w:tcBorders>
              <w:bottom w:val="single" w:color="C0504D" w:themeColor="accent2" w:sz="4" w:space="0"/>
              <w:insideH w:val="single" w:sz="4" w:space="0"/>
            </w:tcBorders>
            <w:vAlign w:val="center"/>
          </w:tcPr>
          <w:p w14:paraId="0777FB49">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Spot</w:t>
            </w:r>
          </w:p>
        </w:tc>
        <w:tc>
          <w:tcPr>
            <w:tcW w:w="1855" w:type="dxa"/>
            <w:tcBorders>
              <w:bottom w:val="single" w:color="C0504D" w:themeColor="accent2" w:sz="4" w:space="0"/>
              <w:insideH w:val="single" w:sz="4" w:space="0"/>
            </w:tcBorders>
            <w:vAlign w:val="center"/>
          </w:tcPr>
          <w:p w14:paraId="20EFDA1E">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Pressure</w:t>
            </w:r>
          </w:p>
        </w:tc>
        <w:tc>
          <w:tcPr>
            <w:tcW w:w="1118" w:type="dxa"/>
            <w:tcBorders>
              <w:bottom w:val="single" w:color="C0504D" w:themeColor="accent2" w:sz="4" w:space="0"/>
              <w:insideH w:val="single" w:sz="4" w:space="0"/>
            </w:tcBorders>
            <w:vAlign w:val="center"/>
          </w:tcPr>
          <w:p w14:paraId="2C8F6606">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X</w:t>
            </w:r>
          </w:p>
        </w:tc>
        <w:tc>
          <w:tcPr>
            <w:tcW w:w="1121" w:type="dxa"/>
            <w:tcBorders>
              <w:bottom w:val="single" w:color="C0504D" w:themeColor="accent2" w:sz="4" w:space="0"/>
              <w:insideH w:val="single" w:sz="4" w:space="0"/>
            </w:tcBorders>
            <w:vAlign w:val="center"/>
          </w:tcPr>
          <w:p w14:paraId="1449C5B4">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Volume</w:t>
            </w:r>
          </w:p>
        </w:tc>
        <w:tc>
          <w:tcPr>
            <w:tcW w:w="1123" w:type="dxa"/>
            <w:tcBorders>
              <w:bottom w:val="single" w:color="C0504D" w:themeColor="accent2" w:sz="4" w:space="0"/>
              <w:insideH w:val="single" w:sz="4" w:space="0"/>
            </w:tcBorders>
            <w:vAlign w:val="center"/>
          </w:tcPr>
          <w:p w14:paraId="6D3255D7">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Y</w:t>
            </w:r>
          </w:p>
        </w:tc>
      </w:tr>
      <w:tr w14:paraId="19A0B919">
        <w:tblPrEx>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 w:type="dxa"/>
            <w:shd w:val="clear" w:color="auto" w:fill="F2DBDB" w:themeFill="accent2" w:themeFillTint="33"/>
            <w:vAlign w:val="center"/>
          </w:tcPr>
          <w:p w14:paraId="009A6358">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1</w:t>
            </w:r>
          </w:p>
        </w:tc>
        <w:tc>
          <w:tcPr>
            <w:tcW w:w="1855" w:type="dxa"/>
            <w:shd w:val="clear" w:color="auto" w:fill="F2DBDB" w:themeFill="accent2" w:themeFillTint="33"/>
            <w:vAlign w:val="center"/>
          </w:tcPr>
          <w:p w14:paraId="3DE1E190">
            <w:pPr>
              <w:spacing w:after="240"/>
              <w:rPr>
                <w:rFonts w:cstheme="minorHAnsi"/>
                <w:b/>
                <w:color w:val="953735" w:themeColor="accent2" w:themeShade="BF"/>
                <w:sz w:val="18"/>
                <w:szCs w:val="18"/>
              </w:rPr>
            </w:pPr>
            <w:r>
              <w:rPr>
                <w:rFonts w:cstheme="minorHAnsi"/>
                <w:b/>
                <w:color w:val="953735" w:themeColor="accent2" w:themeShade="BF"/>
                <w:sz w:val="18"/>
                <w:szCs w:val="18"/>
              </w:rPr>
              <w:t>-</w:t>
            </w:r>
          </w:p>
        </w:tc>
        <w:tc>
          <w:tcPr>
            <w:tcW w:w="1118" w:type="dxa"/>
            <w:shd w:val="clear" w:color="auto" w:fill="F2DBDB" w:themeFill="accent2" w:themeFillTint="33"/>
            <w:vAlign w:val="center"/>
          </w:tcPr>
          <w:p w14:paraId="1D972CCE">
            <w:pPr>
              <w:spacing w:after="240"/>
              <w:rPr>
                <w:rFonts w:cstheme="minorHAnsi"/>
                <w:b/>
                <w:color w:val="953735" w:themeColor="accent2" w:themeShade="BF"/>
                <w:sz w:val="18"/>
                <w:szCs w:val="18"/>
              </w:rPr>
            </w:pPr>
            <w:r>
              <w:rPr>
                <w:rFonts w:cstheme="minorHAnsi"/>
                <w:b/>
                <w:color w:val="953735" w:themeColor="accent2" w:themeShade="BF"/>
                <w:sz w:val="18"/>
                <w:szCs w:val="18"/>
              </w:rPr>
              <w:t>-10%</w:t>
            </w:r>
          </w:p>
        </w:tc>
        <w:tc>
          <w:tcPr>
            <w:tcW w:w="1121" w:type="dxa"/>
            <w:shd w:val="clear" w:color="auto" w:fill="F2DBDB" w:themeFill="accent2" w:themeFillTint="33"/>
            <w:vAlign w:val="center"/>
          </w:tcPr>
          <w:p w14:paraId="4B9E9175">
            <w:pPr>
              <w:spacing w:after="240"/>
              <w:rPr>
                <w:rFonts w:cstheme="minorHAnsi"/>
                <w:b/>
                <w:color w:val="953735" w:themeColor="accent2" w:themeShade="BF"/>
                <w:sz w:val="18"/>
                <w:szCs w:val="18"/>
              </w:rPr>
            </w:pPr>
            <w:r>
              <w:rPr>
                <w:rFonts w:cstheme="minorHAnsi"/>
                <w:b/>
                <w:color w:val="953735" w:themeColor="accent2" w:themeShade="BF"/>
                <w:sz w:val="18"/>
                <w:szCs w:val="18"/>
              </w:rPr>
              <w:t>-</w:t>
            </w:r>
          </w:p>
        </w:tc>
        <w:tc>
          <w:tcPr>
            <w:tcW w:w="1123" w:type="dxa"/>
            <w:shd w:val="clear" w:color="auto" w:fill="F2DBDB" w:themeFill="accent2" w:themeFillTint="33"/>
            <w:vAlign w:val="center"/>
          </w:tcPr>
          <w:p w14:paraId="1D3F1F4E">
            <w:pPr>
              <w:spacing w:after="240"/>
              <w:rPr>
                <w:rFonts w:cstheme="minorHAnsi"/>
                <w:b/>
                <w:color w:val="953735" w:themeColor="accent2" w:themeShade="BF"/>
                <w:sz w:val="18"/>
                <w:szCs w:val="18"/>
              </w:rPr>
            </w:pPr>
            <w:r>
              <w:rPr>
                <w:rFonts w:cstheme="minorHAnsi"/>
                <w:b/>
                <w:color w:val="953735" w:themeColor="accent2" w:themeShade="BF"/>
                <w:sz w:val="18"/>
                <w:szCs w:val="18"/>
              </w:rPr>
              <w:t>-0.6%</w:t>
            </w:r>
          </w:p>
        </w:tc>
      </w:tr>
      <w:tr w14:paraId="6DE3783E">
        <w:tblPrEx>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 w:type="dxa"/>
            <w:vAlign w:val="center"/>
          </w:tcPr>
          <w:p w14:paraId="45E9ABAE">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2</w:t>
            </w:r>
          </w:p>
        </w:tc>
        <w:tc>
          <w:tcPr>
            <w:tcW w:w="1855" w:type="dxa"/>
            <w:vAlign w:val="center"/>
          </w:tcPr>
          <w:p w14:paraId="306C0382">
            <w:pPr>
              <w:spacing w:after="240"/>
              <w:rPr>
                <w:rFonts w:cstheme="minorHAnsi"/>
                <w:b/>
                <w:color w:val="953735" w:themeColor="accent2" w:themeShade="BF"/>
                <w:sz w:val="18"/>
                <w:szCs w:val="18"/>
              </w:rPr>
            </w:pPr>
            <w:r>
              <w:rPr>
                <w:rFonts w:cstheme="minorHAnsi"/>
                <w:b/>
                <w:color w:val="953735" w:themeColor="accent2" w:themeShade="BF"/>
                <w:sz w:val="18"/>
                <w:szCs w:val="18"/>
              </w:rPr>
              <w:t>250mmH</w:t>
            </w:r>
            <w:r>
              <w:rPr>
                <w:rFonts w:cstheme="minorHAnsi"/>
                <w:b/>
                <w:color w:val="953735" w:themeColor="accent2" w:themeShade="BF"/>
                <w:sz w:val="18"/>
                <w:szCs w:val="18"/>
                <w:vertAlign w:val="subscript"/>
              </w:rPr>
              <w:t>2</w:t>
            </w:r>
            <w:r>
              <w:rPr>
                <w:rFonts w:cstheme="minorHAnsi"/>
                <w:b/>
                <w:color w:val="953735" w:themeColor="accent2" w:themeShade="BF"/>
                <w:sz w:val="18"/>
                <w:szCs w:val="18"/>
              </w:rPr>
              <w:t>O</w:t>
            </w:r>
          </w:p>
        </w:tc>
        <w:tc>
          <w:tcPr>
            <w:tcW w:w="1118" w:type="dxa"/>
            <w:vAlign w:val="center"/>
          </w:tcPr>
          <w:p w14:paraId="3ACF6F23">
            <w:pPr>
              <w:spacing w:after="240"/>
              <w:rPr>
                <w:rFonts w:cstheme="minorHAnsi"/>
                <w:b/>
                <w:color w:val="953735" w:themeColor="accent2" w:themeShade="BF"/>
                <w:sz w:val="18"/>
                <w:szCs w:val="18"/>
              </w:rPr>
            </w:pPr>
            <w:r>
              <w:rPr>
                <w:rFonts w:cstheme="minorHAnsi"/>
                <w:b/>
                <w:color w:val="953735" w:themeColor="accent2" w:themeShade="BF"/>
                <w:sz w:val="18"/>
                <w:szCs w:val="18"/>
              </w:rPr>
              <w:t>0%</w:t>
            </w:r>
          </w:p>
        </w:tc>
        <w:tc>
          <w:tcPr>
            <w:tcW w:w="1121" w:type="dxa"/>
            <w:vAlign w:val="center"/>
          </w:tcPr>
          <w:p w14:paraId="42E7748C">
            <w:pPr>
              <w:spacing w:after="240"/>
              <w:rPr>
                <w:rFonts w:cstheme="minorHAnsi"/>
                <w:b/>
                <w:color w:val="953735" w:themeColor="accent2" w:themeShade="BF"/>
                <w:sz w:val="18"/>
                <w:szCs w:val="18"/>
              </w:rPr>
            </w:pPr>
            <w:r>
              <w:rPr>
                <w:rFonts w:cstheme="minorHAnsi"/>
                <w:b/>
                <w:color w:val="953735" w:themeColor="accent2" w:themeShade="BF"/>
                <w:sz w:val="18"/>
                <w:szCs w:val="18"/>
              </w:rPr>
              <w:t>0m</w:t>
            </w:r>
            <w:r>
              <w:rPr>
                <w:rFonts w:cstheme="minorHAnsi"/>
                <w:b/>
                <w:color w:val="953735" w:themeColor="accent2" w:themeShade="BF"/>
                <w:sz w:val="18"/>
                <w:szCs w:val="18"/>
                <w:vertAlign w:val="superscript"/>
              </w:rPr>
              <w:t>3</w:t>
            </w:r>
          </w:p>
        </w:tc>
        <w:tc>
          <w:tcPr>
            <w:tcW w:w="1123" w:type="dxa"/>
            <w:vAlign w:val="center"/>
          </w:tcPr>
          <w:p w14:paraId="446EE8BD">
            <w:pPr>
              <w:spacing w:after="240"/>
              <w:rPr>
                <w:rFonts w:cstheme="minorHAnsi"/>
                <w:b/>
                <w:color w:val="953735" w:themeColor="accent2" w:themeShade="BF"/>
                <w:sz w:val="18"/>
                <w:szCs w:val="18"/>
              </w:rPr>
            </w:pPr>
            <w:r>
              <w:rPr>
                <w:rFonts w:cstheme="minorHAnsi"/>
                <w:b/>
                <w:color w:val="953735" w:themeColor="accent2" w:themeShade="BF"/>
                <w:sz w:val="18"/>
                <w:szCs w:val="18"/>
              </w:rPr>
              <w:t>0%</w:t>
            </w:r>
          </w:p>
        </w:tc>
      </w:tr>
      <w:tr w14:paraId="22CBC467">
        <w:tblPrEx>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 w:type="dxa"/>
            <w:shd w:val="clear" w:color="auto" w:fill="F2DBDB" w:themeFill="accent2" w:themeFillTint="33"/>
            <w:vAlign w:val="center"/>
          </w:tcPr>
          <w:p w14:paraId="4A88DDB5">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3</w:t>
            </w:r>
          </w:p>
        </w:tc>
        <w:tc>
          <w:tcPr>
            <w:tcW w:w="1855" w:type="dxa"/>
            <w:shd w:val="clear" w:color="auto" w:fill="F2DBDB" w:themeFill="accent2" w:themeFillTint="33"/>
            <w:vAlign w:val="center"/>
          </w:tcPr>
          <w:p w14:paraId="7FAE33E7">
            <w:pPr>
              <w:spacing w:after="240"/>
              <w:rPr>
                <w:rFonts w:cstheme="minorHAnsi"/>
                <w:b/>
                <w:color w:val="953735" w:themeColor="accent2" w:themeShade="BF"/>
                <w:sz w:val="18"/>
                <w:szCs w:val="18"/>
              </w:rPr>
            </w:pPr>
            <w:r>
              <w:rPr>
                <w:rFonts w:cstheme="minorHAnsi"/>
                <w:b/>
                <w:color w:val="953735" w:themeColor="accent2" w:themeShade="BF"/>
                <w:sz w:val="18"/>
                <w:szCs w:val="18"/>
              </w:rPr>
              <w:t>450 mmH</w:t>
            </w:r>
            <w:r>
              <w:rPr>
                <w:rFonts w:cstheme="minorHAnsi"/>
                <w:b/>
                <w:color w:val="953735" w:themeColor="accent2" w:themeShade="BF"/>
                <w:sz w:val="18"/>
                <w:szCs w:val="18"/>
                <w:vertAlign w:val="subscript"/>
              </w:rPr>
              <w:t>2</w:t>
            </w:r>
            <w:r>
              <w:rPr>
                <w:rFonts w:cstheme="minorHAnsi"/>
                <w:b/>
                <w:color w:val="953735" w:themeColor="accent2" w:themeShade="BF"/>
                <w:sz w:val="18"/>
                <w:szCs w:val="18"/>
              </w:rPr>
              <w:t>O</w:t>
            </w:r>
          </w:p>
        </w:tc>
        <w:tc>
          <w:tcPr>
            <w:tcW w:w="1118" w:type="dxa"/>
            <w:shd w:val="clear" w:color="auto" w:fill="F2DBDB" w:themeFill="accent2" w:themeFillTint="33"/>
            <w:vAlign w:val="center"/>
          </w:tcPr>
          <w:p w14:paraId="590A2C3D">
            <w:pPr>
              <w:spacing w:after="240"/>
              <w:rPr>
                <w:rFonts w:cstheme="minorHAnsi"/>
                <w:b/>
                <w:color w:val="953735" w:themeColor="accent2" w:themeShade="BF"/>
                <w:sz w:val="18"/>
                <w:szCs w:val="18"/>
              </w:rPr>
            </w:pPr>
            <w:r>
              <w:rPr>
                <w:rFonts w:cstheme="minorHAnsi"/>
                <w:b/>
                <w:color w:val="953735" w:themeColor="accent2" w:themeShade="BF"/>
                <w:sz w:val="18"/>
                <w:szCs w:val="18"/>
              </w:rPr>
              <w:t>10%</w:t>
            </w:r>
          </w:p>
        </w:tc>
        <w:tc>
          <w:tcPr>
            <w:tcW w:w="1121" w:type="dxa"/>
            <w:shd w:val="clear" w:color="auto" w:fill="F2DBDB" w:themeFill="accent2" w:themeFillTint="33"/>
            <w:vAlign w:val="center"/>
          </w:tcPr>
          <w:p w14:paraId="764FFBCB">
            <w:pPr>
              <w:spacing w:after="240"/>
              <w:rPr>
                <w:rFonts w:cstheme="minorHAnsi"/>
                <w:b/>
                <w:color w:val="953735" w:themeColor="accent2" w:themeShade="BF"/>
                <w:sz w:val="18"/>
                <w:szCs w:val="18"/>
              </w:rPr>
            </w:pPr>
            <w:r>
              <w:rPr>
                <w:rFonts w:cstheme="minorHAnsi"/>
                <w:b/>
                <w:color w:val="953735" w:themeColor="accent2" w:themeShade="BF"/>
                <w:sz w:val="18"/>
                <w:szCs w:val="18"/>
              </w:rPr>
              <w:t>0.98 m</w:t>
            </w:r>
            <w:r>
              <w:rPr>
                <w:rFonts w:cstheme="minorHAnsi"/>
                <w:b/>
                <w:color w:val="953735" w:themeColor="accent2" w:themeShade="BF"/>
                <w:sz w:val="18"/>
                <w:szCs w:val="18"/>
                <w:vertAlign w:val="superscript"/>
              </w:rPr>
              <w:t>3</w:t>
            </w:r>
          </w:p>
        </w:tc>
        <w:tc>
          <w:tcPr>
            <w:tcW w:w="1123" w:type="dxa"/>
            <w:shd w:val="clear" w:color="auto" w:fill="F2DBDB" w:themeFill="accent2" w:themeFillTint="33"/>
            <w:vAlign w:val="center"/>
          </w:tcPr>
          <w:p w14:paraId="757BA091">
            <w:pPr>
              <w:spacing w:after="240"/>
              <w:rPr>
                <w:rFonts w:cstheme="minorHAnsi"/>
                <w:b/>
                <w:color w:val="953735" w:themeColor="accent2" w:themeShade="BF"/>
                <w:sz w:val="18"/>
                <w:szCs w:val="18"/>
              </w:rPr>
            </w:pPr>
            <w:r>
              <w:rPr>
                <w:rFonts w:cstheme="minorHAnsi"/>
                <w:b/>
                <w:color w:val="953735" w:themeColor="accent2" w:themeShade="BF"/>
                <w:sz w:val="18"/>
                <w:szCs w:val="18"/>
              </w:rPr>
              <w:t>5.22%</w:t>
            </w:r>
          </w:p>
        </w:tc>
      </w:tr>
      <w:tr w14:paraId="4924ED31">
        <w:tblPrEx>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 w:type="dxa"/>
            <w:vAlign w:val="center"/>
          </w:tcPr>
          <w:p w14:paraId="7E3A6248">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4</w:t>
            </w:r>
          </w:p>
        </w:tc>
        <w:tc>
          <w:tcPr>
            <w:tcW w:w="1855" w:type="dxa"/>
            <w:vAlign w:val="center"/>
          </w:tcPr>
          <w:p w14:paraId="20D94D35">
            <w:pPr>
              <w:spacing w:after="240"/>
              <w:rPr>
                <w:rFonts w:cstheme="minorHAnsi"/>
                <w:b/>
                <w:color w:val="953735" w:themeColor="accent2" w:themeShade="BF"/>
                <w:sz w:val="18"/>
                <w:szCs w:val="18"/>
              </w:rPr>
            </w:pPr>
            <w:r>
              <w:rPr>
                <w:rFonts w:cstheme="minorHAnsi"/>
                <w:b/>
                <w:color w:val="953735" w:themeColor="accent2" w:themeShade="BF"/>
                <w:sz w:val="18"/>
                <w:szCs w:val="18"/>
              </w:rPr>
              <w:t>750 mmH</w:t>
            </w:r>
            <w:r>
              <w:rPr>
                <w:rFonts w:cstheme="minorHAnsi"/>
                <w:b/>
                <w:color w:val="953735" w:themeColor="accent2" w:themeShade="BF"/>
                <w:sz w:val="18"/>
                <w:szCs w:val="18"/>
                <w:vertAlign w:val="subscript"/>
              </w:rPr>
              <w:t>2</w:t>
            </w:r>
            <w:r>
              <w:rPr>
                <w:rFonts w:cstheme="minorHAnsi"/>
                <w:b/>
                <w:color w:val="953735" w:themeColor="accent2" w:themeShade="BF"/>
                <w:sz w:val="18"/>
                <w:szCs w:val="18"/>
              </w:rPr>
              <w:t>O</w:t>
            </w:r>
          </w:p>
        </w:tc>
        <w:tc>
          <w:tcPr>
            <w:tcW w:w="1118" w:type="dxa"/>
            <w:vAlign w:val="center"/>
          </w:tcPr>
          <w:p w14:paraId="4B73B734">
            <w:pPr>
              <w:spacing w:after="240"/>
              <w:rPr>
                <w:rFonts w:cstheme="minorHAnsi"/>
                <w:b/>
                <w:color w:val="953735" w:themeColor="accent2" w:themeShade="BF"/>
                <w:sz w:val="18"/>
                <w:szCs w:val="18"/>
              </w:rPr>
            </w:pPr>
            <w:r>
              <w:rPr>
                <w:rFonts w:cstheme="minorHAnsi"/>
                <w:b/>
                <w:color w:val="953735" w:themeColor="accent2" w:themeShade="BF"/>
                <w:sz w:val="18"/>
                <w:szCs w:val="18"/>
              </w:rPr>
              <w:t>25%</w:t>
            </w:r>
          </w:p>
        </w:tc>
        <w:tc>
          <w:tcPr>
            <w:tcW w:w="1121" w:type="dxa"/>
            <w:vAlign w:val="center"/>
          </w:tcPr>
          <w:p w14:paraId="314834A3">
            <w:pPr>
              <w:spacing w:after="240"/>
              <w:rPr>
                <w:rFonts w:cstheme="minorHAnsi"/>
                <w:b/>
                <w:color w:val="953735" w:themeColor="accent2" w:themeShade="BF"/>
                <w:sz w:val="18"/>
                <w:szCs w:val="18"/>
              </w:rPr>
            </w:pPr>
            <w:r>
              <w:rPr>
                <w:rFonts w:cstheme="minorHAnsi"/>
                <w:b/>
                <w:color w:val="953735" w:themeColor="accent2" w:themeShade="BF"/>
                <w:sz w:val="18"/>
                <w:szCs w:val="18"/>
              </w:rPr>
              <w:t>2.90 m</w:t>
            </w:r>
            <w:r>
              <w:rPr>
                <w:rFonts w:cstheme="minorHAnsi"/>
                <w:b/>
                <w:color w:val="953735" w:themeColor="accent2" w:themeShade="BF"/>
                <w:sz w:val="18"/>
                <w:szCs w:val="18"/>
                <w:vertAlign w:val="superscript"/>
              </w:rPr>
              <w:t>3</w:t>
            </w:r>
          </w:p>
        </w:tc>
        <w:tc>
          <w:tcPr>
            <w:tcW w:w="1123" w:type="dxa"/>
            <w:vAlign w:val="center"/>
          </w:tcPr>
          <w:p w14:paraId="3A181686">
            <w:pPr>
              <w:spacing w:after="240"/>
              <w:rPr>
                <w:rFonts w:cstheme="minorHAnsi"/>
                <w:b/>
                <w:color w:val="953735" w:themeColor="accent2" w:themeShade="BF"/>
                <w:sz w:val="18"/>
                <w:szCs w:val="18"/>
              </w:rPr>
            </w:pPr>
            <w:r>
              <w:rPr>
                <w:rFonts w:cstheme="minorHAnsi"/>
                <w:b/>
                <w:color w:val="953735" w:themeColor="accent2" w:themeShade="BF"/>
                <w:sz w:val="18"/>
                <w:szCs w:val="18"/>
              </w:rPr>
              <w:t>15.38%</w:t>
            </w:r>
          </w:p>
        </w:tc>
      </w:tr>
      <w:tr w14:paraId="6FB45C83">
        <w:tblPrEx>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 w:type="dxa"/>
            <w:shd w:val="clear" w:color="auto" w:fill="F2DBDB" w:themeFill="accent2" w:themeFillTint="33"/>
            <w:vAlign w:val="center"/>
          </w:tcPr>
          <w:p w14:paraId="28AC5AD3">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5</w:t>
            </w:r>
          </w:p>
        </w:tc>
        <w:tc>
          <w:tcPr>
            <w:tcW w:w="1855" w:type="dxa"/>
            <w:shd w:val="clear" w:color="auto" w:fill="F2DBDB" w:themeFill="accent2" w:themeFillTint="33"/>
            <w:vAlign w:val="center"/>
          </w:tcPr>
          <w:p w14:paraId="77252B50">
            <w:pPr>
              <w:spacing w:after="240"/>
              <w:rPr>
                <w:rFonts w:cstheme="minorHAnsi"/>
                <w:b/>
                <w:color w:val="953735" w:themeColor="accent2" w:themeShade="BF"/>
                <w:sz w:val="18"/>
                <w:szCs w:val="18"/>
              </w:rPr>
            </w:pPr>
            <w:r>
              <w:rPr>
                <w:rFonts w:cstheme="minorHAnsi"/>
                <w:b/>
                <w:color w:val="953735" w:themeColor="accent2" w:themeShade="BF"/>
                <w:sz w:val="18"/>
                <w:szCs w:val="18"/>
              </w:rPr>
              <w:t>957.2 mmH</w:t>
            </w:r>
            <w:r>
              <w:rPr>
                <w:rFonts w:cstheme="minorHAnsi"/>
                <w:b/>
                <w:color w:val="953735" w:themeColor="accent2" w:themeShade="BF"/>
                <w:sz w:val="18"/>
                <w:szCs w:val="18"/>
                <w:vertAlign w:val="subscript"/>
              </w:rPr>
              <w:t>2</w:t>
            </w:r>
            <w:r>
              <w:rPr>
                <w:rFonts w:cstheme="minorHAnsi"/>
                <w:b/>
                <w:color w:val="953735" w:themeColor="accent2" w:themeShade="BF"/>
                <w:sz w:val="18"/>
                <w:szCs w:val="18"/>
              </w:rPr>
              <w:t>O</w:t>
            </w:r>
          </w:p>
        </w:tc>
        <w:tc>
          <w:tcPr>
            <w:tcW w:w="1118" w:type="dxa"/>
            <w:shd w:val="clear" w:color="auto" w:fill="F2DBDB" w:themeFill="accent2" w:themeFillTint="33"/>
            <w:vAlign w:val="center"/>
          </w:tcPr>
          <w:p w14:paraId="67FB9405">
            <w:pPr>
              <w:spacing w:after="240"/>
              <w:rPr>
                <w:rFonts w:cstheme="minorHAnsi"/>
                <w:b/>
                <w:color w:val="953735" w:themeColor="accent2" w:themeShade="BF"/>
                <w:sz w:val="18"/>
                <w:szCs w:val="18"/>
              </w:rPr>
            </w:pPr>
            <w:r>
              <w:rPr>
                <w:rFonts w:cstheme="minorHAnsi"/>
                <w:b/>
                <w:color w:val="953735" w:themeColor="accent2" w:themeShade="BF"/>
                <w:sz w:val="18"/>
                <w:szCs w:val="18"/>
              </w:rPr>
              <w:t>35.36%</w:t>
            </w:r>
          </w:p>
        </w:tc>
        <w:tc>
          <w:tcPr>
            <w:tcW w:w="1121" w:type="dxa"/>
            <w:shd w:val="clear" w:color="auto" w:fill="F2DBDB" w:themeFill="accent2" w:themeFillTint="33"/>
            <w:vAlign w:val="center"/>
          </w:tcPr>
          <w:p w14:paraId="396A7CAD">
            <w:pPr>
              <w:spacing w:after="240"/>
              <w:rPr>
                <w:rFonts w:cstheme="minorHAnsi"/>
                <w:b/>
                <w:color w:val="953735" w:themeColor="accent2" w:themeShade="BF"/>
                <w:sz w:val="18"/>
                <w:szCs w:val="18"/>
              </w:rPr>
            </w:pPr>
            <w:r>
              <w:rPr>
                <w:rFonts w:cstheme="minorHAnsi"/>
                <w:b/>
                <w:color w:val="953735" w:themeColor="accent2" w:themeShade="BF"/>
                <w:sz w:val="18"/>
                <w:szCs w:val="18"/>
              </w:rPr>
              <w:t>4.71 m</w:t>
            </w:r>
            <w:r>
              <w:rPr>
                <w:rFonts w:cstheme="minorHAnsi"/>
                <w:b/>
                <w:color w:val="953735" w:themeColor="accent2" w:themeShade="BF"/>
                <w:sz w:val="18"/>
                <w:szCs w:val="18"/>
                <w:vertAlign w:val="superscript"/>
              </w:rPr>
              <w:t>3</w:t>
            </w:r>
          </w:p>
        </w:tc>
        <w:tc>
          <w:tcPr>
            <w:tcW w:w="1123" w:type="dxa"/>
            <w:shd w:val="clear" w:color="auto" w:fill="F2DBDB" w:themeFill="accent2" w:themeFillTint="33"/>
            <w:vAlign w:val="center"/>
          </w:tcPr>
          <w:p w14:paraId="453DD22A">
            <w:pPr>
              <w:spacing w:after="240"/>
              <w:rPr>
                <w:rFonts w:cstheme="minorHAnsi"/>
                <w:b/>
                <w:color w:val="953735" w:themeColor="accent2" w:themeShade="BF"/>
                <w:sz w:val="18"/>
                <w:szCs w:val="18"/>
              </w:rPr>
            </w:pPr>
            <w:r>
              <w:rPr>
                <w:rFonts w:cstheme="minorHAnsi"/>
                <w:b/>
                <w:color w:val="953735" w:themeColor="accent2" w:themeShade="BF"/>
                <w:sz w:val="18"/>
                <w:szCs w:val="18"/>
              </w:rPr>
              <w:t>25%</w:t>
            </w:r>
          </w:p>
        </w:tc>
      </w:tr>
      <w:tr w14:paraId="27270A53">
        <w:tblPrEx>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 w:type="dxa"/>
            <w:vAlign w:val="center"/>
          </w:tcPr>
          <w:p w14:paraId="754E03D3">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6</w:t>
            </w:r>
          </w:p>
        </w:tc>
        <w:tc>
          <w:tcPr>
            <w:tcW w:w="1855" w:type="dxa"/>
            <w:vAlign w:val="center"/>
          </w:tcPr>
          <w:p w14:paraId="4CF5A7C5">
            <w:pPr>
              <w:spacing w:after="240"/>
              <w:rPr>
                <w:rFonts w:cstheme="minorHAnsi"/>
                <w:b/>
                <w:color w:val="953735" w:themeColor="accent2" w:themeShade="BF"/>
                <w:sz w:val="18"/>
                <w:szCs w:val="18"/>
              </w:rPr>
            </w:pPr>
            <w:r>
              <w:rPr>
                <w:rFonts w:cstheme="minorHAnsi"/>
                <w:b/>
                <w:color w:val="953735" w:themeColor="accent2" w:themeShade="BF"/>
                <w:sz w:val="18"/>
                <w:szCs w:val="18"/>
              </w:rPr>
              <w:t>1050 mmH</w:t>
            </w:r>
            <w:r>
              <w:rPr>
                <w:rFonts w:cstheme="minorHAnsi"/>
                <w:b/>
                <w:color w:val="953735" w:themeColor="accent2" w:themeShade="BF"/>
                <w:sz w:val="18"/>
                <w:szCs w:val="18"/>
                <w:vertAlign w:val="subscript"/>
              </w:rPr>
              <w:t>2</w:t>
            </w:r>
            <w:r>
              <w:rPr>
                <w:rFonts w:cstheme="minorHAnsi"/>
                <w:b/>
                <w:color w:val="953735" w:themeColor="accent2" w:themeShade="BF"/>
                <w:sz w:val="18"/>
                <w:szCs w:val="18"/>
              </w:rPr>
              <w:t>O</w:t>
            </w:r>
          </w:p>
        </w:tc>
        <w:tc>
          <w:tcPr>
            <w:tcW w:w="1118" w:type="dxa"/>
            <w:vAlign w:val="center"/>
          </w:tcPr>
          <w:p w14:paraId="0731FC9F">
            <w:pPr>
              <w:spacing w:after="240"/>
              <w:rPr>
                <w:rFonts w:cstheme="minorHAnsi"/>
                <w:b/>
                <w:color w:val="953735" w:themeColor="accent2" w:themeShade="BF"/>
                <w:sz w:val="18"/>
                <w:szCs w:val="18"/>
              </w:rPr>
            </w:pPr>
            <w:r>
              <w:rPr>
                <w:rFonts w:cstheme="minorHAnsi"/>
                <w:b/>
                <w:color w:val="953735" w:themeColor="accent2" w:themeShade="BF"/>
                <w:sz w:val="18"/>
                <w:szCs w:val="18"/>
              </w:rPr>
              <w:t>40%</w:t>
            </w:r>
          </w:p>
        </w:tc>
        <w:tc>
          <w:tcPr>
            <w:tcW w:w="1121" w:type="dxa"/>
            <w:vAlign w:val="center"/>
          </w:tcPr>
          <w:p w14:paraId="23B52140">
            <w:pPr>
              <w:spacing w:after="240"/>
              <w:rPr>
                <w:rFonts w:cstheme="minorHAnsi"/>
                <w:b/>
                <w:color w:val="953735" w:themeColor="accent2" w:themeShade="BF"/>
                <w:sz w:val="18"/>
                <w:szCs w:val="18"/>
              </w:rPr>
            </w:pPr>
            <w:r>
              <w:rPr>
                <w:rFonts w:cstheme="minorHAnsi"/>
                <w:b/>
                <w:color w:val="953735" w:themeColor="accent2" w:themeShade="BF"/>
                <w:sz w:val="18"/>
                <w:szCs w:val="18"/>
              </w:rPr>
              <w:t>7.04 m</w:t>
            </w:r>
            <w:r>
              <w:rPr>
                <w:rFonts w:cstheme="minorHAnsi"/>
                <w:b/>
                <w:color w:val="953735" w:themeColor="accent2" w:themeShade="BF"/>
                <w:sz w:val="18"/>
                <w:szCs w:val="18"/>
                <w:vertAlign w:val="superscript"/>
              </w:rPr>
              <w:t>3</w:t>
            </w:r>
          </w:p>
        </w:tc>
        <w:tc>
          <w:tcPr>
            <w:tcW w:w="1123" w:type="dxa"/>
            <w:vAlign w:val="center"/>
          </w:tcPr>
          <w:p w14:paraId="76C964A5">
            <w:pPr>
              <w:spacing w:after="240"/>
              <w:rPr>
                <w:rFonts w:cstheme="minorHAnsi"/>
                <w:b/>
                <w:color w:val="953735" w:themeColor="accent2" w:themeShade="BF"/>
                <w:sz w:val="18"/>
                <w:szCs w:val="18"/>
              </w:rPr>
            </w:pPr>
            <w:r>
              <w:rPr>
                <w:rFonts w:cstheme="minorHAnsi"/>
                <w:b/>
                <w:color w:val="953735" w:themeColor="accent2" w:themeShade="BF"/>
                <w:sz w:val="18"/>
                <w:szCs w:val="18"/>
              </w:rPr>
              <w:t>37.36%</w:t>
            </w:r>
          </w:p>
        </w:tc>
      </w:tr>
      <w:tr w14:paraId="0A3831FC">
        <w:tblPrEx>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 w:type="dxa"/>
            <w:shd w:val="clear" w:color="auto" w:fill="F2DBDB" w:themeFill="accent2" w:themeFillTint="33"/>
            <w:vAlign w:val="center"/>
          </w:tcPr>
          <w:p w14:paraId="1FC3D9B6">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7</w:t>
            </w:r>
          </w:p>
        </w:tc>
        <w:tc>
          <w:tcPr>
            <w:tcW w:w="1855" w:type="dxa"/>
            <w:shd w:val="clear" w:color="auto" w:fill="F2DBDB" w:themeFill="accent2" w:themeFillTint="33"/>
            <w:vAlign w:val="center"/>
          </w:tcPr>
          <w:p w14:paraId="3783E080">
            <w:pPr>
              <w:spacing w:after="240"/>
              <w:rPr>
                <w:rFonts w:cstheme="minorHAnsi"/>
                <w:b/>
                <w:color w:val="953735" w:themeColor="accent2" w:themeShade="BF"/>
                <w:sz w:val="18"/>
                <w:szCs w:val="18"/>
              </w:rPr>
            </w:pPr>
            <w:r>
              <w:rPr>
                <w:rFonts w:cstheme="minorHAnsi"/>
                <w:b/>
                <w:color w:val="953735" w:themeColor="accent2" w:themeShade="BF"/>
                <w:sz w:val="18"/>
                <w:szCs w:val="18"/>
              </w:rPr>
              <w:t>1150 mmH</w:t>
            </w:r>
            <w:r>
              <w:rPr>
                <w:rFonts w:cstheme="minorHAnsi"/>
                <w:b/>
                <w:color w:val="953735" w:themeColor="accent2" w:themeShade="BF"/>
                <w:sz w:val="18"/>
                <w:szCs w:val="18"/>
                <w:vertAlign w:val="subscript"/>
              </w:rPr>
              <w:t>2</w:t>
            </w:r>
            <w:r>
              <w:rPr>
                <w:rFonts w:cstheme="minorHAnsi"/>
                <w:b/>
                <w:color w:val="953735" w:themeColor="accent2" w:themeShade="BF"/>
                <w:sz w:val="18"/>
                <w:szCs w:val="18"/>
              </w:rPr>
              <w:t>O</w:t>
            </w:r>
          </w:p>
        </w:tc>
        <w:tc>
          <w:tcPr>
            <w:tcW w:w="1118" w:type="dxa"/>
            <w:shd w:val="clear" w:color="auto" w:fill="F2DBDB" w:themeFill="accent2" w:themeFillTint="33"/>
            <w:vAlign w:val="center"/>
          </w:tcPr>
          <w:p w14:paraId="59486FFB">
            <w:pPr>
              <w:spacing w:after="240"/>
              <w:rPr>
                <w:rFonts w:cstheme="minorHAnsi"/>
                <w:b/>
                <w:color w:val="953735" w:themeColor="accent2" w:themeShade="BF"/>
                <w:sz w:val="18"/>
                <w:szCs w:val="18"/>
              </w:rPr>
            </w:pPr>
            <w:r>
              <w:rPr>
                <w:rFonts w:cstheme="minorHAnsi"/>
                <w:b/>
                <w:color w:val="953735" w:themeColor="accent2" w:themeShade="BF"/>
                <w:sz w:val="18"/>
                <w:szCs w:val="18"/>
              </w:rPr>
              <w:t>45%</w:t>
            </w:r>
          </w:p>
        </w:tc>
        <w:tc>
          <w:tcPr>
            <w:tcW w:w="1121" w:type="dxa"/>
            <w:shd w:val="clear" w:color="auto" w:fill="F2DBDB" w:themeFill="accent2" w:themeFillTint="33"/>
            <w:vAlign w:val="center"/>
          </w:tcPr>
          <w:p w14:paraId="4AFCD616">
            <w:pPr>
              <w:spacing w:after="240"/>
              <w:rPr>
                <w:rFonts w:cstheme="minorHAnsi"/>
                <w:b/>
                <w:color w:val="953735" w:themeColor="accent2" w:themeShade="BF"/>
                <w:sz w:val="18"/>
                <w:szCs w:val="18"/>
              </w:rPr>
            </w:pPr>
            <w:r>
              <w:rPr>
                <w:rFonts w:cstheme="minorHAnsi"/>
                <w:b/>
                <w:color w:val="953735" w:themeColor="accent2" w:themeShade="BF"/>
                <w:sz w:val="18"/>
                <w:szCs w:val="18"/>
              </w:rPr>
              <w:t>8.23 m</w:t>
            </w:r>
            <w:r>
              <w:rPr>
                <w:rFonts w:cstheme="minorHAnsi"/>
                <w:b/>
                <w:color w:val="953735" w:themeColor="accent2" w:themeShade="BF"/>
                <w:sz w:val="18"/>
                <w:szCs w:val="18"/>
                <w:vertAlign w:val="superscript"/>
              </w:rPr>
              <w:t>3</w:t>
            </w:r>
          </w:p>
        </w:tc>
        <w:tc>
          <w:tcPr>
            <w:tcW w:w="1123" w:type="dxa"/>
            <w:shd w:val="clear" w:color="auto" w:fill="F2DBDB" w:themeFill="accent2" w:themeFillTint="33"/>
            <w:vAlign w:val="center"/>
          </w:tcPr>
          <w:p w14:paraId="60ADE507">
            <w:pPr>
              <w:spacing w:after="240"/>
              <w:rPr>
                <w:rFonts w:cstheme="minorHAnsi"/>
                <w:b/>
                <w:color w:val="953735" w:themeColor="accent2" w:themeShade="BF"/>
                <w:sz w:val="18"/>
                <w:szCs w:val="18"/>
              </w:rPr>
            </w:pPr>
            <w:r>
              <w:rPr>
                <w:rFonts w:cstheme="minorHAnsi"/>
                <w:b/>
                <w:color w:val="953735" w:themeColor="accent2" w:themeShade="BF"/>
                <w:sz w:val="18"/>
                <w:szCs w:val="18"/>
              </w:rPr>
              <w:t>43.65%</w:t>
            </w:r>
          </w:p>
        </w:tc>
      </w:tr>
      <w:tr w14:paraId="29FD67A6">
        <w:tblPrEx>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 w:type="dxa"/>
            <w:vAlign w:val="center"/>
          </w:tcPr>
          <w:p w14:paraId="28E24E5D">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8</w:t>
            </w:r>
          </w:p>
        </w:tc>
        <w:tc>
          <w:tcPr>
            <w:tcW w:w="1855" w:type="dxa"/>
            <w:vAlign w:val="center"/>
          </w:tcPr>
          <w:p w14:paraId="0CE51A02">
            <w:pPr>
              <w:spacing w:after="240"/>
              <w:rPr>
                <w:rFonts w:cstheme="minorHAnsi"/>
                <w:b/>
                <w:color w:val="953735" w:themeColor="accent2" w:themeShade="BF"/>
                <w:sz w:val="18"/>
                <w:szCs w:val="18"/>
              </w:rPr>
            </w:pPr>
            <w:r>
              <w:rPr>
                <w:rFonts w:cstheme="minorHAnsi"/>
                <w:b/>
                <w:color w:val="953735" w:themeColor="accent2" w:themeShade="BF"/>
                <w:sz w:val="18"/>
                <w:szCs w:val="18"/>
              </w:rPr>
              <w:t>1250 mmH</w:t>
            </w:r>
            <w:r>
              <w:rPr>
                <w:rFonts w:cstheme="minorHAnsi"/>
                <w:b/>
                <w:color w:val="953735" w:themeColor="accent2" w:themeShade="BF"/>
                <w:sz w:val="18"/>
                <w:szCs w:val="18"/>
                <w:vertAlign w:val="subscript"/>
              </w:rPr>
              <w:t>2</w:t>
            </w:r>
            <w:r>
              <w:rPr>
                <w:rFonts w:cstheme="minorHAnsi"/>
                <w:b/>
                <w:color w:val="953735" w:themeColor="accent2" w:themeShade="BF"/>
                <w:sz w:val="18"/>
                <w:szCs w:val="18"/>
              </w:rPr>
              <w:t>O</w:t>
            </w:r>
          </w:p>
        </w:tc>
        <w:tc>
          <w:tcPr>
            <w:tcW w:w="1118" w:type="dxa"/>
            <w:vAlign w:val="center"/>
          </w:tcPr>
          <w:p w14:paraId="4C23787F">
            <w:pPr>
              <w:spacing w:after="240"/>
              <w:rPr>
                <w:rFonts w:cstheme="minorHAnsi"/>
                <w:b/>
                <w:color w:val="953735" w:themeColor="accent2" w:themeShade="BF"/>
                <w:sz w:val="18"/>
                <w:szCs w:val="18"/>
              </w:rPr>
            </w:pPr>
            <w:r>
              <w:rPr>
                <w:rFonts w:cstheme="minorHAnsi"/>
                <w:b/>
                <w:color w:val="953735" w:themeColor="accent2" w:themeShade="BF"/>
                <w:sz w:val="18"/>
                <w:szCs w:val="18"/>
              </w:rPr>
              <w:t>50%</w:t>
            </w:r>
          </w:p>
        </w:tc>
        <w:tc>
          <w:tcPr>
            <w:tcW w:w="1121" w:type="dxa"/>
            <w:vAlign w:val="center"/>
          </w:tcPr>
          <w:p w14:paraId="07D27BB4">
            <w:pPr>
              <w:spacing w:after="240"/>
              <w:rPr>
                <w:rFonts w:cstheme="minorHAnsi"/>
                <w:b/>
                <w:color w:val="953735" w:themeColor="accent2" w:themeShade="BF"/>
                <w:sz w:val="18"/>
                <w:szCs w:val="18"/>
              </w:rPr>
            </w:pPr>
            <w:r>
              <w:rPr>
                <w:rFonts w:cstheme="minorHAnsi"/>
                <w:b/>
                <w:color w:val="953735" w:themeColor="accent2" w:themeShade="BF"/>
                <w:sz w:val="18"/>
                <w:szCs w:val="18"/>
              </w:rPr>
              <w:t>9.42 m</w:t>
            </w:r>
            <w:r>
              <w:rPr>
                <w:rFonts w:cstheme="minorHAnsi"/>
                <w:b/>
                <w:color w:val="953735" w:themeColor="accent2" w:themeShade="BF"/>
                <w:sz w:val="18"/>
                <w:szCs w:val="18"/>
                <w:vertAlign w:val="superscript"/>
              </w:rPr>
              <w:t>3</w:t>
            </w:r>
          </w:p>
        </w:tc>
        <w:tc>
          <w:tcPr>
            <w:tcW w:w="1123" w:type="dxa"/>
            <w:vAlign w:val="center"/>
          </w:tcPr>
          <w:p w14:paraId="30E05A85">
            <w:pPr>
              <w:spacing w:after="240"/>
              <w:rPr>
                <w:rFonts w:cstheme="minorHAnsi"/>
                <w:b/>
                <w:color w:val="953735" w:themeColor="accent2" w:themeShade="BF"/>
                <w:sz w:val="18"/>
                <w:szCs w:val="18"/>
              </w:rPr>
            </w:pPr>
            <w:r>
              <w:rPr>
                <w:rFonts w:cstheme="minorHAnsi"/>
                <w:b/>
                <w:color w:val="953735" w:themeColor="accent2" w:themeShade="BF"/>
                <w:sz w:val="18"/>
                <w:szCs w:val="18"/>
              </w:rPr>
              <w:t>50%</w:t>
            </w:r>
          </w:p>
        </w:tc>
      </w:tr>
      <w:tr w14:paraId="43761A4C">
        <w:tblPrEx>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 w:type="dxa"/>
            <w:shd w:val="clear" w:color="auto" w:fill="F2DBDB" w:themeFill="accent2" w:themeFillTint="33"/>
            <w:vAlign w:val="center"/>
          </w:tcPr>
          <w:p w14:paraId="797E2225">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w:t>
            </w:r>
          </w:p>
        </w:tc>
        <w:tc>
          <w:tcPr>
            <w:tcW w:w="1855" w:type="dxa"/>
            <w:shd w:val="clear" w:color="auto" w:fill="F2DBDB" w:themeFill="accent2" w:themeFillTint="33"/>
            <w:vAlign w:val="center"/>
          </w:tcPr>
          <w:p w14:paraId="76F0D349">
            <w:pPr>
              <w:spacing w:after="240"/>
              <w:rPr>
                <w:rFonts w:cstheme="minorHAnsi"/>
                <w:b/>
                <w:color w:val="953735" w:themeColor="accent2" w:themeShade="BF"/>
                <w:sz w:val="18"/>
                <w:szCs w:val="18"/>
              </w:rPr>
            </w:pPr>
            <w:r>
              <w:rPr>
                <w:rFonts w:cstheme="minorHAnsi"/>
                <w:b/>
                <w:color w:val="953735" w:themeColor="accent2" w:themeShade="BF"/>
                <w:sz w:val="18"/>
                <w:szCs w:val="18"/>
              </w:rPr>
              <w:t>…</w:t>
            </w:r>
          </w:p>
        </w:tc>
        <w:tc>
          <w:tcPr>
            <w:tcW w:w="1118" w:type="dxa"/>
            <w:shd w:val="clear" w:color="auto" w:fill="F2DBDB" w:themeFill="accent2" w:themeFillTint="33"/>
            <w:vAlign w:val="center"/>
          </w:tcPr>
          <w:p w14:paraId="0FE67C74">
            <w:pPr>
              <w:spacing w:after="240"/>
              <w:rPr>
                <w:rFonts w:cstheme="minorHAnsi"/>
                <w:b/>
                <w:color w:val="953735" w:themeColor="accent2" w:themeShade="BF"/>
                <w:sz w:val="18"/>
                <w:szCs w:val="18"/>
              </w:rPr>
            </w:pPr>
            <w:r>
              <w:rPr>
                <w:rFonts w:cstheme="minorHAnsi"/>
                <w:b/>
                <w:color w:val="953735" w:themeColor="accent2" w:themeShade="BF"/>
                <w:sz w:val="18"/>
                <w:szCs w:val="18"/>
              </w:rPr>
              <w:t>…</w:t>
            </w:r>
          </w:p>
        </w:tc>
        <w:tc>
          <w:tcPr>
            <w:tcW w:w="1121" w:type="dxa"/>
            <w:shd w:val="clear" w:color="auto" w:fill="F2DBDB" w:themeFill="accent2" w:themeFillTint="33"/>
            <w:vAlign w:val="center"/>
          </w:tcPr>
          <w:p w14:paraId="18411508">
            <w:pPr>
              <w:spacing w:after="240"/>
              <w:rPr>
                <w:rFonts w:cstheme="minorHAnsi"/>
                <w:b/>
                <w:color w:val="953735" w:themeColor="accent2" w:themeShade="BF"/>
                <w:sz w:val="18"/>
                <w:szCs w:val="18"/>
              </w:rPr>
            </w:pPr>
            <w:r>
              <w:rPr>
                <w:rFonts w:cstheme="minorHAnsi"/>
                <w:b/>
                <w:color w:val="953735" w:themeColor="accent2" w:themeShade="BF"/>
                <w:sz w:val="18"/>
                <w:szCs w:val="18"/>
              </w:rPr>
              <w:t>…</w:t>
            </w:r>
          </w:p>
        </w:tc>
        <w:tc>
          <w:tcPr>
            <w:tcW w:w="1123" w:type="dxa"/>
            <w:shd w:val="clear" w:color="auto" w:fill="F2DBDB" w:themeFill="accent2" w:themeFillTint="33"/>
            <w:vAlign w:val="center"/>
          </w:tcPr>
          <w:p w14:paraId="13D091CD">
            <w:pPr>
              <w:spacing w:after="240"/>
              <w:rPr>
                <w:rFonts w:cstheme="minorHAnsi"/>
                <w:b/>
                <w:color w:val="953735" w:themeColor="accent2" w:themeShade="BF"/>
                <w:sz w:val="18"/>
                <w:szCs w:val="18"/>
              </w:rPr>
            </w:pPr>
            <w:r>
              <w:rPr>
                <w:rFonts w:cstheme="minorHAnsi"/>
                <w:b/>
                <w:color w:val="953735" w:themeColor="accent2" w:themeShade="BF"/>
                <w:sz w:val="18"/>
                <w:szCs w:val="18"/>
              </w:rPr>
              <w:t>…</w:t>
            </w:r>
          </w:p>
        </w:tc>
      </w:tr>
      <w:tr w14:paraId="78556AC1">
        <w:tblPrEx>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 w:type="dxa"/>
            <w:vAlign w:val="center"/>
          </w:tcPr>
          <w:p w14:paraId="24DBB1A0">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15</w:t>
            </w:r>
          </w:p>
        </w:tc>
        <w:tc>
          <w:tcPr>
            <w:tcW w:w="1855" w:type="dxa"/>
            <w:vAlign w:val="center"/>
          </w:tcPr>
          <w:p w14:paraId="1B39FCB4">
            <w:pPr>
              <w:spacing w:after="240"/>
              <w:rPr>
                <w:rFonts w:cstheme="minorHAnsi"/>
                <w:b/>
                <w:color w:val="953735" w:themeColor="accent2" w:themeShade="BF"/>
                <w:sz w:val="18"/>
                <w:szCs w:val="18"/>
              </w:rPr>
            </w:pPr>
            <w:r>
              <w:rPr>
                <w:rFonts w:cstheme="minorHAnsi"/>
                <w:b/>
                <w:color w:val="953735" w:themeColor="accent2" w:themeShade="BF"/>
                <w:sz w:val="18"/>
                <w:szCs w:val="18"/>
              </w:rPr>
              <w:t>2250mmH</w:t>
            </w:r>
            <w:r>
              <w:rPr>
                <w:rFonts w:cstheme="minorHAnsi"/>
                <w:b/>
                <w:color w:val="953735" w:themeColor="accent2" w:themeShade="BF"/>
                <w:sz w:val="18"/>
                <w:szCs w:val="18"/>
                <w:vertAlign w:val="subscript"/>
              </w:rPr>
              <w:t>2</w:t>
            </w:r>
            <w:r>
              <w:rPr>
                <w:rFonts w:cstheme="minorHAnsi"/>
                <w:b/>
                <w:color w:val="953735" w:themeColor="accent2" w:themeShade="BF"/>
                <w:sz w:val="18"/>
                <w:szCs w:val="18"/>
              </w:rPr>
              <w:t>O</w:t>
            </w:r>
          </w:p>
        </w:tc>
        <w:tc>
          <w:tcPr>
            <w:tcW w:w="1118" w:type="dxa"/>
            <w:vAlign w:val="center"/>
          </w:tcPr>
          <w:p w14:paraId="1AA03400">
            <w:pPr>
              <w:spacing w:after="240"/>
              <w:rPr>
                <w:rFonts w:cstheme="minorHAnsi"/>
                <w:b/>
                <w:color w:val="953735" w:themeColor="accent2" w:themeShade="BF"/>
                <w:sz w:val="18"/>
                <w:szCs w:val="18"/>
              </w:rPr>
            </w:pPr>
            <w:r>
              <w:rPr>
                <w:rFonts w:cstheme="minorHAnsi"/>
                <w:b/>
                <w:color w:val="953735" w:themeColor="accent2" w:themeShade="BF"/>
                <w:sz w:val="18"/>
                <w:szCs w:val="18"/>
              </w:rPr>
              <w:t>100%</w:t>
            </w:r>
          </w:p>
        </w:tc>
        <w:tc>
          <w:tcPr>
            <w:tcW w:w="1121" w:type="dxa"/>
            <w:vAlign w:val="center"/>
          </w:tcPr>
          <w:p w14:paraId="0EF796BB">
            <w:pPr>
              <w:spacing w:after="240"/>
              <w:rPr>
                <w:rFonts w:cstheme="minorHAnsi"/>
                <w:b/>
                <w:color w:val="953735" w:themeColor="accent2" w:themeShade="BF"/>
                <w:sz w:val="18"/>
                <w:szCs w:val="18"/>
              </w:rPr>
            </w:pPr>
            <w:r>
              <w:rPr>
                <w:rFonts w:cstheme="minorHAnsi"/>
                <w:b/>
                <w:color w:val="953735" w:themeColor="accent2" w:themeShade="BF"/>
                <w:sz w:val="18"/>
                <w:szCs w:val="18"/>
              </w:rPr>
              <w:t>18.85 m</w:t>
            </w:r>
            <w:r>
              <w:rPr>
                <w:rFonts w:cstheme="minorHAnsi"/>
                <w:b/>
                <w:color w:val="953735" w:themeColor="accent2" w:themeShade="BF"/>
                <w:sz w:val="18"/>
                <w:szCs w:val="18"/>
                <w:vertAlign w:val="superscript"/>
              </w:rPr>
              <w:t>3</w:t>
            </w:r>
          </w:p>
        </w:tc>
        <w:tc>
          <w:tcPr>
            <w:tcW w:w="1123" w:type="dxa"/>
            <w:vAlign w:val="center"/>
          </w:tcPr>
          <w:p w14:paraId="4B5E3649">
            <w:pPr>
              <w:spacing w:after="240"/>
              <w:rPr>
                <w:rFonts w:cstheme="minorHAnsi"/>
                <w:b/>
                <w:color w:val="953735" w:themeColor="accent2" w:themeShade="BF"/>
                <w:sz w:val="18"/>
                <w:szCs w:val="18"/>
              </w:rPr>
            </w:pPr>
            <w:r>
              <w:rPr>
                <w:rFonts w:cstheme="minorHAnsi"/>
                <w:b/>
                <w:color w:val="953735" w:themeColor="accent2" w:themeShade="BF"/>
                <w:sz w:val="18"/>
                <w:szCs w:val="18"/>
              </w:rPr>
              <w:t>100%</w:t>
            </w:r>
          </w:p>
        </w:tc>
      </w:tr>
      <w:tr w14:paraId="4BE6FD1D">
        <w:tblPrEx>
          <w:tblBorders>
            <w:top w:val="single" w:color="C0504D" w:themeColor="accent2" w:sz="4" w:space="0"/>
            <w:left w:val="none" w:color="auto" w:sz="0" w:space="0"/>
            <w:bottom w:val="single" w:color="C0504D" w:themeColor="accent2"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 w:type="dxa"/>
            <w:shd w:val="clear" w:color="auto" w:fill="F2DBDB" w:themeFill="accent2" w:themeFillTint="33"/>
            <w:vAlign w:val="center"/>
          </w:tcPr>
          <w:p w14:paraId="7FED5EF4">
            <w:pPr>
              <w:spacing w:after="240"/>
              <w:rPr>
                <w:rFonts w:cstheme="minorHAnsi"/>
                <w:b w:val="0"/>
                <w:bCs w:val="0"/>
                <w:color w:val="953735" w:themeColor="accent2" w:themeShade="BF"/>
                <w:sz w:val="18"/>
                <w:szCs w:val="18"/>
              </w:rPr>
            </w:pPr>
            <w:r>
              <w:rPr>
                <w:rFonts w:cstheme="minorHAnsi"/>
                <w:b/>
                <w:bCs/>
                <w:color w:val="953735" w:themeColor="accent2" w:themeShade="BF"/>
                <w:sz w:val="18"/>
                <w:szCs w:val="18"/>
              </w:rPr>
              <w:t>16</w:t>
            </w:r>
          </w:p>
        </w:tc>
        <w:tc>
          <w:tcPr>
            <w:tcW w:w="1855" w:type="dxa"/>
            <w:shd w:val="clear" w:color="auto" w:fill="F2DBDB" w:themeFill="accent2" w:themeFillTint="33"/>
            <w:vAlign w:val="center"/>
          </w:tcPr>
          <w:p w14:paraId="5060A5C2">
            <w:pPr>
              <w:spacing w:after="240"/>
              <w:rPr>
                <w:rFonts w:cstheme="minorHAnsi"/>
                <w:b/>
                <w:color w:val="953735" w:themeColor="accent2" w:themeShade="BF"/>
                <w:sz w:val="18"/>
                <w:szCs w:val="18"/>
              </w:rPr>
            </w:pPr>
            <w:r>
              <w:rPr>
                <w:rFonts w:cstheme="minorHAnsi"/>
                <w:b/>
                <w:color w:val="953735" w:themeColor="accent2" w:themeShade="BF"/>
                <w:sz w:val="18"/>
                <w:szCs w:val="18"/>
              </w:rPr>
              <w:t>-</w:t>
            </w:r>
          </w:p>
        </w:tc>
        <w:tc>
          <w:tcPr>
            <w:tcW w:w="1118" w:type="dxa"/>
            <w:shd w:val="clear" w:color="auto" w:fill="F2DBDB" w:themeFill="accent2" w:themeFillTint="33"/>
            <w:vAlign w:val="center"/>
          </w:tcPr>
          <w:p w14:paraId="26C3EBB4">
            <w:pPr>
              <w:spacing w:after="240"/>
              <w:rPr>
                <w:rFonts w:cstheme="minorHAnsi"/>
                <w:b/>
                <w:color w:val="953735" w:themeColor="accent2" w:themeShade="BF"/>
                <w:sz w:val="18"/>
                <w:szCs w:val="18"/>
              </w:rPr>
            </w:pPr>
            <w:r>
              <w:rPr>
                <w:rFonts w:cstheme="minorHAnsi"/>
                <w:b/>
                <w:color w:val="953735" w:themeColor="accent2" w:themeShade="BF"/>
                <w:sz w:val="18"/>
                <w:szCs w:val="18"/>
              </w:rPr>
              <w:t>110%</w:t>
            </w:r>
          </w:p>
        </w:tc>
        <w:tc>
          <w:tcPr>
            <w:tcW w:w="1121" w:type="dxa"/>
            <w:shd w:val="clear" w:color="auto" w:fill="F2DBDB" w:themeFill="accent2" w:themeFillTint="33"/>
            <w:vAlign w:val="center"/>
          </w:tcPr>
          <w:p w14:paraId="45362544">
            <w:pPr>
              <w:spacing w:after="240"/>
              <w:rPr>
                <w:rFonts w:cstheme="minorHAnsi"/>
                <w:b/>
                <w:color w:val="953735" w:themeColor="accent2" w:themeShade="BF"/>
                <w:sz w:val="18"/>
                <w:szCs w:val="18"/>
              </w:rPr>
            </w:pPr>
            <w:r>
              <w:rPr>
                <w:rFonts w:cstheme="minorHAnsi"/>
                <w:b/>
                <w:color w:val="953735" w:themeColor="accent2" w:themeShade="BF"/>
                <w:sz w:val="18"/>
                <w:szCs w:val="18"/>
              </w:rPr>
              <w:t>-</w:t>
            </w:r>
          </w:p>
        </w:tc>
        <w:tc>
          <w:tcPr>
            <w:tcW w:w="1123" w:type="dxa"/>
            <w:shd w:val="clear" w:color="auto" w:fill="F2DBDB" w:themeFill="accent2" w:themeFillTint="33"/>
            <w:vAlign w:val="center"/>
          </w:tcPr>
          <w:p w14:paraId="4940897B">
            <w:pPr>
              <w:spacing w:after="240"/>
              <w:rPr>
                <w:rFonts w:cstheme="minorHAnsi"/>
                <w:b/>
                <w:color w:val="953735" w:themeColor="accent2" w:themeShade="BF"/>
                <w:sz w:val="18"/>
                <w:szCs w:val="18"/>
              </w:rPr>
            </w:pPr>
            <w:r>
              <w:rPr>
                <w:rFonts w:cstheme="minorHAnsi"/>
                <w:b/>
                <w:color w:val="953735" w:themeColor="accent2" w:themeShade="BF"/>
                <w:sz w:val="18"/>
                <w:szCs w:val="18"/>
              </w:rPr>
              <w:t>106%</w:t>
            </w:r>
          </w:p>
        </w:tc>
      </w:tr>
    </w:tbl>
    <w:p w14:paraId="77891BAC">
      <w:pPr>
        <w:spacing w:after="240"/>
        <w:rPr>
          <w:rFonts w:cstheme="minorHAnsi"/>
        </w:rPr>
      </w:pPr>
      <w:r>
        <w:rPr>
          <w:rFonts w:cstheme="minorHAnsi"/>
        </w:rPr>
        <w:t>As the example above, these points are freely distributed over any desired X value.To achieve better linearization, the distribution of points should be concentrated where the nonlinearity is most severely measured.</w:t>
      </w:r>
    </w:p>
    <w:p w14:paraId="61F78307">
      <w:pPr>
        <w:pStyle w:val="61"/>
        <w:numPr>
          <w:ilvl w:val="0"/>
          <w:numId w:val="19"/>
        </w:numPr>
        <w:spacing w:after="240"/>
        <w:ind w:left="0" w:firstLine="0" w:firstLineChars="0"/>
        <w:rPr>
          <w:rFonts w:cstheme="minorHAnsi"/>
        </w:rPr>
      </w:pPr>
      <w:r>
        <w:rPr>
          <w:rFonts w:cstheme="minorHAnsi"/>
        </w:rPr>
        <w:t>Data for recovery: restore range calibration and zero calibration data to default values, save current configuration data as factory value, or restore previously saved configuration data.</w:t>
      </w:r>
    </w:p>
    <w:p w14:paraId="6F6A92F5">
      <w:pPr>
        <w:pStyle w:val="4"/>
        <w:spacing w:before="120" w:beforeLines="50" w:after="120" w:afterLines="50"/>
        <w:rPr>
          <w:rFonts w:asciiTheme="minorHAnsi" w:hAnsiTheme="minorHAnsi" w:cstheme="minorHAnsi"/>
        </w:rPr>
      </w:pPr>
      <w:bookmarkStart w:id="119" w:name="_Toc199429813"/>
      <w:r>
        <w:rPr>
          <w:rFonts w:asciiTheme="minorHAnsi" w:hAnsiTheme="minorHAnsi" w:cstheme="minorHAnsi"/>
        </w:rPr>
        <w:t>Extra Message</w:t>
      </w:r>
      <w:bookmarkEnd w:id="119"/>
    </w:p>
    <w:p w14:paraId="6694C507">
      <w:pPr>
        <w:spacing w:after="240"/>
        <w:rPr>
          <w:rFonts w:cstheme="minorHAnsi"/>
        </w:rPr>
      </w:pPr>
      <w:r>
        <w:rPr>
          <w:rFonts w:cstheme="minorHAnsi"/>
        </w:rPr>
        <w:t>The attachment information tab mainly includes two parts, part of the transmitter, as shown in Figure 5.9. The "Sensor Information" shows, which can be configured according to the actual situation.</w:t>
      </w:r>
    </w:p>
    <w:p w14:paraId="7457797A">
      <w:pPr>
        <w:keepNext/>
        <w:spacing w:after="240"/>
        <w:jc w:val="center"/>
        <w:rPr>
          <w:rFonts w:cstheme="minorHAnsi"/>
        </w:rPr>
      </w:pPr>
      <w:r>
        <w:rPr>
          <w:rFonts w:hint="eastAsia" w:cstheme="minorHAnsi"/>
          <w:highlight w:val="yellow"/>
        </w:rPr>
        <w:drawing>
          <wp:inline distT="0" distB="0" distL="114300" distR="114300">
            <wp:extent cx="4741545" cy="3411855"/>
            <wp:effectExtent l="0" t="0" r="0" b="4445"/>
            <wp:docPr id="1" name="图片 1" descr="168077077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80770777200"/>
                    <pic:cNvPicPr>
                      <a:picLocks noChangeAspect="1"/>
                    </pic:cNvPicPr>
                  </pic:nvPicPr>
                  <pic:blipFill>
                    <a:blip r:embed="rId64"/>
                    <a:stretch>
                      <a:fillRect/>
                    </a:stretch>
                  </pic:blipFill>
                  <pic:spPr>
                    <a:xfrm>
                      <a:off x="0" y="0"/>
                      <a:ext cx="4756435" cy="3422379"/>
                    </a:xfrm>
                    <a:prstGeom prst="rect">
                      <a:avLst/>
                    </a:prstGeom>
                  </pic:spPr>
                </pic:pic>
              </a:graphicData>
            </a:graphic>
          </wp:inline>
        </w:drawing>
      </w:r>
    </w:p>
    <w:p w14:paraId="5ADC38A7">
      <w:pPr>
        <w:pStyle w:val="12"/>
        <w:spacing w:before="120" w:after="120"/>
        <w:rPr>
          <w:rFonts w:asciiTheme="minorHAnsi" w:hAnsiTheme="minorHAnsi" w:cstheme="minorHAnsi"/>
        </w:rPr>
      </w:pPr>
      <w:r>
        <w:rPr>
          <w:rFonts w:ascii="Calibri" w:hAnsi="Calibri" w:cs="Calibri"/>
        </w:rPr>
        <w:t xml:space="preserve"> 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5</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9</w:t>
      </w:r>
      <w:r>
        <w:rPr>
          <w:rFonts w:ascii="Calibri" w:hAnsi="Calibri" w:cs="Calibri"/>
        </w:rPr>
        <w:fldChar w:fldCharType="end"/>
      </w:r>
      <w:r>
        <w:rPr>
          <w:rFonts w:asciiTheme="minorHAnsi" w:hAnsiTheme="minorHAnsi" w:cstheme="minorHAnsi"/>
        </w:rPr>
        <w:t xml:space="preserve"> Attachment Information Tab</w:t>
      </w:r>
    </w:p>
    <w:p w14:paraId="4D7637E8">
      <w:pPr>
        <w:spacing w:after="240"/>
        <w:rPr>
          <w:rFonts w:cstheme="minorHAnsi"/>
        </w:rPr>
      </w:pPr>
      <w:r>
        <w:rPr>
          <w:rFonts w:cstheme="minorHAnsi"/>
        </w:rPr>
        <w:t>The saturation / alarm current setting can be used to change the current value output when the transmitter PV is in the alarm and saturation state. Range of the current settings:</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2644"/>
        <w:gridCol w:w="1939"/>
      </w:tblGrid>
      <w:tr w14:paraId="3ACE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914" w:type="dxa"/>
            <w:shd w:val="clear" w:color="auto" w:fill="BEBEBE" w:themeFill="background1" w:themeFillShade="BF"/>
          </w:tcPr>
          <w:p w14:paraId="4B4BA5EF">
            <w:pPr>
              <w:spacing w:after="240"/>
              <w:jc w:val="center"/>
              <w:rPr>
                <w:rFonts w:cstheme="minorHAnsi"/>
                <w:b/>
                <w:sz w:val="18"/>
                <w:szCs w:val="18"/>
              </w:rPr>
            </w:pPr>
            <w:r>
              <w:rPr>
                <w:rFonts w:cstheme="minorHAnsi"/>
                <w:b/>
                <w:sz w:val="18"/>
                <w:szCs w:val="18"/>
              </w:rPr>
              <w:t>limits</w:t>
            </w:r>
          </w:p>
        </w:tc>
        <w:tc>
          <w:tcPr>
            <w:tcW w:w="2644" w:type="dxa"/>
            <w:shd w:val="clear" w:color="auto" w:fill="BEBEBE" w:themeFill="background1" w:themeFillShade="BF"/>
          </w:tcPr>
          <w:p w14:paraId="302995D2">
            <w:pPr>
              <w:spacing w:after="240"/>
              <w:jc w:val="center"/>
              <w:rPr>
                <w:rFonts w:cstheme="minorHAnsi"/>
                <w:b/>
                <w:sz w:val="18"/>
                <w:szCs w:val="18"/>
              </w:rPr>
            </w:pPr>
            <w:r>
              <w:rPr>
                <w:rFonts w:cstheme="minorHAnsi"/>
                <w:b/>
                <w:sz w:val="18"/>
                <w:szCs w:val="18"/>
              </w:rPr>
              <w:t xml:space="preserve">4~20 mA sating current </w:t>
            </w:r>
          </w:p>
        </w:tc>
        <w:tc>
          <w:tcPr>
            <w:tcW w:w="1939" w:type="dxa"/>
            <w:shd w:val="clear" w:color="auto" w:fill="BEBEBE" w:themeFill="background1" w:themeFillShade="BF"/>
          </w:tcPr>
          <w:p w14:paraId="46656484">
            <w:pPr>
              <w:spacing w:after="240"/>
              <w:jc w:val="center"/>
              <w:rPr>
                <w:rFonts w:cstheme="minorHAnsi"/>
                <w:b/>
                <w:sz w:val="18"/>
                <w:szCs w:val="18"/>
              </w:rPr>
            </w:pPr>
            <w:r>
              <w:rPr>
                <w:rFonts w:cstheme="minorHAnsi"/>
                <w:b/>
                <w:sz w:val="18"/>
                <w:szCs w:val="18"/>
              </w:rPr>
              <w:t>4~20 mA alarm current</w:t>
            </w:r>
          </w:p>
        </w:tc>
      </w:tr>
      <w:tr w14:paraId="055C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914" w:type="dxa"/>
          </w:tcPr>
          <w:p w14:paraId="0C77A61C">
            <w:pPr>
              <w:spacing w:after="240"/>
              <w:jc w:val="center"/>
              <w:rPr>
                <w:rFonts w:cstheme="minorHAnsi"/>
                <w:sz w:val="18"/>
                <w:szCs w:val="18"/>
              </w:rPr>
            </w:pPr>
            <w:r>
              <w:rPr>
                <w:rFonts w:cstheme="minorHAnsi"/>
                <w:sz w:val="18"/>
                <w:szCs w:val="18"/>
              </w:rPr>
              <w:t>Low</w:t>
            </w:r>
          </w:p>
        </w:tc>
        <w:tc>
          <w:tcPr>
            <w:tcW w:w="2644" w:type="dxa"/>
          </w:tcPr>
          <w:p w14:paraId="652C2BB4">
            <w:pPr>
              <w:spacing w:after="240"/>
              <w:jc w:val="center"/>
              <w:rPr>
                <w:rFonts w:cstheme="minorHAnsi"/>
                <w:sz w:val="18"/>
                <w:szCs w:val="18"/>
              </w:rPr>
            </w:pPr>
            <w:r>
              <w:rPr>
                <w:rFonts w:cstheme="minorHAnsi"/>
                <w:sz w:val="18"/>
                <w:szCs w:val="18"/>
              </w:rPr>
              <w:t>3.7 mA ~ 3.9 mA</w:t>
            </w:r>
          </w:p>
        </w:tc>
        <w:tc>
          <w:tcPr>
            <w:tcW w:w="1939" w:type="dxa"/>
          </w:tcPr>
          <w:p w14:paraId="6A9586AF">
            <w:pPr>
              <w:spacing w:after="240"/>
              <w:jc w:val="center"/>
              <w:rPr>
                <w:rFonts w:cstheme="minorHAnsi"/>
                <w:sz w:val="18"/>
                <w:szCs w:val="18"/>
              </w:rPr>
            </w:pPr>
            <w:r>
              <w:rPr>
                <w:rFonts w:cstheme="minorHAnsi"/>
                <w:sz w:val="18"/>
                <w:szCs w:val="18"/>
              </w:rPr>
              <w:t>3.6 mA ~ 3.8 mA</w:t>
            </w:r>
          </w:p>
        </w:tc>
      </w:tr>
      <w:tr w14:paraId="1DC1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914" w:type="dxa"/>
          </w:tcPr>
          <w:p w14:paraId="549CB859">
            <w:pPr>
              <w:spacing w:after="240"/>
              <w:jc w:val="center"/>
              <w:rPr>
                <w:rFonts w:cstheme="minorHAnsi"/>
                <w:sz w:val="18"/>
                <w:szCs w:val="18"/>
              </w:rPr>
            </w:pPr>
            <w:r>
              <w:rPr>
                <w:rFonts w:cstheme="minorHAnsi"/>
                <w:sz w:val="18"/>
                <w:szCs w:val="18"/>
              </w:rPr>
              <w:t>High</w:t>
            </w:r>
          </w:p>
        </w:tc>
        <w:tc>
          <w:tcPr>
            <w:tcW w:w="2644" w:type="dxa"/>
          </w:tcPr>
          <w:p w14:paraId="1B59161C">
            <w:pPr>
              <w:spacing w:after="240"/>
              <w:jc w:val="center"/>
              <w:rPr>
                <w:rFonts w:cstheme="minorHAnsi"/>
                <w:sz w:val="18"/>
                <w:szCs w:val="18"/>
              </w:rPr>
            </w:pPr>
            <w:r>
              <w:rPr>
                <w:rFonts w:cstheme="minorHAnsi"/>
                <w:sz w:val="18"/>
                <w:szCs w:val="18"/>
              </w:rPr>
              <w:t>20.1 mA ~ 22.9 mA</w:t>
            </w:r>
          </w:p>
        </w:tc>
        <w:tc>
          <w:tcPr>
            <w:tcW w:w="1939" w:type="dxa"/>
          </w:tcPr>
          <w:p w14:paraId="43B1F99A">
            <w:pPr>
              <w:spacing w:after="240"/>
              <w:jc w:val="center"/>
              <w:rPr>
                <w:rFonts w:cstheme="minorHAnsi"/>
                <w:sz w:val="18"/>
                <w:szCs w:val="18"/>
              </w:rPr>
            </w:pPr>
            <w:r>
              <w:rPr>
                <w:rFonts w:cstheme="minorHAnsi"/>
                <w:sz w:val="18"/>
                <w:szCs w:val="18"/>
              </w:rPr>
              <w:t>20.2 mA ~ 23.0 mA</w:t>
            </w:r>
          </w:p>
        </w:tc>
      </w:tr>
    </w:tbl>
    <w:p w14:paraId="1F030A2D">
      <w:pPr>
        <w:pStyle w:val="40"/>
        <w:spacing w:after="240" w:line="240" w:lineRule="auto"/>
        <w:ind w:left="0"/>
        <w:rPr>
          <w:rFonts w:cstheme="minorHAnsi"/>
          <w:sz w:val="21"/>
          <w:szCs w:val="21"/>
        </w:rPr>
      </w:pPr>
      <w:bookmarkStart w:id="120" w:name="_Toc183427067"/>
      <w:bookmarkStart w:id="121" w:name="_Toc440269432"/>
      <w:bookmarkStart w:id="122" w:name="_Toc183334315"/>
      <w:r>
        <w:rPr>
          <w:rFonts w:cstheme="minorHAnsi"/>
          <w:b/>
          <w:sz w:val="21"/>
          <w:szCs w:val="21"/>
        </w:rPr>
        <w:t>Notice</w:t>
      </w:r>
      <w:r>
        <w:rPr>
          <w:rFonts w:cstheme="minorHAnsi"/>
          <w:sz w:val="21"/>
          <w:szCs w:val="21"/>
        </w:rPr>
        <w:t>：</w:t>
      </w:r>
    </w:p>
    <w:p w14:paraId="52AA2941">
      <w:pPr>
        <w:pStyle w:val="61"/>
        <w:numPr>
          <w:ilvl w:val="0"/>
          <w:numId w:val="21"/>
        </w:numPr>
        <w:autoSpaceDE w:val="0"/>
        <w:autoSpaceDN w:val="0"/>
        <w:adjustRightInd w:val="0"/>
        <w:spacing w:after="240"/>
        <w:ind w:firstLineChars="0"/>
        <w:jc w:val="left"/>
        <w:rPr>
          <w:rFonts w:cstheme="minorHAnsi"/>
        </w:rPr>
      </w:pPr>
      <w:r>
        <w:rPr>
          <w:rFonts w:cstheme="minorHAnsi"/>
        </w:rPr>
        <w:t>The Low alarm current value must be less than the low saturation current value;</w:t>
      </w:r>
    </w:p>
    <w:p w14:paraId="64FD7256">
      <w:pPr>
        <w:pStyle w:val="61"/>
        <w:numPr>
          <w:ilvl w:val="0"/>
          <w:numId w:val="21"/>
        </w:numPr>
        <w:autoSpaceDE w:val="0"/>
        <w:autoSpaceDN w:val="0"/>
        <w:adjustRightInd w:val="0"/>
        <w:spacing w:after="240"/>
        <w:ind w:firstLineChars="0"/>
        <w:jc w:val="left"/>
        <w:rPr>
          <w:rFonts w:cstheme="minorHAnsi"/>
        </w:rPr>
      </w:pPr>
      <w:r>
        <w:rPr>
          <w:rFonts w:cstheme="minorHAnsi"/>
        </w:rPr>
        <w:t>The High alarm current value must be higher than the high saturation current value;</w:t>
      </w:r>
    </w:p>
    <w:p w14:paraId="6A183145">
      <w:pPr>
        <w:pStyle w:val="61"/>
        <w:numPr>
          <w:ilvl w:val="0"/>
          <w:numId w:val="21"/>
        </w:numPr>
        <w:autoSpaceDE w:val="0"/>
        <w:autoSpaceDN w:val="0"/>
        <w:adjustRightInd w:val="0"/>
        <w:spacing w:after="240"/>
        <w:ind w:firstLineChars="0"/>
        <w:jc w:val="left"/>
        <w:rPr>
          <w:rFonts w:cstheme="minorHAnsi"/>
        </w:rPr>
      </w:pPr>
      <w:r>
        <w:rPr>
          <w:rFonts w:cstheme="minorHAnsi"/>
        </w:rPr>
        <w:t>Alarm current value and saturation current value are greater than 0.1mA.</w:t>
      </w:r>
    </w:p>
    <w:bookmarkEnd w:id="120"/>
    <w:bookmarkEnd w:id="121"/>
    <w:bookmarkEnd w:id="122"/>
    <w:p w14:paraId="3D2710B7">
      <w:pPr>
        <w:pStyle w:val="3"/>
        <w:spacing w:before="120" w:beforeLines="50" w:after="120" w:afterLines="50" w:line="240" w:lineRule="auto"/>
        <w:ind w:left="578" w:hanging="578"/>
        <w:rPr>
          <w:rFonts w:asciiTheme="minorHAnsi" w:hAnsiTheme="minorHAnsi" w:cstheme="minorHAnsi"/>
        </w:rPr>
      </w:pPr>
      <w:bookmarkStart w:id="123" w:name="_Toc199429814"/>
      <w:r>
        <w:rPr>
          <w:rFonts w:asciiTheme="minorHAnsi" w:hAnsiTheme="minorHAnsi" w:cstheme="minorHAnsi"/>
        </w:rPr>
        <w:t>Jump Line Configuration</w:t>
      </w:r>
      <w:bookmarkEnd w:id="123"/>
    </w:p>
    <w:p w14:paraId="1EB8FE7F">
      <w:pPr>
        <w:spacing w:after="240"/>
        <w:rPr>
          <w:rFonts w:cstheme="minorHAnsi"/>
        </w:rPr>
      </w:pPr>
      <w:r>
        <w:rPr>
          <w:rFonts w:cstheme="minorHAnsi"/>
        </w:rPr>
        <w:t>The HART intelligent pressure transmitter has 2 sets of hardware jumpers, as shown in Figure 5.10.The lower three points for the fault alarm current, and the upper three points for the configuration protection.</w:t>
      </w:r>
    </w:p>
    <w:p w14:paraId="3A080296">
      <w:pPr>
        <w:pStyle w:val="4"/>
        <w:spacing w:before="120" w:beforeLines="50" w:after="120" w:afterLines="50"/>
        <w:rPr>
          <w:rFonts w:asciiTheme="minorHAnsi" w:hAnsiTheme="minorHAnsi" w:cstheme="minorHAnsi"/>
        </w:rPr>
      </w:pPr>
      <w:bookmarkStart w:id="124" w:name="_Toc199429815"/>
      <w:r>
        <w:rPr>
          <w:rFonts w:asciiTheme="minorHAnsi" w:hAnsiTheme="minorHAnsi" w:cstheme="minorHAnsi"/>
        </w:rPr>
        <w:t>Fault Alarm Jumper Setting</w:t>
      </w:r>
      <w:bookmarkEnd w:id="124"/>
    </w:p>
    <w:p w14:paraId="60581406">
      <w:pPr>
        <w:spacing w:after="240"/>
        <w:rPr>
          <w:rFonts w:cstheme="minorHAnsi"/>
        </w:rPr>
      </w:pPr>
      <w:r>
        <w:rPr>
          <w:rFonts w:cstheme="minorHAnsi"/>
        </w:rPr>
        <w:t>The HART intelligent transmitter has the self-diagnosis function.Once the fault is detected, the intelligent transmitter will automatically output the alarm current. The alarm current mode depends on the fault alarm current on the right side of the communication card. When the jumper is inserted in the two points marked with "Hi", it is a high alarm; When the jumper is inserted in the two points marked with "Lo", it is the low alarm;</w:t>
      </w:r>
    </w:p>
    <w:p w14:paraId="2E051AB9">
      <w:pPr>
        <w:pStyle w:val="4"/>
        <w:spacing w:before="120" w:beforeLines="50" w:after="120" w:afterLines="50"/>
        <w:rPr>
          <w:rFonts w:asciiTheme="minorHAnsi" w:hAnsiTheme="minorHAnsi" w:cstheme="minorHAnsi"/>
        </w:rPr>
      </w:pPr>
      <w:bookmarkStart w:id="125" w:name="_Toc199429816"/>
      <w:r>
        <w:rPr>
          <w:rFonts w:asciiTheme="minorHAnsi" w:hAnsiTheme="minorHAnsi" w:cstheme="minorHAnsi"/>
        </w:rPr>
        <w:t>Configuration Protection Jumper Settings</w:t>
      </w:r>
      <w:bookmarkEnd w:id="125"/>
    </w:p>
    <w:p w14:paraId="14DEFE4E">
      <w:pPr>
        <w:spacing w:after="240"/>
        <w:rPr>
          <w:rFonts w:cstheme="minorHAnsi"/>
        </w:rPr>
      </w:pPr>
      <w:r>
        <w:rPr>
          <w:rFonts w:cstheme="minorHAnsi"/>
        </w:rPr>
        <w:t>The HART intelligent transmitter provides the jumper setting for the device configuration protection, namely the above configuration protection setting jumper, as shown in Figure 5.10.Conis protected when the protection setting jumper is inserted on the right, marked "WRD".The HART intelligent transmitter does not allow any change in the device configuration at this time.Changes to the device configuration are allowed when the protection setting jumper is inserted at two points on the left.</w:t>
      </w:r>
    </w:p>
    <w:p w14:paraId="49CEBAAC">
      <w:pPr>
        <w:pStyle w:val="40"/>
        <w:keepNext/>
        <w:spacing w:after="240" w:line="240" w:lineRule="auto"/>
        <w:ind w:left="0" w:firstLine="540"/>
        <w:jc w:val="center"/>
        <w:rPr>
          <w:rFonts w:cstheme="minorHAnsi"/>
        </w:rPr>
      </w:pPr>
      <w:r>
        <w:rPr>
          <w:rFonts w:cstheme="minorHAnsi"/>
        </w:rPr>
        <w:object>
          <v:shape id="_x0000_i1034" o:spt="75" type="#_x0000_t75" style="height:201.35pt;width:233.35pt;" o:ole="t" filled="f" o:preferrelative="t" stroked="f" coordsize="21600,21600">
            <v:path/>
            <v:fill on="f" focussize="0,0"/>
            <v:stroke on="f" joinstyle="miter"/>
            <v:imagedata r:id="rId66" o:title=""/>
            <o:lock v:ext="edit" aspectratio="t"/>
            <w10:wrap type="none"/>
            <w10:anchorlock/>
          </v:shape>
          <o:OLEObject Type="Embed" ProgID="Visio.Drawing.11" ShapeID="_x0000_i1034" DrawAspect="Content" ObjectID="_1468075734" r:id="rId65">
            <o:LockedField>false</o:LockedField>
          </o:OLEObject>
        </w:object>
      </w:r>
    </w:p>
    <w:p w14:paraId="1ADC2523">
      <w:pPr>
        <w:pStyle w:val="12"/>
        <w:spacing w:before="120" w:after="120"/>
        <w:rPr>
          <w:rFonts w:asciiTheme="minorHAnsi" w:hAnsiTheme="minorHAnsi" w:cstheme="minorHAnsi"/>
        </w:rPr>
        <w:sectPr>
          <w:pgSz w:w="11907" w:h="16840"/>
          <w:pgMar w:top="1554" w:right="1077" w:bottom="1134" w:left="1077" w:header="680" w:footer="680" w:gutter="0"/>
          <w:cols w:space="425" w:num="1"/>
          <w:docGrid w:linePitch="312" w:charSpace="48128"/>
        </w:sectPr>
      </w:pPr>
      <w:r>
        <w:rPr>
          <w:rFonts w:ascii="Calibri" w:hAnsi="Calibri" w:cs="Calibri"/>
        </w:rPr>
        <w:t xml:space="preserve">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5</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10</w:t>
      </w:r>
      <w:r>
        <w:rPr>
          <w:rFonts w:ascii="Calibri" w:hAnsi="Calibri" w:cs="Calibri"/>
        </w:rPr>
        <w:fldChar w:fldCharType="end"/>
      </w:r>
      <w:r>
        <w:rPr>
          <w:rFonts w:asciiTheme="minorHAnsi" w:hAnsiTheme="minorHAnsi" w:cstheme="minorHAnsi"/>
        </w:rPr>
        <w:t xml:space="preserve"> Hardware jumper of H A R T intelligent pressure transmitter</w:t>
      </w:r>
    </w:p>
    <w:p w14:paraId="0A898297">
      <w:pPr>
        <w:pStyle w:val="2"/>
        <w:ind w:left="431" w:hanging="431"/>
      </w:pPr>
      <w:bookmarkStart w:id="126" w:name="_Toc440269433"/>
      <w:bookmarkStart w:id="127" w:name="_Toc199429817"/>
      <w:bookmarkStart w:id="128" w:name="_Toc183334317"/>
      <w:bookmarkStart w:id="129" w:name="_Toc183427069"/>
      <w:r>
        <w:rPr>
          <w:rFonts w:hint="eastAsia"/>
        </w:rPr>
        <w:t>FF</w:t>
      </w:r>
      <w:bookmarkEnd w:id="126"/>
      <w:r>
        <w:rPr>
          <w:rFonts w:hint="eastAsia"/>
        </w:rPr>
        <w:t xml:space="preserve"> Type Intelligent Transmitter Configuration</w:t>
      </w:r>
      <w:bookmarkEnd w:id="127"/>
    </w:p>
    <w:bookmarkEnd w:id="128"/>
    <w:bookmarkEnd w:id="129"/>
    <w:p w14:paraId="58638A49">
      <w:pPr>
        <w:pStyle w:val="3"/>
        <w:spacing w:before="120" w:beforeLines="50" w:after="120" w:afterLines="50" w:line="240" w:lineRule="auto"/>
        <w:ind w:left="578" w:hanging="578"/>
        <w:rPr>
          <w:rFonts w:asciiTheme="minorHAnsi" w:hAnsiTheme="minorHAnsi" w:cstheme="minorHAnsi"/>
        </w:rPr>
      </w:pPr>
      <w:bookmarkStart w:id="130" w:name="_Toc199429818"/>
      <w:r>
        <w:rPr>
          <w:rFonts w:asciiTheme="minorHAnsi" w:hAnsiTheme="minorHAnsi" w:cstheme="minorHAnsi"/>
        </w:rPr>
        <w:t>Topological Connection</w:t>
      </w:r>
      <w:bookmarkEnd w:id="130"/>
    </w:p>
    <w:p w14:paraId="7DBCEB88">
      <w:pPr>
        <w:spacing w:after="240"/>
        <w:rPr>
          <w:rFonts w:cstheme="minorHAnsi"/>
        </w:rPr>
      </w:pPr>
      <w:r>
        <w:rPr>
          <w:rFonts w:cstheme="minorHAnsi"/>
        </w:rPr>
        <w:t>The FF transmitter supports a variety of network topology wiring, as shown in Figure 6.1.Figure 6.2 shows the bus connection of the FF instrument, and the two ends of the bus shall match the access terminal with the resistance to ensure the signal quality.The maximum bus length is 1,900 m and can be extended to 10 km using a repeater.</w:t>
      </w:r>
    </w:p>
    <w:p w14:paraId="53A4B884">
      <w:pPr>
        <w:keepNext/>
        <w:spacing w:after="240"/>
        <w:jc w:val="center"/>
        <w:rPr>
          <w:rFonts w:cstheme="minorHAnsi"/>
        </w:rPr>
      </w:pPr>
      <w:r>
        <w:rPr>
          <w:rFonts w:cstheme="minorHAnsi"/>
        </w:rPr>
        <w:object>
          <v:shape id="_x0000_i1035" o:spt="75" type="#_x0000_t75" style="height:261.35pt;width:456.65pt;" o:ole="t" filled="f" o:preferrelative="t" stroked="f" coordsize="21600,21600">
            <v:path/>
            <v:fill on="f" focussize="0,0"/>
            <v:stroke on="f" joinstyle="miter"/>
            <v:imagedata r:id="rId68" o:title=""/>
            <o:lock v:ext="edit" aspectratio="t"/>
            <w10:wrap type="none"/>
            <w10:anchorlock/>
          </v:shape>
          <o:OLEObject Type="Embed" ProgID="Visio.Drawing.11" ShapeID="_x0000_i1035" DrawAspect="Content" ObjectID="_1468075735" r:id="rId67">
            <o:LockedField>false</o:LockedField>
          </o:OLEObject>
        </w:object>
      </w:r>
    </w:p>
    <w:p w14:paraId="71478062">
      <w:pPr>
        <w:pStyle w:val="12"/>
        <w:spacing w:before="120" w:after="120"/>
        <w:rPr>
          <w:rFonts w:asciiTheme="minorHAnsi" w:hAnsiTheme="minorHAnsi" w:cstheme="minorHAnsi"/>
          <w:szCs w:val="18"/>
        </w:rPr>
      </w:pPr>
      <w:r>
        <w:rPr>
          <w:rFonts w:asciiTheme="minorHAnsi" w:hAnsiTheme="minorHAnsi" w:cstheme="minorHAnsi"/>
          <w:szCs w:val="18"/>
        </w:rPr>
        <w:t xml:space="preserve"> </w:t>
      </w:r>
      <w:r>
        <w:rPr>
          <w:rFonts w:ascii="Calibri" w:hAnsi="Calibri" w:cs="Calibri"/>
        </w:rPr>
        <w:t xml:space="preserve">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6</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1</w:t>
      </w:r>
      <w:r>
        <w:rPr>
          <w:rFonts w:ascii="Calibri" w:hAnsi="Calibri" w:cs="Calibri"/>
        </w:rPr>
        <w:fldChar w:fldCharType="end"/>
      </w:r>
      <w:r>
        <w:rPr>
          <w:rFonts w:ascii="Calibri" w:hAnsi="Calibri" w:cs="Calibri"/>
          <w:szCs w:val="18"/>
        </w:rPr>
        <w:t xml:space="preserve"> </w:t>
      </w:r>
      <w:r>
        <w:rPr>
          <w:rFonts w:asciiTheme="minorHAnsi" w:hAnsiTheme="minorHAnsi" w:cstheme="minorHAnsi"/>
          <w:szCs w:val="18"/>
        </w:rPr>
        <w:t>The F F network topology</w:t>
      </w:r>
    </w:p>
    <w:p w14:paraId="5F152709">
      <w:pPr>
        <w:spacing w:after="240"/>
        <w:jc w:val="center"/>
        <w:rPr>
          <w:rFonts w:cstheme="minorHAnsi"/>
          <w:sz w:val="18"/>
          <w:szCs w:val="18"/>
        </w:rPr>
      </w:pPr>
    </w:p>
    <w:p w14:paraId="498772CA">
      <w:pPr>
        <w:keepNext/>
        <w:spacing w:after="240"/>
        <w:ind w:firstLine="315" w:firstLineChars="150"/>
        <w:jc w:val="center"/>
        <w:rPr>
          <w:rFonts w:cstheme="minorHAnsi"/>
        </w:rPr>
      </w:pPr>
      <w:r>
        <w:rPr>
          <w:rFonts w:cstheme="minorHAnsi"/>
        </w:rPr>
        <w:object>
          <v:shape id="_x0000_i1036" o:spt="75" type="#_x0000_t75" style="height:234.65pt;width:488pt;" o:ole="t" filled="f" o:preferrelative="t" stroked="f" coordsize="21600,21600">
            <v:path/>
            <v:fill on="f" focussize="0,0"/>
            <v:stroke on="f" joinstyle="miter"/>
            <v:imagedata r:id="rId70" o:title=""/>
            <o:lock v:ext="edit" aspectratio="t"/>
            <w10:wrap type="none"/>
            <w10:anchorlock/>
          </v:shape>
          <o:OLEObject Type="Embed" ProgID="Visio.Drawing.11" ShapeID="_x0000_i1036" DrawAspect="Content" ObjectID="_1468075736" r:id="rId69">
            <o:LockedField>false</o:LockedField>
          </o:OLEObject>
        </w:object>
      </w:r>
    </w:p>
    <w:p w14:paraId="6C4B8626">
      <w:pPr>
        <w:pStyle w:val="12"/>
        <w:spacing w:before="120" w:after="120"/>
        <w:rPr>
          <w:rFonts w:asciiTheme="minorHAnsi" w:hAnsiTheme="minorHAnsi" w:cstheme="minorHAnsi"/>
        </w:rPr>
      </w:pPr>
      <w:r>
        <w:rPr>
          <w:rFonts w:asciiTheme="minorHAnsi" w:hAnsiTheme="minorHAnsi" w:cstheme="minorHAnsi"/>
        </w:rPr>
        <w:t xml:space="preserve"> 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6</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Figure \* ARABIC \s 1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 xml:space="preserve"> F F bus connection</w:t>
      </w:r>
    </w:p>
    <w:p w14:paraId="286646AF">
      <w:pPr>
        <w:pStyle w:val="3"/>
        <w:spacing w:before="120" w:beforeLines="50" w:after="120" w:afterLines="50" w:line="240" w:lineRule="auto"/>
        <w:ind w:left="578" w:hanging="578"/>
        <w:rPr>
          <w:rFonts w:asciiTheme="minorHAnsi" w:hAnsiTheme="minorHAnsi" w:cstheme="minorHAnsi"/>
        </w:rPr>
      </w:pPr>
      <w:bookmarkStart w:id="131" w:name="_Toc199429819"/>
      <w:r>
        <w:rPr>
          <w:rFonts w:asciiTheme="minorHAnsi" w:hAnsiTheme="minorHAnsi" w:cstheme="minorHAnsi"/>
        </w:rPr>
        <w:t>Functional Block</w:t>
      </w:r>
      <w:bookmarkEnd w:id="131"/>
      <w:r>
        <w:rPr>
          <w:rFonts w:asciiTheme="minorHAnsi" w:hAnsiTheme="minorHAnsi" w:cstheme="minorHAnsi"/>
        </w:rPr>
        <w:t xml:space="preserve"> </w:t>
      </w:r>
    </w:p>
    <w:p w14:paraId="76B26A2F">
      <w:pPr>
        <w:spacing w:after="240"/>
        <w:rPr>
          <w:rFonts w:cstheme="minorHAnsi"/>
        </w:rPr>
      </w:pPr>
      <w:r>
        <w:rPr>
          <w:rFonts w:cstheme="minorHAnsi"/>
        </w:rPr>
        <w:t>The FF intelligent pressure transmitter implements the FF standard function block, as shown in Table 6.1. Please query the documrelated of the FF protocol.</w:t>
      </w:r>
    </w:p>
    <w:p w14:paraId="35A07946">
      <w:pPr>
        <w:pStyle w:val="12"/>
        <w:keepNext/>
        <w:spacing w:before="120" w:after="120"/>
        <w:rPr>
          <w:rFonts w:asciiTheme="minorHAnsi" w:hAnsiTheme="minorHAnsi" w:cstheme="minorHAnsi"/>
        </w:rPr>
      </w:pPr>
      <w:r>
        <w:rPr>
          <w:rFonts w:asciiTheme="minorHAnsi" w:hAnsiTheme="minorHAnsi" w:cstheme="minorHAnsi"/>
        </w:rPr>
        <w:t>Table 6.1 Description of functional block functions</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8"/>
        <w:gridCol w:w="8238"/>
      </w:tblGrid>
      <w:tr w14:paraId="259C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5" w:type="pct"/>
            <w:shd w:val="clear" w:color="auto" w:fill="CCCCCC"/>
            <w:tcMar>
              <w:left w:w="0" w:type="dxa"/>
              <w:right w:w="0" w:type="dxa"/>
            </w:tcMar>
            <w:vAlign w:val="center"/>
          </w:tcPr>
          <w:p w14:paraId="685930FE">
            <w:pPr>
              <w:spacing w:after="240"/>
              <w:jc w:val="center"/>
              <w:rPr>
                <w:rFonts w:cstheme="minorHAnsi"/>
                <w:sz w:val="18"/>
                <w:szCs w:val="18"/>
              </w:rPr>
            </w:pPr>
            <w:r>
              <w:rPr>
                <w:rFonts w:cstheme="minorHAnsi"/>
                <w:sz w:val="18"/>
                <w:szCs w:val="18"/>
              </w:rPr>
              <w:t>Function block name</w:t>
            </w:r>
          </w:p>
        </w:tc>
        <w:tc>
          <w:tcPr>
            <w:tcW w:w="4175" w:type="pct"/>
            <w:shd w:val="clear" w:color="auto" w:fill="CCCCCC"/>
            <w:vAlign w:val="center"/>
          </w:tcPr>
          <w:p w14:paraId="40B973D0">
            <w:pPr>
              <w:autoSpaceDE w:val="0"/>
              <w:autoSpaceDN w:val="0"/>
              <w:adjustRightInd w:val="0"/>
              <w:spacing w:after="240"/>
              <w:jc w:val="center"/>
              <w:rPr>
                <w:rFonts w:cstheme="minorHAnsi"/>
                <w:sz w:val="18"/>
                <w:szCs w:val="18"/>
              </w:rPr>
            </w:pPr>
            <w:r>
              <w:rPr>
                <w:rFonts w:cstheme="minorHAnsi"/>
                <w:sz w:val="18"/>
                <w:szCs w:val="18"/>
              </w:rPr>
              <w:t>Description</w:t>
            </w:r>
          </w:p>
        </w:tc>
      </w:tr>
      <w:tr w14:paraId="7689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25" w:type="pct"/>
            <w:vAlign w:val="center"/>
          </w:tcPr>
          <w:p w14:paraId="0BDE9725">
            <w:pPr>
              <w:spacing w:after="240"/>
              <w:jc w:val="center"/>
              <w:rPr>
                <w:rFonts w:cstheme="minorHAnsi"/>
                <w:sz w:val="18"/>
                <w:szCs w:val="18"/>
              </w:rPr>
            </w:pPr>
            <w:r>
              <w:rPr>
                <w:rFonts w:cstheme="minorHAnsi"/>
                <w:sz w:val="18"/>
                <w:szCs w:val="18"/>
              </w:rPr>
              <w:t>RES</w:t>
            </w:r>
          </w:p>
        </w:tc>
        <w:tc>
          <w:tcPr>
            <w:tcW w:w="4175" w:type="pct"/>
            <w:vAlign w:val="center"/>
          </w:tcPr>
          <w:p w14:paraId="75591BB6">
            <w:pPr>
              <w:autoSpaceDE w:val="0"/>
              <w:autoSpaceDN w:val="0"/>
              <w:adjustRightInd w:val="0"/>
              <w:spacing w:after="240"/>
              <w:rPr>
                <w:rFonts w:cstheme="minorHAnsi"/>
                <w:sz w:val="18"/>
                <w:szCs w:val="18"/>
              </w:rPr>
            </w:pPr>
            <w:r>
              <w:rPr>
                <w:rFonts w:cstheme="minorHAnsi"/>
                <w:kern w:val="0"/>
                <w:sz w:val="18"/>
                <w:szCs w:val="18"/>
              </w:rPr>
              <w:t>Resource block used to describe characteristics of field equipment such as equipment name, manufacturer, serial number.The resource block has no input or output parameters.A device typically has only one block of resources</w:t>
            </w:r>
          </w:p>
        </w:tc>
      </w:tr>
      <w:tr w14:paraId="7E03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5" w:type="pct"/>
            <w:vAlign w:val="center"/>
          </w:tcPr>
          <w:p w14:paraId="04DB52EA">
            <w:pPr>
              <w:spacing w:after="240"/>
              <w:jc w:val="center"/>
              <w:rPr>
                <w:rFonts w:cstheme="minorHAnsi"/>
                <w:sz w:val="18"/>
                <w:szCs w:val="18"/>
              </w:rPr>
            </w:pPr>
            <w:r>
              <w:rPr>
                <w:rFonts w:cstheme="minorHAnsi"/>
                <w:sz w:val="18"/>
                <w:szCs w:val="18"/>
              </w:rPr>
              <w:t>TRD</w:t>
            </w:r>
          </w:p>
        </w:tc>
        <w:tc>
          <w:tcPr>
            <w:tcW w:w="4175" w:type="pct"/>
            <w:vAlign w:val="center"/>
          </w:tcPr>
          <w:p w14:paraId="6D0899DF">
            <w:pPr>
              <w:autoSpaceDE w:val="0"/>
              <w:autoSpaceDN w:val="0"/>
              <w:adjustRightInd w:val="0"/>
              <w:spacing w:after="240"/>
              <w:rPr>
                <w:rFonts w:cstheme="minorHAnsi"/>
                <w:sz w:val="18"/>
                <w:szCs w:val="18"/>
              </w:rPr>
            </w:pPr>
            <w:r>
              <w:rPr>
                <w:rFonts w:cstheme="minorHAnsi"/>
                <w:kern w:val="0"/>
                <w:sz w:val="18"/>
                <w:szCs w:val="18"/>
              </w:rPr>
              <w:t>Transform blocks, read sensor hardware data, or write field data to the corresponding hardware.The transformation block contains information including range, sensor type, linearization, I / O data, etc</w:t>
            </w:r>
          </w:p>
        </w:tc>
      </w:tr>
      <w:tr w14:paraId="0F34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5" w:type="pct"/>
            <w:vAlign w:val="center"/>
          </w:tcPr>
          <w:p w14:paraId="7710D7C3">
            <w:pPr>
              <w:spacing w:after="240"/>
              <w:jc w:val="center"/>
              <w:rPr>
                <w:rFonts w:cstheme="minorHAnsi"/>
                <w:sz w:val="18"/>
                <w:szCs w:val="18"/>
              </w:rPr>
            </w:pPr>
            <w:r>
              <w:rPr>
                <w:rFonts w:cstheme="minorHAnsi"/>
                <w:sz w:val="18"/>
                <w:szCs w:val="18"/>
              </w:rPr>
              <w:t>DSP</w:t>
            </w:r>
          </w:p>
        </w:tc>
        <w:tc>
          <w:tcPr>
            <w:tcW w:w="4175" w:type="pct"/>
            <w:vAlign w:val="center"/>
          </w:tcPr>
          <w:p w14:paraId="5C3242A8">
            <w:pPr>
              <w:autoSpaceDE w:val="0"/>
              <w:autoSpaceDN w:val="0"/>
              <w:adjustRightInd w:val="0"/>
              <w:spacing w:after="240"/>
              <w:rPr>
                <w:rFonts w:cstheme="minorHAnsi"/>
                <w:sz w:val="18"/>
                <w:szCs w:val="18"/>
              </w:rPr>
            </w:pPr>
            <w:r>
              <w:rPr>
                <w:rFonts w:cstheme="minorHAnsi"/>
                <w:kern w:val="0"/>
                <w:sz w:val="18"/>
                <w:szCs w:val="18"/>
              </w:rPr>
              <w:t>Display block for configuring the display information on the LCD screen</w:t>
            </w:r>
          </w:p>
        </w:tc>
      </w:tr>
      <w:tr w14:paraId="35A4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5" w:type="pct"/>
            <w:vAlign w:val="center"/>
          </w:tcPr>
          <w:p w14:paraId="5CCC91BF">
            <w:pPr>
              <w:spacing w:after="240"/>
              <w:jc w:val="center"/>
              <w:rPr>
                <w:rFonts w:cstheme="minorHAnsi"/>
                <w:sz w:val="18"/>
                <w:szCs w:val="18"/>
              </w:rPr>
            </w:pPr>
            <w:r>
              <w:rPr>
                <w:rFonts w:cstheme="minorHAnsi"/>
                <w:sz w:val="18"/>
                <w:szCs w:val="18"/>
              </w:rPr>
              <w:t>PID</w:t>
            </w:r>
          </w:p>
        </w:tc>
        <w:tc>
          <w:tcPr>
            <w:tcW w:w="4175" w:type="pct"/>
            <w:vAlign w:val="center"/>
          </w:tcPr>
          <w:p w14:paraId="2F0032AA">
            <w:pPr>
              <w:autoSpaceDE w:val="0"/>
              <w:autoSpaceDN w:val="0"/>
              <w:adjustRightInd w:val="0"/>
              <w:spacing w:after="240"/>
              <w:rPr>
                <w:rFonts w:cstheme="minorHAnsi"/>
                <w:kern w:val="0"/>
                <w:sz w:val="18"/>
                <w:szCs w:val="18"/>
              </w:rPr>
            </w:pPr>
            <w:r>
              <w:rPr>
                <w:rFonts w:cstheme="minorHAnsi"/>
                <w:kern w:val="0"/>
                <w:sz w:val="18"/>
                <w:szCs w:val="18"/>
              </w:rPr>
              <w:t>PID function block, which performs PID control function, but also has set point adjustment, process parameter (PV) filtering, alarm, output tracking and other functions</w:t>
            </w:r>
          </w:p>
        </w:tc>
      </w:tr>
      <w:tr w14:paraId="2F60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5" w:type="pct"/>
            <w:vAlign w:val="center"/>
          </w:tcPr>
          <w:p w14:paraId="021A0C44">
            <w:pPr>
              <w:spacing w:after="240"/>
              <w:jc w:val="center"/>
              <w:rPr>
                <w:rFonts w:cstheme="minorHAnsi"/>
                <w:sz w:val="18"/>
                <w:szCs w:val="18"/>
              </w:rPr>
            </w:pPr>
            <w:r>
              <w:rPr>
                <w:rFonts w:cstheme="minorHAnsi"/>
                <w:sz w:val="18"/>
                <w:szCs w:val="18"/>
              </w:rPr>
              <w:t>AI</w:t>
            </w:r>
          </w:p>
        </w:tc>
        <w:tc>
          <w:tcPr>
            <w:tcW w:w="4175" w:type="pct"/>
            <w:vAlign w:val="center"/>
          </w:tcPr>
          <w:p w14:paraId="3C554C65">
            <w:pPr>
              <w:autoSpaceDE w:val="0"/>
              <w:autoSpaceDN w:val="0"/>
              <w:adjustRightInd w:val="0"/>
              <w:spacing w:after="240"/>
              <w:rPr>
                <w:rFonts w:cstheme="minorHAnsi"/>
                <w:sz w:val="18"/>
                <w:szCs w:val="18"/>
              </w:rPr>
            </w:pPr>
            <w:r>
              <w:rPr>
                <w:rFonts w:cstheme="minorHAnsi"/>
                <w:kern w:val="0"/>
                <w:sz w:val="18"/>
                <w:szCs w:val="18"/>
              </w:rPr>
              <w:t>Analog input function block, used to obtain the input data of the conversion block, and can be transmitted to other function blocks, with functions such as range conversion, square root and mantissa removal</w:t>
            </w:r>
          </w:p>
        </w:tc>
      </w:tr>
      <w:tr w14:paraId="125A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5" w:type="pct"/>
            <w:vAlign w:val="center"/>
          </w:tcPr>
          <w:p w14:paraId="244D6A2D">
            <w:pPr>
              <w:spacing w:after="240"/>
              <w:jc w:val="center"/>
              <w:rPr>
                <w:rFonts w:cstheme="minorHAnsi"/>
                <w:sz w:val="18"/>
                <w:szCs w:val="18"/>
              </w:rPr>
            </w:pPr>
            <w:r>
              <w:rPr>
                <w:rFonts w:cstheme="minorHAnsi"/>
                <w:sz w:val="18"/>
                <w:szCs w:val="18"/>
              </w:rPr>
              <w:t>LLAG</w:t>
            </w:r>
          </w:p>
        </w:tc>
        <w:tc>
          <w:tcPr>
            <w:tcW w:w="4175" w:type="pct"/>
            <w:vAlign w:val="center"/>
          </w:tcPr>
          <w:p w14:paraId="48EEF5D9">
            <w:pPr>
              <w:autoSpaceDE w:val="0"/>
              <w:autoSpaceDN w:val="0"/>
              <w:adjustRightInd w:val="0"/>
              <w:spacing w:after="240"/>
              <w:rPr>
                <w:rFonts w:cstheme="minorHAnsi"/>
                <w:sz w:val="18"/>
                <w:szCs w:val="18"/>
              </w:rPr>
            </w:pPr>
            <w:r>
              <w:rPr>
                <w:rFonts w:cstheme="minorHAnsi"/>
                <w:kern w:val="0"/>
                <w:sz w:val="18"/>
                <w:szCs w:val="18"/>
              </w:rPr>
              <w:t>Advance lag function block, used for feedforward control</w:t>
            </w:r>
          </w:p>
        </w:tc>
      </w:tr>
      <w:tr w14:paraId="2E59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5" w:type="pct"/>
            <w:vAlign w:val="center"/>
          </w:tcPr>
          <w:p w14:paraId="2E4EEF97">
            <w:pPr>
              <w:spacing w:after="240"/>
              <w:jc w:val="center"/>
              <w:rPr>
                <w:rFonts w:cstheme="minorHAnsi"/>
                <w:sz w:val="18"/>
                <w:szCs w:val="18"/>
              </w:rPr>
            </w:pPr>
            <w:r>
              <w:rPr>
                <w:rFonts w:cstheme="minorHAnsi"/>
                <w:sz w:val="18"/>
                <w:szCs w:val="18"/>
              </w:rPr>
              <w:t>RA</w:t>
            </w:r>
          </w:p>
        </w:tc>
        <w:tc>
          <w:tcPr>
            <w:tcW w:w="4175" w:type="pct"/>
            <w:vAlign w:val="center"/>
          </w:tcPr>
          <w:p w14:paraId="254A4C33">
            <w:pPr>
              <w:autoSpaceDE w:val="0"/>
              <w:autoSpaceDN w:val="0"/>
              <w:adjustRightInd w:val="0"/>
              <w:spacing w:after="240"/>
              <w:rPr>
                <w:rFonts w:cstheme="minorHAnsi"/>
                <w:kern w:val="0"/>
                <w:sz w:val="18"/>
                <w:szCs w:val="18"/>
              </w:rPr>
            </w:pPr>
            <w:r>
              <w:rPr>
                <w:rFonts w:cstheme="minorHAnsi"/>
                <w:kern w:val="0"/>
                <w:sz w:val="18"/>
                <w:szCs w:val="18"/>
              </w:rPr>
              <w:t>Scale function block-Implement proportional control of two input quantities</w:t>
            </w:r>
          </w:p>
        </w:tc>
      </w:tr>
      <w:tr w14:paraId="31EF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5" w:type="pct"/>
            <w:vAlign w:val="center"/>
          </w:tcPr>
          <w:p w14:paraId="4CD5B1D1">
            <w:pPr>
              <w:spacing w:after="240"/>
              <w:jc w:val="center"/>
              <w:rPr>
                <w:rFonts w:cstheme="minorHAnsi"/>
                <w:sz w:val="18"/>
                <w:szCs w:val="18"/>
              </w:rPr>
            </w:pPr>
            <w:r>
              <w:rPr>
                <w:rFonts w:cstheme="minorHAnsi"/>
                <w:sz w:val="18"/>
                <w:szCs w:val="18"/>
              </w:rPr>
              <w:t>IS</w:t>
            </w:r>
          </w:p>
        </w:tc>
        <w:tc>
          <w:tcPr>
            <w:tcW w:w="4175" w:type="pct"/>
            <w:vAlign w:val="center"/>
          </w:tcPr>
          <w:p w14:paraId="3D138C06">
            <w:pPr>
              <w:autoSpaceDE w:val="0"/>
              <w:autoSpaceDN w:val="0"/>
              <w:adjustRightInd w:val="0"/>
              <w:spacing w:after="240"/>
              <w:rPr>
                <w:rFonts w:cstheme="minorHAnsi"/>
                <w:kern w:val="0"/>
                <w:sz w:val="18"/>
                <w:szCs w:val="18"/>
              </w:rPr>
            </w:pPr>
            <w:r>
              <w:rPr>
                <w:rFonts w:cstheme="minorHAnsi"/>
                <w:kern w:val="0"/>
                <w:sz w:val="18"/>
                <w:szCs w:val="18"/>
              </w:rPr>
              <w:t>Input the selection function block to select the output according to the selection items, such as the maximum, minimum, intermediate value, etc</w:t>
            </w:r>
          </w:p>
        </w:tc>
      </w:tr>
      <w:tr w14:paraId="54C8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5" w:type="pct"/>
            <w:vAlign w:val="center"/>
          </w:tcPr>
          <w:p w14:paraId="4D3360AA">
            <w:pPr>
              <w:spacing w:after="240"/>
              <w:jc w:val="center"/>
              <w:rPr>
                <w:rFonts w:cstheme="minorHAnsi"/>
                <w:sz w:val="18"/>
                <w:szCs w:val="18"/>
              </w:rPr>
            </w:pPr>
            <w:r>
              <w:rPr>
                <w:rFonts w:cstheme="minorHAnsi"/>
                <w:sz w:val="18"/>
                <w:szCs w:val="18"/>
              </w:rPr>
              <w:t>BG</w:t>
            </w:r>
          </w:p>
        </w:tc>
        <w:tc>
          <w:tcPr>
            <w:tcW w:w="4175" w:type="pct"/>
            <w:vAlign w:val="center"/>
          </w:tcPr>
          <w:p w14:paraId="47103B8A">
            <w:pPr>
              <w:autoSpaceDE w:val="0"/>
              <w:autoSpaceDN w:val="0"/>
              <w:adjustRightInd w:val="0"/>
              <w:spacing w:after="240"/>
              <w:rPr>
                <w:rFonts w:cstheme="minorHAnsi"/>
                <w:kern w:val="0"/>
                <w:sz w:val="18"/>
                <w:szCs w:val="18"/>
              </w:rPr>
            </w:pPr>
            <w:r>
              <w:rPr>
                <w:rFonts w:cstheme="minorHAnsi"/>
                <w:kern w:val="0"/>
                <w:sz w:val="18"/>
                <w:szCs w:val="18"/>
              </w:rPr>
              <w:t>Devdeviation gain function block so that the input and output satisfy a certain linear function</w:t>
            </w:r>
          </w:p>
        </w:tc>
      </w:tr>
      <w:tr w14:paraId="7F8A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5" w:type="pct"/>
            <w:vAlign w:val="center"/>
          </w:tcPr>
          <w:p w14:paraId="3CF3DD6A">
            <w:pPr>
              <w:spacing w:after="240"/>
              <w:jc w:val="center"/>
              <w:rPr>
                <w:rFonts w:cstheme="minorHAnsi"/>
                <w:sz w:val="18"/>
                <w:szCs w:val="18"/>
              </w:rPr>
            </w:pPr>
            <w:r>
              <w:rPr>
                <w:rFonts w:cstheme="minorHAnsi"/>
                <w:sz w:val="18"/>
                <w:szCs w:val="18"/>
              </w:rPr>
              <w:t>SC</w:t>
            </w:r>
          </w:p>
        </w:tc>
        <w:tc>
          <w:tcPr>
            <w:tcW w:w="4175" w:type="pct"/>
            <w:vAlign w:val="center"/>
          </w:tcPr>
          <w:p w14:paraId="7281FB14">
            <w:pPr>
              <w:autoSpaceDE w:val="0"/>
              <w:autoSpaceDN w:val="0"/>
              <w:adjustRightInd w:val="0"/>
              <w:spacing w:after="240"/>
              <w:rPr>
                <w:rFonts w:cstheme="minorHAnsi"/>
                <w:kern w:val="0"/>
                <w:sz w:val="18"/>
                <w:szCs w:val="18"/>
              </w:rPr>
            </w:pPr>
            <w:r>
              <w:rPr>
                <w:rFonts w:cstheme="minorHAnsi"/>
                <w:kern w:val="0"/>
                <w:sz w:val="18"/>
                <w:szCs w:val="18"/>
              </w:rPr>
              <w:t>Signal feature function block, the same curve can describe two signal characteristics.The first output is from X to Y according on the feature curve of the block itself.The second input selection from X to Y, easy to implement the reverse function for the feature description of read variables</w:t>
            </w:r>
          </w:p>
        </w:tc>
      </w:tr>
      <w:tr w14:paraId="7E77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5" w:type="pct"/>
            <w:vAlign w:val="center"/>
          </w:tcPr>
          <w:p w14:paraId="7295C9CE">
            <w:pPr>
              <w:spacing w:after="240"/>
              <w:jc w:val="center"/>
              <w:rPr>
                <w:rFonts w:cstheme="minorHAnsi"/>
                <w:sz w:val="18"/>
                <w:szCs w:val="18"/>
              </w:rPr>
            </w:pPr>
            <w:r>
              <w:rPr>
                <w:rFonts w:cstheme="minorHAnsi"/>
                <w:sz w:val="18"/>
                <w:szCs w:val="18"/>
              </w:rPr>
              <w:t>IT</w:t>
            </w:r>
          </w:p>
        </w:tc>
        <w:tc>
          <w:tcPr>
            <w:tcW w:w="4175" w:type="pct"/>
            <w:vAlign w:val="center"/>
          </w:tcPr>
          <w:p w14:paraId="776BD281">
            <w:pPr>
              <w:autoSpaceDE w:val="0"/>
              <w:autoSpaceDN w:val="0"/>
              <w:adjustRightInd w:val="0"/>
              <w:spacing w:after="240"/>
              <w:rPr>
                <w:rFonts w:cstheme="minorHAnsi"/>
                <w:kern w:val="0"/>
                <w:sz w:val="18"/>
                <w:szCs w:val="18"/>
              </w:rPr>
            </w:pPr>
            <w:r>
              <w:rPr>
                <w:rFonts w:cstheme="minorHAnsi"/>
                <w:kern w:val="0"/>
                <w:sz w:val="18"/>
                <w:szCs w:val="18"/>
              </w:rPr>
              <w:t>Integrator function block, to realize the integral operation function</w:t>
            </w:r>
          </w:p>
        </w:tc>
      </w:tr>
      <w:tr w14:paraId="60FA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5" w:type="pct"/>
            <w:vAlign w:val="center"/>
          </w:tcPr>
          <w:p w14:paraId="4A021041">
            <w:pPr>
              <w:spacing w:after="240"/>
              <w:jc w:val="center"/>
              <w:rPr>
                <w:rFonts w:cstheme="minorHAnsi"/>
                <w:sz w:val="18"/>
                <w:szCs w:val="18"/>
              </w:rPr>
            </w:pPr>
            <w:r>
              <w:rPr>
                <w:rFonts w:cstheme="minorHAnsi"/>
                <w:sz w:val="18"/>
                <w:szCs w:val="18"/>
              </w:rPr>
              <w:t>AR</w:t>
            </w:r>
          </w:p>
        </w:tc>
        <w:tc>
          <w:tcPr>
            <w:tcW w:w="4175" w:type="pct"/>
            <w:vAlign w:val="center"/>
          </w:tcPr>
          <w:p w14:paraId="4C367A2F">
            <w:pPr>
              <w:autoSpaceDE w:val="0"/>
              <w:autoSpaceDN w:val="0"/>
              <w:adjustRightInd w:val="0"/>
              <w:spacing w:after="240"/>
              <w:rPr>
                <w:rFonts w:cstheme="minorHAnsi"/>
                <w:kern w:val="0"/>
                <w:sz w:val="18"/>
                <w:szCs w:val="18"/>
              </w:rPr>
            </w:pPr>
            <w:r>
              <w:rPr>
                <w:rFonts w:cstheme="minorHAnsi"/>
                <w:kern w:val="0"/>
                <w:sz w:val="18"/>
                <w:szCs w:val="18"/>
              </w:rPr>
              <w:t>Mathematical arithmetic blocks, allowing the selection of the most commonly used measurement mathematical function</w:t>
            </w:r>
          </w:p>
        </w:tc>
      </w:tr>
    </w:tbl>
    <w:p w14:paraId="7B3BD39D">
      <w:pPr>
        <w:pStyle w:val="3"/>
        <w:spacing w:before="120" w:beforeLines="50" w:after="120" w:afterLines="50" w:line="240" w:lineRule="auto"/>
        <w:ind w:left="578" w:hanging="578"/>
        <w:rPr>
          <w:rFonts w:asciiTheme="minorHAnsi" w:hAnsiTheme="minorHAnsi" w:cstheme="minorHAnsi"/>
        </w:rPr>
      </w:pPr>
      <w:bookmarkStart w:id="132" w:name="_Toc199429820"/>
      <w:r>
        <w:rPr>
          <w:rFonts w:asciiTheme="minorHAnsi" w:hAnsiTheme="minorHAnsi" w:cstheme="minorHAnsi"/>
        </w:rPr>
        <w:t>Functional Configuration</w:t>
      </w:r>
      <w:bookmarkEnd w:id="132"/>
    </w:p>
    <w:p w14:paraId="4132338F">
      <w:pPr>
        <w:spacing w:after="240"/>
        <w:rPr>
          <w:rFonts w:cstheme="minorHAnsi"/>
        </w:rPr>
      </w:pPr>
      <w:r>
        <w:rPr>
          <w:rFonts w:cstheme="minorHAnsi"/>
        </w:rPr>
        <w:t>The intelligent transmitter supports the FF configuration software, NCS4000 configuration software, NI company NI-FBUS Configurator, Rosemont company DeltaV and other general FF configuration software for configuration debugging. The following-FBUS Configurator software mainly takes NI as an example to introduce the configuration method of intelligent transmitter.</w:t>
      </w:r>
    </w:p>
    <w:p w14:paraId="3DF0C2CD">
      <w:pPr>
        <w:pStyle w:val="4"/>
        <w:spacing w:before="120" w:beforeLines="50" w:after="120" w:afterLines="50"/>
        <w:rPr>
          <w:rFonts w:asciiTheme="minorHAnsi" w:hAnsiTheme="minorHAnsi" w:cstheme="minorHAnsi"/>
        </w:rPr>
      </w:pPr>
      <w:bookmarkStart w:id="133" w:name="_Toc199429821"/>
      <w:r>
        <w:rPr>
          <w:rFonts w:asciiTheme="minorHAnsi" w:hAnsiTheme="minorHAnsi" w:cstheme="minorHAnsi"/>
        </w:rPr>
        <w:t>Configuration Environment</w:t>
      </w:r>
      <w:bookmarkEnd w:id="133"/>
    </w:p>
    <w:p w14:paraId="586E01BF">
      <w:pPr>
        <w:numPr>
          <w:ilvl w:val="0"/>
          <w:numId w:val="22"/>
        </w:numPr>
        <w:tabs>
          <w:tab w:val="left" w:pos="840"/>
          <w:tab w:val="left" w:pos="900"/>
        </w:tabs>
        <w:adjustRightInd w:val="0"/>
        <w:spacing w:after="240"/>
        <w:rPr>
          <w:rFonts w:cstheme="minorHAnsi"/>
        </w:rPr>
      </w:pPr>
      <w:r>
        <w:rPr>
          <w:rFonts w:cstheme="minorHAnsi"/>
        </w:rPr>
        <w:t>PC machine, the operating system is Windows 2000 or Windows XP;</w:t>
      </w:r>
    </w:p>
    <w:p w14:paraId="0F45DCF9">
      <w:pPr>
        <w:numPr>
          <w:ilvl w:val="0"/>
          <w:numId w:val="22"/>
        </w:numPr>
        <w:tabs>
          <w:tab w:val="left" w:pos="840"/>
          <w:tab w:val="left" w:pos="900"/>
        </w:tabs>
        <w:adjustRightInd w:val="0"/>
        <w:spacing w:after="240"/>
        <w:rPr>
          <w:rFonts w:cstheme="minorHAnsi"/>
        </w:rPr>
      </w:pPr>
      <w:r>
        <w:rPr>
          <w:rFonts w:cstheme="minorHAnsi"/>
        </w:rPr>
        <w:t>NI-BUS8486, H1 bus power supply, H1 terminal matcher;</w:t>
      </w:r>
    </w:p>
    <w:p w14:paraId="063AF51B">
      <w:pPr>
        <w:numPr>
          <w:ilvl w:val="0"/>
          <w:numId w:val="22"/>
        </w:numPr>
        <w:tabs>
          <w:tab w:val="left" w:pos="840"/>
          <w:tab w:val="left" w:pos="900"/>
        </w:tabs>
        <w:adjustRightInd w:val="0"/>
        <w:spacing w:after="240"/>
        <w:rPr>
          <w:rFonts w:cstheme="minorHAnsi"/>
        </w:rPr>
      </w:pPr>
      <w:r>
        <w:rPr>
          <w:rFonts w:cstheme="minorHAnsi"/>
        </w:rPr>
        <w:t>NI-FBUS Configurator;</w:t>
      </w:r>
    </w:p>
    <w:p w14:paraId="1ED9CC93">
      <w:pPr>
        <w:numPr>
          <w:ilvl w:val="0"/>
          <w:numId w:val="22"/>
        </w:numPr>
        <w:tabs>
          <w:tab w:val="left" w:pos="840"/>
          <w:tab w:val="left" w:pos="900"/>
        </w:tabs>
        <w:adjustRightInd w:val="0"/>
        <w:spacing w:after="240"/>
        <w:rPr>
          <w:rFonts w:cstheme="minorHAnsi"/>
        </w:rPr>
      </w:pPr>
      <w:r>
        <w:rPr>
          <w:rFonts w:cstheme="minorHAnsi"/>
        </w:rPr>
        <w:t>Standard pressure source.</w:t>
      </w:r>
    </w:p>
    <w:p w14:paraId="2489ECFC">
      <w:pPr>
        <w:pStyle w:val="4"/>
        <w:spacing w:before="120" w:beforeLines="50" w:after="120" w:afterLines="50"/>
        <w:rPr>
          <w:rFonts w:asciiTheme="minorHAnsi" w:hAnsiTheme="minorHAnsi" w:cstheme="minorHAnsi"/>
        </w:rPr>
      </w:pPr>
      <w:bookmarkStart w:id="134" w:name="_Toc199429822"/>
      <w:r>
        <w:rPr>
          <w:rFonts w:asciiTheme="minorHAnsi" w:hAnsiTheme="minorHAnsi" w:cstheme="minorHAnsi"/>
        </w:rPr>
        <w:t>Primary Variable Zero Configuration</w:t>
      </w:r>
      <w:bookmarkEnd w:id="134"/>
    </w:p>
    <w:p w14:paraId="5A554142">
      <w:pPr>
        <w:spacing w:after="240"/>
        <w:rPr>
          <w:rFonts w:cstheme="minorHAnsi"/>
        </w:rPr>
      </w:pPr>
      <w:r>
        <w:rPr>
          <w:rFonts w:cstheme="minorHAnsi"/>
        </w:rPr>
        <w:t>The transmitter adds the actual working zero point pressure value, read the PRIMARY_VALUE value of the transformation block, write the read PRIMARY_VALUE value to the COMPENSATION_VALUE variable, and click "Write". The sensor zero calibration is completed when the PRIMARY_VALUE value of the transformation block is read to zero.As shown in Figure 6.3.</w:t>
      </w:r>
    </w:p>
    <w:p w14:paraId="13B56648">
      <w:pPr>
        <w:keepNext/>
        <w:spacing w:after="240"/>
        <w:jc w:val="center"/>
        <w:rPr>
          <w:rFonts w:cstheme="minorHAnsi"/>
        </w:rPr>
      </w:pPr>
      <w:r>
        <w:rPr>
          <w:rFonts w:cstheme="minorHAnsi"/>
        </w:rPr>
        <w:drawing>
          <wp:inline distT="0" distB="0" distL="0" distR="0">
            <wp:extent cx="3714115" cy="3035300"/>
            <wp:effectExtent l="0" t="0" r="635" b="0"/>
            <wp:docPr id="21" name="图片 21" descr="C:\Users\YXZ\AppData\Roaming\feiq\RichOle\14749996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YXZ\AppData\Roaming\feiq\RichOle\147499965.bmp"/>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3743156" cy="3059352"/>
                    </a:xfrm>
                    <a:prstGeom prst="rect">
                      <a:avLst/>
                    </a:prstGeom>
                    <a:noFill/>
                    <a:ln>
                      <a:noFill/>
                    </a:ln>
                  </pic:spPr>
                </pic:pic>
              </a:graphicData>
            </a:graphic>
          </wp:inline>
        </w:drawing>
      </w:r>
    </w:p>
    <w:p w14:paraId="3121A1D0">
      <w:pPr>
        <w:pStyle w:val="12"/>
        <w:spacing w:before="120" w:after="120"/>
        <w:rPr>
          <w:rFonts w:asciiTheme="minorHAnsi" w:hAnsiTheme="minorHAnsi" w:cstheme="minorHAnsi"/>
          <w:sz w:val="24"/>
        </w:rPr>
      </w:pPr>
      <w:r>
        <w:rPr>
          <w:rFonts w:ascii="Calibri" w:hAnsi="Calibri" w:cs="Calibri"/>
        </w:rPr>
        <w:t xml:space="preserve"> 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6</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3</w:t>
      </w:r>
      <w:r>
        <w:rPr>
          <w:rFonts w:ascii="Calibri" w:hAnsi="Calibri" w:cs="Calibri"/>
        </w:rPr>
        <w:fldChar w:fldCharType="end"/>
      </w:r>
      <w:r>
        <w:rPr>
          <w:rFonts w:asciiTheme="minorHAnsi" w:hAnsiTheme="minorHAnsi" w:cstheme="minorHAnsi"/>
        </w:rPr>
        <w:t xml:space="preserve"> The ENABLE _ L I N _ C U R V E configuration</w:t>
      </w:r>
    </w:p>
    <w:p w14:paraId="7249713D">
      <w:pPr>
        <w:pStyle w:val="4"/>
        <w:spacing w:before="120" w:beforeLines="50" w:after="120" w:afterLines="50"/>
        <w:rPr>
          <w:rFonts w:asciiTheme="minorHAnsi" w:hAnsiTheme="minorHAnsi" w:cstheme="minorHAnsi"/>
        </w:rPr>
      </w:pPr>
      <w:bookmarkStart w:id="135" w:name="_Toc199429823"/>
      <w:r>
        <w:rPr>
          <w:rFonts w:asciiTheme="minorHAnsi" w:hAnsiTheme="minorHAnsi" w:cstheme="minorHAnsi"/>
        </w:rPr>
        <w:t>Lower Range Limit Configuration</w:t>
      </w:r>
      <w:bookmarkEnd w:id="135"/>
    </w:p>
    <w:p w14:paraId="068A38B6">
      <w:pPr>
        <w:spacing w:after="240"/>
        <w:rPr>
          <w:rFonts w:cstheme="minorHAnsi"/>
        </w:rPr>
      </w:pPr>
      <w:r>
        <w:rPr>
          <w:rFonts w:cstheme="minorHAnsi"/>
        </w:rPr>
        <w:t>The transmitter adds the actual working range lower limit pressure value, read the PRIMARY_VALUE value of the transformation block, write this value to the EU_0 parameter of the AI function block XD_SCALE parameter, and set the current sensor output lower limit of the range value of the main variable.</w:t>
      </w:r>
    </w:p>
    <w:p w14:paraId="7FAE41DB">
      <w:pPr>
        <w:pStyle w:val="4"/>
        <w:spacing w:before="120" w:beforeLines="50" w:after="120" w:afterLines="50"/>
        <w:rPr>
          <w:rFonts w:asciiTheme="minorHAnsi" w:hAnsiTheme="minorHAnsi" w:cstheme="minorHAnsi"/>
        </w:rPr>
      </w:pPr>
      <w:bookmarkStart w:id="136" w:name="_Toc199429824"/>
      <w:r>
        <w:rPr>
          <w:rFonts w:asciiTheme="minorHAnsi" w:hAnsiTheme="minorHAnsi" w:cstheme="minorHAnsi"/>
        </w:rPr>
        <w:t>Upper Rang Limit Configuration</w:t>
      </w:r>
      <w:bookmarkEnd w:id="136"/>
    </w:p>
    <w:p w14:paraId="5B21610C">
      <w:pPr>
        <w:spacing w:after="240"/>
        <w:rPr>
          <w:rFonts w:cstheme="minorHAnsi"/>
        </w:rPr>
      </w:pPr>
      <w:bookmarkStart w:id="137" w:name="_Toc441146406"/>
      <w:r>
        <w:rPr>
          <w:rFonts w:cstheme="minorHAnsi"/>
        </w:rPr>
        <w:t>The transmitter adds the actual working range upper limit pressure value, read the PRIMARY_VALUE value of the transformation block, write this value to the EU_100 parameter of the AI function block XD_SCALE parameter, and set the current sensor output value to the range upper limit of the main variable.</w:t>
      </w:r>
    </w:p>
    <w:bookmarkEnd w:id="137"/>
    <w:p w14:paraId="2A94F82E">
      <w:pPr>
        <w:pStyle w:val="4"/>
        <w:spacing w:before="120" w:beforeLines="50" w:after="120" w:afterLines="50"/>
        <w:rPr>
          <w:rFonts w:asciiTheme="minorHAnsi" w:hAnsiTheme="minorHAnsi" w:cstheme="minorHAnsi"/>
        </w:rPr>
      </w:pPr>
      <w:bookmarkStart w:id="138" w:name="_Toc199429825"/>
      <w:r>
        <w:rPr>
          <w:rFonts w:asciiTheme="minorHAnsi" w:hAnsiTheme="minorHAnsi" w:cstheme="minorHAnsi"/>
        </w:rPr>
        <w:t>Secondary-linearized Calibration</w:t>
      </w:r>
      <w:bookmarkEnd w:id="138"/>
    </w:p>
    <w:p w14:paraId="3001C8FD">
      <w:pPr>
        <w:spacing w:after="240"/>
        <w:rPr>
          <w:rFonts w:cstheme="minorHAnsi"/>
        </w:rPr>
      </w:pPr>
      <w:r>
        <w:rPr>
          <w:rFonts w:cstheme="minorHAnsi"/>
        </w:rPr>
        <w:t>By transforming the calibration parameters LIN_CURVE_X of the block and LIN_CURVE_Y, the user can complete the secondary linearized calibration of the instrument by himself. The correction steps are as follows:</w:t>
      </w:r>
    </w:p>
    <w:p w14:paraId="4F88684D">
      <w:pPr>
        <w:numPr>
          <w:ilvl w:val="0"/>
          <w:numId w:val="23"/>
        </w:numPr>
        <w:tabs>
          <w:tab w:val="left" w:pos="840"/>
        </w:tabs>
        <w:spacing w:after="240"/>
        <w:jc w:val="left"/>
        <w:rPr>
          <w:rFonts w:eastAsia="黑体" w:cstheme="minorHAnsi"/>
          <w:sz w:val="24"/>
        </w:rPr>
      </w:pPr>
      <w:r>
        <w:rPr>
          <w:rFonts w:cstheme="minorHAnsi"/>
        </w:rPr>
        <w:t>The intelligent transmitter provides six correction point inputs, namely the parameter LIN_CURVE_Y array of the transformation block, and the user can successively write the calibrated pressure value to the array and select good units.For example, when performing a three-point interpolation calibration, the user selects 10 kPa, 20 kPa, and 30 kPa as the calibration points and writes the three values in the LIN_CURVE_Y array, as shown in Figure 6.4.</w:t>
      </w:r>
    </w:p>
    <w:p w14:paraId="3F163C5F">
      <w:pPr>
        <w:keepNext/>
        <w:spacing w:after="240"/>
        <w:jc w:val="center"/>
        <w:rPr>
          <w:rFonts w:cstheme="minorHAnsi"/>
        </w:rPr>
      </w:pPr>
      <w:r>
        <w:rPr>
          <w:rFonts w:cstheme="minorHAnsi"/>
        </w:rPr>
        <w:drawing>
          <wp:inline distT="0" distB="0" distL="0" distR="0">
            <wp:extent cx="3916680" cy="3284220"/>
            <wp:effectExtent l="0" t="0" r="7620" b="0"/>
            <wp:docPr id="24" name="图片 24" descr="C:\Users\YXZ\AppData\Local\Temp\WeChat Files\4ea1ffc72a316d2e3b58cdffc816b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YXZ\AppData\Local\Temp\WeChat Files\4ea1ffc72a316d2e3b58cdffc816b92.bmp"/>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3931828" cy="3297191"/>
                    </a:xfrm>
                    <a:prstGeom prst="rect">
                      <a:avLst/>
                    </a:prstGeom>
                    <a:noFill/>
                    <a:ln>
                      <a:noFill/>
                    </a:ln>
                  </pic:spPr>
                </pic:pic>
              </a:graphicData>
            </a:graphic>
          </wp:inline>
        </w:drawing>
      </w:r>
    </w:p>
    <w:p w14:paraId="5316DFA7">
      <w:pPr>
        <w:pStyle w:val="12"/>
        <w:spacing w:before="120" w:after="120"/>
        <w:rPr>
          <w:rFonts w:asciiTheme="minorHAnsi" w:hAnsiTheme="minorHAnsi" w:cstheme="minorHAnsi"/>
        </w:rPr>
      </w:pPr>
      <w:r>
        <w:rPr>
          <w:rFonts w:ascii="Calibri" w:hAnsi="Calibri" w:cs="Calibri"/>
        </w:rPr>
        <w:t xml:space="preserve"> 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6</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4</w:t>
      </w:r>
      <w:r>
        <w:rPr>
          <w:rFonts w:ascii="Calibri" w:hAnsi="Calibri" w:cs="Calibri"/>
        </w:rPr>
        <w:fldChar w:fldCharType="end"/>
      </w:r>
      <w:r>
        <w:rPr>
          <w:rFonts w:asciiTheme="minorHAnsi" w:hAnsiTheme="minorHAnsi" w:cstheme="minorHAnsi"/>
        </w:rPr>
        <w:t xml:space="preserve"> IN_CURVE_Y Configuration</w:t>
      </w:r>
    </w:p>
    <w:p w14:paraId="2F8EED06">
      <w:pPr>
        <w:numPr>
          <w:ilvl w:val="0"/>
          <w:numId w:val="23"/>
        </w:numPr>
        <w:tabs>
          <w:tab w:val="left" w:pos="840"/>
        </w:tabs>
        <w:spacing w:after="240"/>
        <w:jc w:val="left"/>
        <w:rPr>
          <w:rFonts w:cstheme="minorHAnsi"/>
        </w:rPr>
      </w:pPr>
      <w:r>
        <w:rPr>
          <w:rFonts w:cstheme="minorHAnsi"/>
        </w:rPr>
        <w:t>Enter the standard pressure through the ressor and open the corresponding transformation block on the configuration software, read the value of parameter PRIMARY_VALUE and write the value to the LIN_CURVE_X array. For example, write the 10.2,20.5,30.4 read in the LIN_CURVE_X array, as shown in Figure 6.5.Finish this calibration work.</w:t>
      </w:r>
    </w:p>
    <w:p w14:paraId="1927D37A">
      <w:pPr>
        <w:keepNext/>
        <w:spacing w:after="240"/>
        <w:jc w:val="center"/>
        <w:rPr>
          <w:rFonts w:cstheme="minorHAnsi"/>
        </w:rPr>
      </w:pPr>
      <w:r>
        <w:rPr>
          <w:rFonts w:cstheme="minorHAnsi"/>
          <w:sz w:val="24"/>
        </w:rPr>
        <w:drawing>
          <wp:inline distT="0" distB="0" distL="0" distR="0">
            <wp:extent cx="4073525" cy="3415665"/>
            <wp:effectExtent l="0" t="0" r="3175" b="0"/>
            <wp:docPr id="25" name="图片 25" descr="C:\Users\YXZ\AppData\Local\Temp\WeChat Files\8b07ccdca84355c76bbce740a9787b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YXZ\AppData\Local\Temp\WeChat Files\8b07ccdca84355c76bbce740a9787b0.bmp"/>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4099704" cy="3437970"/>
                    </a:xfrm>
                    <a:prstGeom prst="rect">
                      <a:avLst/>
                    </a:prstGeom>
                    <a:noFill/>
                    <a:ln>
                      <a:noFill/>
                    </a:ln>
                  </pic:spPr>
                </pic:pic>
              </a:graphicData>
            </a:graphic>
          </wp:inline>
        </w:drawing>
      </w:r>
    </w:p>
    <w:p w14:paraId="27E8B00F">
      <w:pPr>
        <w:pStyle w:val="12"/>
        <w:spacing w:before="120" w:after="120"/>
        <w:rPr>
          <w:rFonts w:asciiTheme="minorHAnsi" w:hAnsiTheme="minorHAnsi" w:cstheme="minorHAnsi"/>
          <w:sz w:val="24"/>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6</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Figure \* ARABIC \s 1 </w:instrText>
      </w:r>
      <w:r>
        <w:rPr>
          <w:rFonts w:asciiTheme="minorHAnsi" w:hAnsiTheme="minorHAnsi" w:cstheme="minorHAnsi"/>
        </w:rPr>
        <w:fldChar w:fldCharType="separate"/>
      </w:r>
      <w:r>
        <w:rPr>
          <w:rFonts w:asciiTheme="minorHAnsi" w:hAnsiTheme="minorHAnsi" w:cstheme="minorHAnsi"/>
        </w:rPr>
        <w:t>5</w:t>
      </w:r>
      <w:r>
        <w:rPr>
          <w:rFonts w:asciiTheme="minorHAnsi" w:hAnsiTheme="minorHAnsi" w:cstheme="minorHAnsi"/>
        </w:rPr>
        <w:fldChar w:fldCharType="end"/>
      </w:r>
      <w:r>
        <w:rPr>
          <w:rFonts w:asciiTheme="minorHAnsi" w:hAnsiTheme="minorHAnsi" w:cstheme="minorHAnsi"/>
        </w:rPr>
        <w:t xml:space="preserve">  Configuration of the parameter LIN_CURVE_X</w:t>
      </w:r>
    </w:p>
    <w:p w14:paraId="24B706E4">
      <w:pPr>
        <w:numPr>
          <w:ilvl w:val="0"/>
          <w:numId w:val="23"/>
        </w:numPr>
        <w:tabs>
          <w:tab w:val="left" w:pos="840"/>
        </w:tabs>
        <w:spacing w:after="240"/>
        <w:jc w:val="left"/>
        <w:rPr>
          <w:rFonts w:cstheme="minorHAnsi"/>
        </w:rPr>
      </w:pPr>
      <w:r>
        <w:rPr>
          <w:rFonts w:cstheme="minorHAnsi"/>
        </w:rPr>
        <w:t>The user sets the parameter ENABLE_LIN_CURVE of the transformation block to "Enable Curve" to make the intelligent transmitter work normally after calibration.</w:t>
      </w:r>
    </w:p>
    <w:p w14:paraId="1C9031B2">
      <w:pPr>
        <w:pStyle w:val="4"/>
        <w:spacing w:before="120" w:beforeLines="50" w:after="120" w:afterLines="50"/>
        <w:rPr>
          <w:rFonts w:asciiTheme="minorHAnsi" w:hAnsiTheme="minorHAnsi" w:cstheme="minorHAnsi"/>
        </w:rPr>
      </w:pPr>
      <w:bookmarkStart w:id="139" w:name="_Toc199429826"/>
      <w:r>
        <w:rPr>
          <w:rFonts w:asciiTheme="minorHAnsi" w:hAnsiTheme="minorHAnsi" w:cstheme="minorHAnsi"/>
        </w:rPr>
        <w:t>LCD Display Configuration</w:t>
      </w:r>
      <w:bookmarkEnd w:id="139"/>
    </w:p>
    <w:p w14:paraId="62CF3D79">
      <w:pPr>
        <w:spacing w:after="240"/>
        <w:rPr>
          <w:rFonts w:cstheme="minorHAnsi"/>
        </w:rPr>
      </w:pPr>
      <w:r>
        <w:rPr>
          <w:rFonts w:cstheme="minorHAnsi"/>
        </w:rPr>
        <w:t>By default, the intelligent transmitter display displays the PRIMARY_VALUE parameter values for the first channel transform block, as shown in Figure 6.6.If the user needs to display additional function block parameter information, then configure it as follows (X represents 1,2,3,4, with a total of four parameters, each of which can be configured differently.Intelligent transmitter can display four different sets of different parameter information). If the parameter configuration is incorrect, the intelligent transmitter display will only display the CONFIG_ERR. Write the mode of the display block as OOS before being properly configured, and then as AUTO after the parameters are configured.This allows the configuration to take effect.</w:t>
      </w:r>
    </w:p>
    <w:p w14:paraId="4376338F">
      <w:pPr>
        <w:numPr>
          <w:ilvl w:val="0"/>
          <w:numId w:val="24"/>
        </w:numPr>
        <w:tabs>
          <w:tab w:val="left" w:pos="840"/>
        </w:tabs>
        <w:spacing w:after="240"/>
        <w:jc w:val="left"/>
        <w:rPr>
          <w:rFonts w:cstheme="minorHAnsi"/>
        </w:rPr>
      </w:pPr>
      <w:r>
        <w:rPr>
          <w:rFonts w:cstheme="minorHAnsi"/>
        </w:rPr>
        <w:t>BLOCK_TAG_X：This parameter defines the required function block name to display.For example, if a user wants to display a parameter of PT-AI1, first configure BLOCK_TAG_X and define the parameter value as PT-AI1. Note that the BLOCK_TAG_X parameter requires that the character must be 32 bytes, less than 32 bytes, which should be supplemented with space, otherwise it cannot be displayed correctly.For example, for the PT-AI1 to enter above, write the PT-AI1 in the configuration software.</w:t>
      </w:r>
    </w:p>
    <w:p w14:paraId="28A4BE4E">
      <w:pPr>
        <w:numPr>
          <w:ilvl w:val="0"/>
          <w:numId w:val="24"/>
        </w:numPr>
        <w:tabs>
          <w:tab w:val="left" w:pos="840"/>
        </w:tabs>
        <w:spacing w:after="240"/>
        <w:jc w:val="left"/>
        <w:rPr>
          <w:rFonts w:cstheme="minorHAnsi"/>
        </w:rPr>
      </w:pPr>
      <w:r>
        <w:rPr>
          <w:rFonts w:cstheme="minorHAnsi"/>
        </w:rPr>
        <w:t>RELATIVE_INDEX_X：This parameter defines the parameter index that displays the function block. For example, display the output value of PT-AI1, defining this parameter as 8 (the PT-AI1 function block OUT parameter index is 8). For the function block parameter index, the user can refer to the protocol section of the FF Fieldbus function block.</w:t>
      </w:r>
    </w:p>
    <w:p w14:paraId="53258981">
      <w:pPr>
        <w:numPr>
          <w:ilvl w:val="0"/>
          <w:numId w:val="24"/>
        </w:numPr>
        <w:tabs>
          <w:tab w:val="left" w:pos="840"/>
        </w:tabs>
        <w:spacing w:after="240"/>
        <w:jc w:val="left"/>
        <w:rPr>
          <w:rFonts w:cstheme="minorHAnsi"/>
        </w:rPr>
      </w:pPr>
      <w:r>
        <w:rPr>
          <w:rFonts w:cstheme="minorHAnsi"/>
        </w:rPr>
        <w:t>SUB_INDEX_X：This parameter defines the parameter subindex (if any) that displays the function block.For example, you need to display the VALUE value of the OUT parameter in the PT-AI1 function block, you need to define RELATIVE_INDEX_X as 8 and SUB_INDEX_X as 2 (the subindex of the OUT parameter VALUE item is 2).</w:t>
      </w:r>
    </w:p>
    <w:p w14:paraId="62190B87">
      <w:pPr>
        <w:numPr>
          <w:ilvl w:val="0"/>
          <w:numId w:val="24"/>
        </w:numPr>
        <w:tabs>
          <w:tab w:val="left" w:pos="840"/>
        </w:tabs>
        <w:spacing w:after="240"/>
        <w:jc w:val="left"/>
        <w:rPr>
          <w:rFonts w:cstheme="minorHAnsi"/>
        </w:rPr>
      </w:pPr>
      <w:r>
        <w:rPr>
          <w:rFonts w:cstheme="minorHAnsi"/>
        </w:rPr>
        <w:t>MNEMONIC_X：This parameter is the display parameter name, can be entered by the user at will, the number of characters does not exceed 16.</w:t>
      </w:r>
    </w:p>
    <w:p w14:paraId="75DC28EF">
      <w:pPr>
        <w:numPr>
          <w:ilvl w:val="0"/>
          <w:numId w:val="24"/>
        </w:numPr>
        <w:tabs>
          <w:tab w:val="left" w:pos="840"/>
        </w:tabs>
        <w:spacing w:after="240"/>
        <w:jc w:val="left"/>
        <w:rPr>
          <w:rFonts w:cstheme="minorHAnsi"/>
        </w:rPr>
      </w:pPr>
      <w:r>
        <w:rPr>
          <w:rFonts w:cstheme="minorHAnsi"/>
        </w:rPr>
        <w:t>DECI_PNT_NUMB_X：This parameter defines the display numerical accuracy.For example, you need to display 3 decimal places, defined as 3.</w:t>
      </w:r>
    </w:p>
    <w:p w14:paraId="1A1B526F">
      <w:pPr>
        <w:numPr>
          <w:ilvl w:val="0"/>
          <w:numId w:val="24"/>
        </w:numPr>
        <w:tabs>
          <w:tab w:val="left" w:pos="840"/>
        </w:tabs>
        <w:spacing w:after="240"/>
        <w:jc w:val="left"/>
        <w:rPr>
          <w:rFonts w:cstheme="minorHAnsi"/>
        </w:rPr>
      </w:pPr>
      <w:r>
        <w:rPr>
          <w:rFonts w:cstheme="minorHAnsi"/>
        </w:rPr>
        <w:t>ACTIVE_X ： The value of this parameter is FALSE or TRUE. After other parameters are configured, write it as TRUE. Only then can the parameters of the group be activated and the corresponding parameter information of this group can be displayed on the intelligent transmitter display.</w:t>
      </w:r>
    </w:p>
    <w:p w14:paraId="25363EAC">
      <w:pPr>
        <w:keepNext/>
        <w:spacing w:after="240"/>
        <w:jc w:val="center"/>
        <w:rPr>
          <w:rFonts w:cstheme="minorHAnsi"/>
        </w:rPr>
      </w:pPr>
      <w:r>
        <w:rPr>
          <w:rFonts w:cstheme="minorHAnsi"/>
          <w:sz w:val="24"/>
        </w:rPr>
        <w:drawing>
          <wp:inline distT="0" distB="0" distL="0" distR="0">
            <wp:extent cx="4547870" cy="3332480"/>
            <wp:effectExtent l="0" t="0" r="0" b="0"/>
            <wp:docPr id="26" name="图片 26" descr="C:\Users\YXZ\AppData\Local\Temp\WeChat Files\d034f1654e4e9ef527acf927882ed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YXZ\AppData\Local\Temp\WeChat Files\d034f1654e4e9ef527acf927882ed22.bmp"/>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4590657" cy="3363686"/>
                    </a:xfrm>
                    <a:prstGeom prst="rect">
                      <a:avLst/>
                    </a:prstGeom>
                    <a:noFill/>
                    <a:ln>
                      <a:noFill/>
                    </a:ln>
                  </pic:spPr>
                </pic:pic>
              </a:graphicData>
            </a:graphic>
          </wp:inline>
        </w:drawing>
      </w:r>
    </w:p>
    <w:p w14:paraId="2D0F17DD">
      <w:pPr>
        <w:pStyle w:val="12"/>
        <w:spacing w:before="120" w:after="120"/>
        <w:rPr>
          <w:rFonts w:asciiTheme="minorHAnsi" w:hAnsiTheme="minorHAnsi" w:cstheme="minorHAnsi"/>
          <w:sz w:val="24"/>
        </w:rPr>
      </w:pPr>
      <w:r>
        <w:rPr>
          <w:rFonts w:asciiTheme="minorHAnsi" w:hAnsiTheme="minorHAnsi" w:cstheme="minorHAnsi"/>
        </w:rPr>
        <w:t xml:space="preserve"> </w:t>
      </w:r>
      <w:r>
        <w:rPr>
          <w:rFonts w:ascii="Calibri" w:hAnsi="Calibri" w:cs="Calibri"/>
        </w:rPr>
        <w:t xml:space="preserve">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6</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6</w:t>
      </w:r>
      <w:r>
        <w:rPr>
          <w:rFonts w:ascii="Calibri" w:hAnsi="Calibri" w:cs="Calibri"/>
        </w:rPr>
        <w:fldChar w:fldCharType="end"/>
      </w:r>
      <w:r>
        <w:rPr>
          <w:rFonts w:asciiTheme="minorHAnsi" w:hAnsiTheme="minorHAnsi" w:cstheme="minorHAnsi"/>
        </w:rPr>
        <w:t xml:space="preserve"> shows the parameter configuration of the block</w:t>
      </w:r>
    </w:p>
    <w:p w14:paraId="371348C9">
      <w:pPr>
        <w:pStyle w:val="3"/>
        <w:spacing w:before="120" w:beforeLines="50" w:after="120" w:afterLines="50" w:line="240" w:lineRule="auto"/>
        <w:ind w:left="578" w:hanging="578"/>
        <w:rPr>
          <w:rFonts w:asciiTheme="minorHAnsi" w:hAnsiTheme="minorHAnsi" w:cstheme="minorHAnsi"/>
        </w:rPr>
      </w:pPr>
      <w:bookmarkStart w:id="140" w:name="_Toc199429827"/>
      <w:r>
        <w:rPr>
          <w:rFonts w:asciiTheme="minorHAnsi" w:hAnsiTheme="minorHAnsi" w:cstheme="minorHAnsi"/>
        </w:rPr>
        <w:t>Jump Line Configuration</w:t>
      </w:r>
      <w:bookmarkEnd w:id="140"/>
    </w:p>
    <w:p w14:paraId="79DC1624">
      <w:pPr>
        <w:spacing w:after="240"/>
        <w:rPr>
          <w:rFonts w:cstheme="minorHAnsi"/>
        </w:rPr>
      </w:pPr>
      <w:r>
        <w:rPr>
          <w:rFonts w:cstheme="minorHAnsi"/>
        </w:rPr>
        <w:t>The FF intelligent pressure transmitter has three hardware jumpers, as shown in Figure 6.7.</w:t>
      </w:r>
    </w:p>
    <w:p w14:paraId="0B4A5C17">
      <w:pPr>
        <w:spacing w:after="240"/>
        <w:rPr>
          <w:rFonts w:cstheme="minorHAnsi"/>
        </w:rPr>
      </w:pPr>
      <w:r>
        <w:rPr>
          <w:rFonts w:cstheme="minorHAnsi"/>
        </w:rPr>
        <w:t>SIM jumper: simulation jumper, can achieve simulation function.</w:t>
      </w:r>
    </w:p>
    <w:p w14:paraId="3EBB9F52">
      <w:pPr>
        <w:spacing w:after="240"/>
        <w:rPr>
          <w:rFonts w:cstheme="minorHAnsi"/>
        </w:rPr>
      </w:pPr>
      <w:r>
        <w:rPr>
          <w:rFonts w:cstheme="minorHAnsi"/>
        </w:rPr>
        <w:t>WP jumper: Write protection jumper, any write to FF intelligent pressure transmitter will be rejected, which prevents instrument data from being changed.</w:t>
      </w:r>
    </w:p>
    <w:p w14:paraId="3EDBD2C6">
      <w:pPr>
        <w:spacing w:after="240"/>
        <w:rPr>
          <w:rFonts w:cstheme="minorHAnsi"/>
        </w:rPr>
      </w:pPr>
      <w:r>
        <w:rPr>
          <w:rFonts w:cstheme="minorHAnsi"/>
        </w:rPr>
        <w:t>RST jumper: reset the jumper and restore the transmitter data to the factory state.First, the transmitter is powered off, the jumper is inserted into the RST position, the transmitter is powered on, and the transmitter is restored to the factory state.</w:t>
      </w:r>
    </w:p>
    <w:p w14:paraId="1231C26F">
      <w:pPr>
        <w:keepNext/>
        <w:spacing w:after="240"/>
        <w:jc w:val="center"/>
        <w:rPr>
          <w:rFonts w:cstheme="minorHAnsi"/>
        </w:rPr>
      </w:pPr>
      <w:r>
        <w:rPr>
          <w:rFonts w:cstheme="minorHAnsi"/>
        </w:rPr>
        <w:object>
          <v:shape id="_x0000_i1037" o:spt="75" type="#_x0000_t75" style="height:198.65pt;width:256.65pt;" o:ole="t" filled="f" o:preferrelative="t" stroked="f" coordsize="21600,21600">
            <v:path/>
            <v:fill on="f" focussize="0,0"/>
            <v:stroke on="f" joinstyle="miter"/>
            <v:imagedata r:id="rId76" o:title=""/>
            <o:lock v:ext="edit" aspectratio="t"/>
            <w10:wrap type="none"/>
            <w10:anchorlock/>
          </v:shape>
          <o:OLEObject Type="Embed" ProgID="Visio.Drawing.11" ShapeID="_x0000_i1037" DrawAspect="Content" ObjectID="_1468075737" r:id="rId75">
            <o:LockedField>false</o:LockedField>
          </o:OLEObject>
        </w:object>
      </w:r>
    </w:p>
    <w:p w14:paraId="19FCE143">
      <w:pPr>
        <w:pStyle w:val="12"/>
        <w:spacing w:before="120" w:after="120"/>
        <w:rPr>
          <w:rFonts w:asciiTheme="minorHAnsi" w:hAnsiTheme="minorHAnsi" w:cstheme="minorHAnsi"/>
        </w:rPr>
      </w:pPr>
      <w:r>
        <w:rPr>
          <w:rFonts w:ascii="Calibri" w:hAnsi="Calibri" w:cs="Calibri"/>
        </w:rPr>
        <w:t xml:space="preserve"> 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6</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7</w:t>
      </w:r>
      <w:r>
        <w:rPr>
          <w:rFonts w:ascii="Calibri" w:hAnsi="Calibri" w:cs="Calibri"/>
        </w:rPr>
        <w:fldChar w:fldCharType="end"/>
      </w:r>
      <w:r>
        <w:rPr>
          <w:rFonts w:asciiTheme="minorHAnsi" w:hAnsiTheme="minorHAnsi" w:cstheme="minorHAnsi"/>
        </w:rPr>
        <w:t xml:space="preserve"> FF intelligent pressure transmitter hardware jumper</w:t>
      </w:r>
    </w:p>
    <w:p w14:paraId="155A7F04">
      <w:pPr>
        <w:pStyle w:val="40"/>
        <w:spacing w:after="240" w:line="240" w:lineRule="auto"/>
        <w:ind w:left="137"/>
        <w:rPr>
          <w:rFonts w:cstheme="minorHAnsi"/>
          <w:sz w:val="18"/>
          <w:szCs w:val="18"/>
        </w:rPr>
      </w:pPr>
    </w:p>
    <w:p w14:paraId="4BC76E5B">
      <w:pPr>
        <w:pStyle w:val="40"/>
        <w:spacing w:after="240" w:line="240" w:lineRule="auto"/>
        <w:ind w:left="0"/>
        <w:jc w:val="center"/>
        <w:rPr>
          <w:rFonts w:cstheme="minorHAnsi"/>
          <w:sz w:val="18"/>
          <w:szCs w:val="18"/>
        </w:rPr>
        <w:sectPr>
          <w:pgSz w:w="11907" w:h="16840"/>
          <w:pgMar w:top="1554" w:right="1077" w:bottom="1134" w:left="1077" w:header="680" w:footer="680" w:gutter="0"/>
          <w:cols w:space="425" w:num="1"/>
          <w:docGrid w:linePitch="312" w:charSpace="48128"/>
        </w:sectPr>
      </w:pPr>
    </w:p>
    <w:p w14:paraId="3CE171D9">
      <w:pPr>
        <w:pStyle w:val="2"/>
      </w:pPr>
      <w:bookmarkStart w:id="141" w:name="_Toc440269438"/>
      <w:bookmarkStart w:id="142" w:name="_Toc183334322"/>
      <w:bookmarkStart w:id="143" w:name="_Toc183427074"/>
      <w:r>
        <w:t xml:space="preserve"> </w:t>
      </w:r>
      <w:bookmarkStart w:id="144" w:name="_Toc199429828"/>
      <w:r>
        <w:rPr>
          <w:rFonts w:hint="eastAsia"/>
        </w:rPr>
        <w:t>PA</w:t>
      </w:r>
      <w:bookmarkEnd w:id="141"/>
      <w:r>
        <w:rPr>
          <w:rFonts w:hint="eastAsia"/>
        </w:rPr>
        <w:t xml:space="preserve"> Type Intelligent Transmitter Configuration</w:t>
      </w:r>
      <w:bookmarkEnd w:id="144"/>
    </w:p>
    <w:bookmarkEnd w:id="142"/>
    <w:bookmarkEnd w:id="143"/>
    <w:p w14:paraId="2FD9750A">
      <w:pPr>
        <w:pStyle w:val="3"/>
        <w:spacing w:before="120" w:beforeLines="50" w:after="120" w:afterLines="50" w:line="240" w:lineRule="auto"/>
        <w:ind w:left="578" w:hanging="578"/>
        <w:rPr>
          <w:rFonts w:asciiTheme="minorHAnsi" w:hAnsiTheme="minorHAnsi" w:cstheme="minorHAnsi"/>
        </w:rPr>
      </w:pPr>
      <w:bookmarkStart w:id="145" w:name="_Toc199429829"/>
      <w:r>
        <w:rPr>
          <w:rFonts w:asciiTheme="minorHAnsi" w:hAnsiTheme="minorHAnsi" w:cstheme="minorHAnsi"/>
        </w:rPr>
        <w:t>Topological Connection</w:t>
      </w:r>
      <w:bookmarkEnd w:id="145"/>
    </w:p>
    <w:p w14:paraId="446BC6FE">
      <w:pPr>
        <w:numPr>
          <w:ilvl w:val="0"/>
          <w:numId w:val="11"/>
        </w:numPr>
        <w:spacing w:after="240"/>
        <w:rPr>
          <w:rFonts w:cstheme="minorHAnsi"/>
          <w:b/>
        </w:rPr>
      </w:pPr>
      <w:r>
        <w:rPr>
          <w:rFonts w:cstheme="minorHAnsi"/>
          <w:b/>
        </w:rPr>
        <w:t>Transmitter Topology Wiring</w:t>
      </w:r>
    </w:p>
    <w:p w14:paraId="75BDC740">
      <w:pPr>
        <w:spacing w:after="240"/>
        <w:rPr>
          <w:rFonts w:cstheme="minorHAnsi"/>
        </w:rPr>
      </w:pPr>
      <w:r>
        <w:rPr>
          <w:rFonts w:cstheme="minorHAnsi"/>
        </w:rPr>
        <w:t>A PROFIBUS PA network topology can have a variety of different structures, as shown in Figure 7.1.Figure 7.2 shows the bus connection of the PA instrument. The terminal resistance of the bus is connected to ensure the quality of the bus signal.The maximum length of the bus is 1900 m and can be extended to 10 km using a repeater.</w:t>
      </w:r>
    </w:p>
    <w:p w14:paraId="0C91DF4F">
      <w:pPr>
        <w:pStyle w:val="40"/>
        <w:keepNext/>
        <w:spacing w:after="240" w:line="240" w:lineRule="auto"/>
        <w:ind w:left="0"/>
        <w:jc w:val="center"/>
        <w:rPr>
          <w:rFonts w:cstheme="minorHAnsi"/>
        </w:rPr>
      </w:pPr>
      <w:r>
        <w:rPr>
          <w:rFonts w:cstheme="minorHAnsi"/>
        </w:rPr>
        <w:object>
          <v:shape id="_x0000_i1038" o:spt="75" type="#_x0000_t75" style="height:275.35pt;width:473.35pt;" o:ole="t" filled="f" o:preferrelative="t" stroked="f" coordsize="21600,21600">
            <v:path/>
            <v:fill on="f" focussize="0,0"/>
            <v:stroke on="f" joinstyle="miter"/>
            <v:imagedata r:id="rId78" o:title=""/>
            <o:lock v:ext="edit" aspectratio="t"/>
            <w10:wrap type="none"/>
            <w10:anchorlock/>
          </v:shape>
          <o:OLEObject Type="Embed" ProgID="Visio.Drawing.11" ShapeID="_x0000_i1038" DrawAspect="Content" ObjectID="_1468075738" r:id="rId77">
            <o:LockedField>false</o:LockedField>
          </o:OLEObject>
        </w:object>
      </w:r>
    </w:p>
    <w:p w14:paraId="53309351">
      <w:pPr>
        <w:pStyle w:val="12"/>
        <w:spacing w:before="120" w:after="120"/>
        <w:rPr>
          <w:rFonts w:asciiTheme="minorHAnsi" w:hAnsiTheme="minorHAnsi" w:cstheme="minorHAnsi"/>
          <w:sz w:val="21"/>
          <w:szCs w:val="21"/>
        </w:rPr>
      </w:pPr>
      <w:r>
        <w:rPr>
          <w:rFonts w:ascii="Calibri" w:hAnsi="Calibri" w:cs="Calibri"/>
        </w:rPr>
        <w:t xml:space="preserve"> 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7</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1</w:t>
      </w:r>
      <w:r>
        <w:rPr>
          <w:rFonts w:ascii="Calibri" w:hAnsi="Calibri" w:cs="Calibri"/>
        </w:rPr>
        <w:fldChar w:fldCharType="end"/>
      </w:r>
      <w:r>
        <w:rPr>
          <w:rFonts w:asciiTheme="minorHAnsi" w:hAnsiTheme="minorHAnsi" w:cstheme="minorHAnsi"/>
        </w:rPr>
        <w:t xml:space="preserve"> The PROFIBUS PA Network Topology</w:t>
      </w:r>
    </w:p>
    <w:p w14:paraId="09907E6B">
      <w:pPr>
        <w:keepNext/>
        <w:spacing w:after="240"/>
        <w:ind w:firstLine="420" w:firstLineChars="200"/>
        <w:jc w:val="center"/>
        <w:rPr>
          <w:rFonts w:cstheme="minorHAnsi"/>
        </w:rPr>
      </w:pPr>
      <w:r>
        <w:rPr>
          <w:rFonts w:cstheme="minorHAnsi"/>
        </w:rPr>
        <w:object>
          <v:shape id="_x0000_i1039" o:spt="75" type="#_x0000_t75" style="height:234.65pt;width:488pt;" o:ole="t" filled="f" o:preferrelative="t" stroked="f" coordsize="21600,21600">
            <v:path/>
            <v:fill on="f" focussize="0,0"/>
            <v:stroke on="f" joinstyle="miter"/>
            <v:imagedata r:id="rId70" o:title=""/>
            <o:lock v:ext="edit" aspectratio="t"/>
            <w10:wrap type="none"/>
            <w10:anchorlock/>
          </v:shape>
          <o:OLEObject Type="Embed" ProgID="Visio.Drawing.11" ShapeID="_x0000_i1039" DrawAspect="Content" ObjectID="_1468075739" r:id="rId79">
            <o:LockedField>false</o:LockedField>
          </o:OLEObject>
        </w:object>
      </w:r>
    </w:p>
    <w:p w14:paraId="074E893E">
      <w:pPr>
        <w:pStyle w:val="12"/>
        <w:spacing w:before="120" w:after="120"/>
        <w:rPr>
          <w:rFonts w:asciiTheme="minorHAnsi" w:hAnsiTheme="minorHAnsi" w:cstheme="minorHAnsi"/>
          <w:szCs w:val="18"/>
        </w:rPr>
      </w:pPr>
      <w:r>
        <w:rPr>
          <w:rFonts w:asciiTheme="minorHAnsi" w:hAnsiTheme="minorHAnsi" w:cstheme="minorHAnsi"/>
        </w:rPr>
        <w:t xml:space="preserve"> 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Figure \* ARABIC \s 1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 xml:space="preserve"> PROFIBUS PA bus connection</w:t>
      </w:r>
    </w:p>
    <w:p w14:paraId="6AF3D61B">
      <w:pPr>
        <w:pStyle w:val="3"/>
        <w:spacing w:before="120" w:beforeLines="50" w:after="120" w:afterLines="50" w:line="240" w:lineRule="auto"/>
        <w:ind w:left="578" w:hanging="578"/>
        <w:rPr>
          <w:rFonts w:asciiTheme="minorHAnsi" w:hAnsiTheme="minorHAnsi" w:cstheme="minorHAnsi"/>
        </w:rPr>
      </w:pPr>
      <w:bookmarkStart w:id="146" w:name="_Toc199429830"/>
      <w:r>
        <w:rPr>
          <w:rFonts w:asciiTheme="minorHAnsi" w:hAnsiTheme="minorHAnsi" w:cstheme="minorHAnsi"/>
        </w:rPr>
        <w:t>Function Block</w:t>
      </w:r>
      <w:bookmarkEnd w:id="146"/>
    </w:p>
    <w:p w14:paraId="2769A7B2">
      <w:pPr>
        <w:spacing w:after="240"/>
        <w:rPr>
          <w:rFonts w:cstheme="minorHAnsi"/>
        </w:rPr>
      </w:pPr>
      <w:r>
        <w:rPr>
          <w:rFonts w:cstheme="minorHAnsi"/>
        </w:rPr>
        <w:t>The PA intelligent transmitter implements the PA standard function block, as shown in Table 7.1. Please query the PROFIBUS PA row gauge.</w:t>
      </w:r>
    </w:p>
    <w:p w14:paraId="1B532212">
      <w:pPr>
        <w:pStyle w:val="12"/>
        <w:keepNext/>
        <w:spacing w:before="120" w:after="120"/>
      </w:pPr>
      <w:r>
        <w:rPr>
          <w:rFonts w:asciiTheme="minorHAnsi" w:hAnsiTheme="minorHAnsi" w:cstheme="minorHAnsi"/>
        </w:rPr>
        <w:t xml:space="preserve">Table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Table \* ARABIC \s 1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rPr>
        <w:fldChar w:fldCharType="end"/>
      </w:r>
      <w:r>
        <w:rPr>
          <w:rFonts w:asciiTheme="minorHAnsi" w:hAnsiTheme="minorHAnsi" w:cstheme="minorHAnsi"/>
        </w:rPr>
        <w:t xml:space="preserve"> Description of functional block functions</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6"/>
        <w:gridCol w:w="6743"/>
      </w:tblGrid>
      <w:tr w14:paraId="0F64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618" w:type="pct"/>
            <w:shd w:val="clear" w:color="auto" w:fill="CCCCCC"/>
            <w:vAlign w:val="center"/>
          </w:tcPr>
          <w:p w14:paraId="5F4ECE2D">
            <w:pPr>
              <w:spacing w:after="240"/>
              <w:jc w:val="center"/>
              <w:rPr>
                <w:rFonts w:cstheme="minorHAnsi"/>
                <w:sz w:val="18"/>
                <w:szCs w:val="18"/>
              </w:rPr>
            </w:pPr>
            <w:r>
              <w:rPr>
                <w:rFonts w:cstheme="minorHAnsi"/>
                <w:sz w:val="18"/>
                <w:szCs w:val="18"/>
              </w:rPr>
              <w:t>Function Block Name</w:t>
            </w:r>
          </w:p>
        </w:tc>
        <w:tc>
          <w:tcPr>
            <w:tcW w:w="3382" w:type="pct"/>
            <w:shd w:val="clear" w:color="auto" w:fill="CCCCCC"/>
            <w:vAlign w:val="center"/>
          </w:tcPr>
          <w:p w14:paraId="6D4872AE">
            <w:pPr>
              <w:spacing w:after="240"/>
              <w:jc w:val="center"/>
              <w:rPr>
                <w:rFonts w:cstheme="minorHAnsi"/>
                <w:sz w:val="18"/>
                <w:szCs w:val="18"/>
              </w:rPr>
            </w:pPr>
            <w:r>
              <w:rPr>
                <w:rFonts w:cstheme="minorHAnsi"/>
                <w:sz w:val="18"/>
                <w:szCs w:val="18"/>
              </w:rPr>
              <w:t>Functional Block Description</w:t>
            </w:r>
          </w:p>
        </w:tc>
      </w:tr>
      <w:tr w14:paraId="450A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618" w:type="pct"/>
            <w:vAlign w:val="center"/>
          </w:tcPr>
          <w:p w14:paraId="1B5D5227">
            <w:pPr>
              <w:pStyle w:val="40"/>
              <w:spacing w:after="240" w:line="240" w:lineRule="auto"/>
              <w:ind w:left="0"/>
              <w:jc w:val="center"/>
              <w:rPr>
                <w:rFonts w:cstheme="minorHAnsi"/>
                <w:sz w:val="18"/>
                <w:szCs w:val="18"/>
              </w:rPr>
            </w:pPr>
            <w:r>
              <w:rPr>
                <w:rFonts w:cstheme="minorHAnsi"/>
                <w:sz w:val="18"/>
                <w:szCs w:val="18"/>
              </w:rPr>
              <w:t>Physical Block</w:t>
            </w:r>
          </w:p>
        </w:tc>
        <w:tc>
          <w:tcPr>
            <w:tcW w:w="3382" w:type="pct"/>
            <w:vAlign w:val="center"/>
          </w:tcPr>
          <w:p w14:paraId="66256E71">
            <w:pPr>
              <w:pStyle w:val="40"/>
              <w:spacing w:after="240" w:line="240" w:lineRule="auto"/>
              <w:ind w:left="0"/>
              <w:rPr>
                <w:rFonts w:cstheme="minorHAnsi"/>
                <w:sz w:val="18"/>
                <w:szCs w:val="18"/>
              </w:rPr>
            </w:pPr>
            <w:r>
              <w:rPr>
                <w:rFonts w:cstheme="minorHAnsi"/>
                <w:sz w:val="18"/>
                <w:szCs w:val="18"/>
              </w:rPr>
              <w:t>The Physical Function Block (PB).Specific hardware information and identification and diagnosis information are described, including device bit number, software version, hardware version, installation date, etc</w:t>
            </w:r>
          </w:p>
        </w:tc>
      </w:tr>
      <w:tr w14:paraId="1B5B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618" w:type="pct"/>
            <w:vAlign w:val="center"/>
          </w:tcPr>
          <w:p w14:paraId="4D85863C">
            <w:pPr>
              <w:pStyle w:val="40"/>
              <w:spacing w:after="240" w:line="240" w:lineRule="auto"/>
              <w:ind w:left="0"/>
              <w:jc w:val="center"/>
              <w:rPr>
                <w:rFonts w:cstheme="minorHAnsi"/>
                <w:sz w:val="18"/>
                <w:szCs w:val="18"/>
              </w:rPr>
            </w:pPr>
            <w:r>
              <w:rPr>
                <w:rFonts w:cstheme="minorHAnsi"/>
                <w:sz w:val="18"/>
                <w:szCs w:val="18"/>
              </w:rPr>
              <w:t>Transducer Block</w:t>
            </w:r>
          </w:p>
        </w:tc>
        <w:tc>
          <w:tcPr>
            <w:tcW w:w="3382" w:type="pct"/>
            <w:vAlign w:val="center"/>
          </w:tcPr>
          <w:p w14:paraId="167B82F1">
            <w:pPr>
              <w:pStyle w:val="40"/>
              <w:spacing w:after="240" w:line="240" w:lineRule="auto"/>
              <w:ind w:left="0"/>
              <w:rPr>
                <w:rFonts w:cstheme="minorHAnsi"/>
                <w:sz w:val="18"/>
                <w:szCs w:val="18"/>
              </w:rPr>
            </w:pPr>
            <w:r>
              <w:rPr>
                <w:rFonts w:cstheme="minorHAnsi"/>
                <w:sz w:val="18"/>
                <w:szCs w:val="18"/>
              </w:rPr>
              <w:t>Transform block (TB).Separating the functional block from the input and output characteristics of the instrument, it mainly completes the calibration and linearization of the input and output data, and provides the processed data to the AI functional block through the internal channel</w:t>
            </w:r>
          </w:p>
        </w:tc>
      </w:tr>
      <w:tr w14:paraId="0D32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618" w:type="pct"/>
            <w:vAlign w:val="center"/>
          </w:tcPr>
          <w:p w14:paraId="102FECCB">
            <w:pPr>
              <w:pStyle w:val="40"/>
              <w:spacing w:after="240" w:line="240" w:lineRule="auto"/>
              <w:ind w:left="0"/>
              <w:jc w:val="center"/>
              <w:rPr>
                <w:rFonts w:cstheme="minorHAnsi"/>
                <w:sz w:val="18"/>
                <w:szCs w:val="18"/>
              </w:rPr>
            </w:pPr>
            <w:r>
              <w:rPr>
                <w:rFonts w:cstheme="minorHAnsi"/>
                <w:sz w:val="18"/>
                <w:szCs w:val="18"/>
              </w:rPr>
              <w:t>Analog Input Block</w:t>
            </w:r>
          </w:p>
        </w:tc>
        <w:tc>
          <w:tcPr>
            <w:tcW w:w="3382" w:type="pct"/>
            <w:vAlign w:val="center"/>
          </w:tcPr>
          <w:p w14:paraId="199BE87D">
            <w:pPr>
              <w:pStyle w:val="40"/>
              <w:spacing w:after="240" w:line="240" w:lineRule="auto"/>
              <w:ind w:left="0"/>
              <w:rPr>
                <w:rFonts w:cstheme="minorHAnsi"/>
                <w:sz w:val="18"/>
                <w:szCs w:val="18"/>
              </w:rPr>
            </w:pPr>
            <w:r>
              <w:rPr>
                <w:rFonts w:cstheme="minorHAnsi"/>
                <w:sz w:val="18"/>
                <w:szCs w:val="18"/>
              </w:rPr>
              <w:t>Analog quantity input function block (AI).The simulated process values are obtained from the transformation block through the internal channel, processed, and the appropriate measurements are provided to the main station equipment through the bus communication</w:t>
            </w:r>
          </w:p>
        </w:tc>
      </w:tr>
    </w:tbl>
    <w:p w14:paraId="6D42F846">
      <w:pPr>
        <w:pStyle w:val="3"/>
        <w:spacing w:before="120" w:beforeLines="50" w:after="120" w:afterLines="50" w:line="240" w:lineRule="auto"/>
        <w:ind w:left="578" w:hanging="578"/>
        <w:rPr>
          <w:rFonts w:asciiTheme="minorHAnsi" w:hAnsiTheme="minorHAnsi" w:cstheme="minorHAnsi"/>
        </w:rPr>
      </w:pPr>
      <w:bookmarkStart w:id="147" w:name="_Toc199429831"/>
      <w:r>
        <w:rPr>
          <w:rFonts w:asciiTheme="minorHAnsi" w:hAnsiTheme="minorHAnsi" w:cstheme="minorHAnsi"/>
        </w:rPr>
        <w:t>Functional Configuration</w:t>
      </w:r>
      <w:bookmarkEnd w:id="147"/>
    </w:p>
    <w:p w14:paraId="3D3B7F9B">
      <w:pPr>
        <w:spacing w:after="240"/>
        <w:rPr>
          <w:rFonts w:cstheme="minorHAnsi"/>
        </w:rPr>
      </w:pPr>
      <w:r>
        <w:rPr>
          <w:rFonts w:cstheme="minorHAnsi"/>
        </w:rPr>
        <w:t>For the function configuration of range setting, zero point setting, bus address and data recovery of PA type intelligent transmitter, please refer to section 4.2 "PA type intelligent transmitter field adjustment".</w:t>
      </w:r>
    </w:p>
    <w:p w14:paraId="2E9B1F9F">
      <w:pPr>
        <w:spacing w:after="240"/>
        <w:rPr>
          <w:rFonts w:cstheme="minorHAnsi"/>
        </w:rPr>
      </w:pPr>
      <w:r>
        <w:rPr>
          <w:rFonts w:cstheme="minorHAnsi"/>
        </w:rPr>
        <w:t>The parameter configuration configuration of PA intelligent transmitter follows PROFIUBS PA line gauge version 3.02.Function block parameters of the transmitter can be read and written using Siemens device management software Simatic PDM, or configured using Siemens Step7 configuration software.</w:t>
      </w:r>
    </w:p>
    <w:p w14:paraId="1018E717">
      <w:pPr>
        <w:pStyle w:val="4"/>
        <w:spacing w:before="120" w:beforeLines="50" w:after="120" w:afterLines="50"/>
        <w:rPr>
          <w:rFonts w:asciiTheme="minorHAnsi" w:hAnsiTheme="minorHAnsi" w:cstheme="minorHAnsi"/>
        </w:rPr>
      </w:pPr>
      <w:bookmarkStart w:id="148" w:name="_Toc199429832"/>
      <w:r>
        <w:rPr>
          <w:rFonts w:asciiTheme="minorHAnsi" w:hAnsiTheme="minorHAnsi" w:cstheme="minorHAnsi"/>
        </w:rPr>
        <w:t>Configure Environment</w:t>
      </w:r>
      <w:bookmarkEnd w:id="148"/>
    </w:p>
    <w:p w14:paraId="2666060B">
      <w:pPr>
        <w:numPr>
          <w:ilvl w:val="0"/>
          <w:numId w:val="25"/>
        </w:numPr>
        <w:tabs>
          <w:tab w:val="left" w:pos="840"/>
          <w:tab w:val="left" w:pos="900"/>
        </w:tabs>
        <w:adjustRightInd w:val="0"/>
        <w:spacing w:after="240"/>
        <w:rPr>
          <w:rFonts w:cstheme="minorHAnsi"/>
        </w:rPr>
      </w:pPr>
      <w:r>
        <w:rPr>
          <w:rFonts w:cstheme="minorHAnsi"/>
        </w:rPr>
        <w:t>PC machine, operating system of Windows XP or above;</w:t>
      </w:r>
    </w:p>
    <w:p w14:paraId="33029FAD">
      <w:pPr>
        <w:numPr>
          <w:ilvl w:val="0"/>
          <w:numId w:val="25"/>
        </w:numPr>
        <w:tabs>
          <w:tab w:val="left" w:pos="840"/>
          <w:tab w:val="left" w:pos="900"/>
        </w:tabs>
        <w:adjustRightInd w:val="0"/>
        <w:spacing w:after="240"/>
        <w:rPr>
          <w:rFonts w:cstheme="minorHAnsi"/>
        </w:rPr>
      </w:pPr>
      <w:r>
        <w:rPr>
          <w:rFonts w:cstheme="minorHAnsi"/>
        </w:rPr>
        <w:t>Siemens Step7 Configuration Software, Siemens PDM Equipment Management Software;</w:t>
      </w:r>
    </w:p>
    <w:p w14:paraId="06B474DC">
      <w:pPr>
        <w:numPr>
          <w:ilvl w:val="0"/>
          <w:numId w:val="25"/>
        </w:numPr>
        <w:tabs>
          <w:tab w:val="left" w:pos="840"/>
          <w:tab w:val="left" w:pos="900"/>
        </w:tabs>
        <w:adjustRightInd w:val="0"/>
        <w:spacing w:after="240"/>
        <w:rPr>
          <w:rFonts w:cstheme="minorHAnsi"/>
        </w:rPr>
      </w:pPr>
      <w:r>
        <w:rPr>
          <w:rFonts w:cstheme="minorHAnsi"/>
        </w:rPr>
        <w:t>DP/PA coupler or linker;</w:t>
      </w:r>
    </w:p>
    <w:p w14:paraId="53F3DA90">
      <w:pPr>
        <w:numPr>
          <w:ilvl w:val="0"/>
          <w:numId w:val="25"/>
        </w:numPr>
        <w:tabs>
          <w:tab w:val="left" w:pos="840"/>
          <w:tab w:val="left" w:pos="900"/>
        </w:tabs>
        <w:adjustRightInd w:val="0"/>
        <w:spacing w:after="240"/>
        <w:rPr>
          <w:rFonts w:cstheme="minorHAnsi"/>
        </w:rPr>
      </w:pPr>
      <w:r>
        <w:rPr>
          <w:rFonts w:cstheme="minorHAnsi"/>
        </w:rPr>
        <w:t>Class 1 main station such as PLC, Class 2 main station such as CP5611 card;</w:t>
      </w:r>
    </w:p>
    <w:p w14:paraId="4D149A75">
      <w:pPr>
        <w:numPr>
          <w:ilvl w:val="0"/>
          <w:numId w:val="25"/>
        </w:numPr>
        <w:tabs>
          <w:tab w:val="left" w:pos="840"/>
          <w:tab w:val="left" w:pos="900"/>
        </w:tabs>
        <w:adjustRightInd w:val="0"/>
        <w:spacing w:after="240"/>
        <w:rPr>
          <w:rFonts w:cstheme="minorHAnsi"/>
        </w:rPr>
      </w:pPr>
      <w:r>
        <w:rPr>
          <w:rFonts w:cstheme="minorHAnsi"/>
        </w:rPr>
        <w:t>PA terminal Mater;</w:t>
      </w:r>
    </w:p>
    <w:p w14:paraId="2A7653AC">
      <w:pPr>
        <w:numPr>
          <w:ilvl w:val="0"/>
          <w:numId w:val="25"/>
        </w:numPr>
        <w:tabs>
          <w:tab w:val="left" w:pos="840"/>
          <w:tab w:val="left" w:pos="900"/>
        </w:tabs>
        <w:adjustRightInd w:val="0"/>
        <w:spacing w:after="240"/>
        <w:rPr>
          <w:rFonts w:cstheme="minorHAnsi"/>
        </w:rPr>
      </w:pPr>
      <w:r>
        <w:rPr>
          <w:rFonts w:cstheme="minorHAnsi"/>
        </w:rPr>
        <w:t>Standard pressure source.</w:t>
      </w:r>
    </w:p>
    <w:p w14:paraId="1874A6CF">
      <w:pPr>
        <w:pStyle w:val="4"/>
        <w:spacing w:before="120" w:beforeLines="50" w:after="120" w:afterLines="50"/>
        <w:rPr>
          <w:rFonts w:asciiTheme="minorHAnsi" w:hAnsiTheme="minorHAnsi" w:cstheme="minorHAnsi"/>
        </w:rPr>
      </w:pPr>
      <w:bookmarkStart w:id="149" w:name="_Toc199429833"/>
      <w:r>
        <w:rPr>
          <w:rFonts w:asciiTheme="minorHAnsi" w:hAnsiTheme="minorHAnsi" w:cstheme="minorHAnsi"/>
        </w:rPr>
        <w:t>Pressure Transform Block Parameter Configuration</w:t>
      </w:r>
      <w:bookmarkEnd w:id="149"/>
    </w:p>
    <w:p w14:paraId="4E3004F3">
      <w:pPr>
        <w:spacing w:after="240"/>
        <w:rPr>
          <w:rFonts w:cstheme="minorHAnsi"/>
        </w:rPr>
      </w:pPr>
      <w:r>
        <w:rPr>
          <w:rFonts w:cstheme="minorHAnsi"/>
        </w:rPr>
        <w:t>The transformation block separates the function block from physically proprietary I / O devices such as sensors and actuators, which relies on the implementation of the device vendor to access or control the I / O device.With access to the I / O device, the transformation block can acquire the input data or set the output data.Generally, transform blocks have functions of linearization, characterization, temperature compensation, control and exchange data.The structure of the transformed block is shown in Figure 7.3.</w:t>
      </w:r>
    </w:p>
    <w:p w14:paraId="233ACF7F">
      <w:pPr>
        <w:keepNext/>
        <w:spacing w:after="240"/>
        <w:jc w:val="center"/>
        <w:rPr>
          <w:rFonts w:cstheme="minorHAnsi"/>
        </w:rPr>
      </w:pPr>
      <w:r>
        <w:rPr>
          <w:rFonts w:cstheme="minorHAnsi"/>
        </w:rPr>
        <w:drawing>
          <wp:inline distT="0" distB="0" distL="0" distR="0">
            <wp:extent cx="6193155" cy="2596515"/>
            <wp:effectExtent l="0" t="0" r="4445" b="0"/>
            <wp:docPr id="20179929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92969" name="图片 1"/>
                    <pic:cNvPicPr>
                      <a:picLocks noChangeAspect="1"/>
                    </pic:cNvPicPr>
                  </pic:nvPicPr>
                  <pic:blipFill>
                    <a:blip r:embed="rId80"/>
                    <a:stretch>
                      <a:fillRect/>
                    </a:stretch>
                  </pic:blipFill>
                  <pic:spPr>
                    <a:xfrm>
                      <a:off x="0" y="0"/>
                      <a:ext cx="6193155" cy="2596515"/>
                    </a:xfrm>
                    <a:prstGeom prst="rect">
                      <a:avLst/>
                    </a:prstGeom>
                  </pic:spPr>
                </pic:pic>
              </a:graphicData>
            </a:graphic>
          </wp:inline>
        </w:drawing>
      </w:r>
    </w:p>
    <w:p w14:paraId="22370039">
      <w:pPr>
        <w:pStyle w:val="12"/>
        <w:spacing w:before="120" w:after="120"/>
        <w:rPr>
          <w:rFonts w:asciiTheme="minorHAnsi" w:hAnsiTheme="minorHAnsi" w:cstheme="minorHAnsi"/>
        </w:rPr>
      </w:pPr>
      <w:r>
        <w:rPr>
          <w:rFonts w:asciiTheme="minorHAnsi" w:hAnsiTheme="minorHAnsi" w:cstheme="minorHAnsi"/>
        </w:rPr>
        <w:t xml:space="preserve">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Figure \* ARABIC \s 1 </w:instrText>
      </w:r>
      <w:r>
        <w:rPr>
          <w:rFonts w:asciiTheme="minorHAnsi" w:hAnsiTheme="minorHAnsi" w:cstheme="minorHAnsi"/>
        </w:rPr>
        <w:fldChar w:fldCharType="separate"/>
      </w:r>
      <w:r>
        <w:rPr>
          <w:rFonts w:asciiTheme="minorHAnsi" w:hAnsiTheme="minorHAnsi" w:cstheme="minorHAnsi"/>
        </w:rPr>
        <w:t>3</w:t>
      </w:r>
      <w:r>
        <w:rPr>
          <w:rFonts w:asciiTheme="minorHAnsi" w:hAnsiTheme="minorHAnsi" w:cstheme="minorHAnsi"/>
        </w:rPr>
        <w:fldChar w:fldCharType="end"/>
      </w:r>
      <w:r>
        <w:rPr>
          <w:rFonts w:asciiTheme="minorHAnsi" w:hAnsiTheme="minorHAnsi" w:cstheme="minorHAnsi"/>
        </w:rPr>
        <w:t xml:space="preserve"> Transform block structure</w:t>
      </w:r>
    </w:p>
    <w:p w14:paraId="33105051">
      <w:pPr>
        <w:pStyle w:val="40"/>
        <w:spacing w:after="240" w:line="240" w:lineRule="auto"/>
        <w:ind w:left="0" w:firstLine="420" w:firstLineChars="200"/>
        <w:rPr>
          <w:rFonts w:cstheme="minorHAnsi"/>
          <w:sz w:val="21"/>
          <w:szCs w:val="21"/>
        </w:rPr>
      </w:pPr>
      <w:r>
        <w:rPr>
          <w:rFonts w:cstheme="minorHAnsi"/>
          <w:sz w:val="21"/>
          <w:szCs w:val="21"/>
        </w:rPr>
        <w:t>The parameters of the transformation block are shown in Table 7.2:</w:t>
      </w:r>
    </w:p>
    <w:p w14:paraId="13E60374">
      <w:pPr>
        <w:pStyle w:val="12"/>
        <w:spacing w:before="120" w:after="120"/>
        <w:rPr>
          <w:rFonts w:asciiTheme="minorHAnsi" w:hAnsiTheme="minorHAnsi" w:cstheme="minorHAnsi"/>
        </w:rPr>
      </w:pPr>
      <w:r>
        <w:rPr>
          <w:rFonts w:asciiTheme="minorHAnsi" w:hAnsiTheme="minorHAnsi" w:cstheme="minorHAnsi"/>
        </w:rPr>
        <w:t xml:space="preserve">Table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Table \* ARABIC \s 1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 xml:space="preserve"> Transform block parameters</w:t>
      </w:r>
    </w:p>
    <w:tbl>
      <w:tblPr>
        <w:tblStyle w:val="30"/>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3228"/>
        <w:gridCol w:w="6741"/>
      </w:tblGrid>
      <w:tr w14:paraId="630793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2" w:hRule="atLeast"/>
          <w:tblHeader/>
          <w:jc w:val="center"/>
        </w:trPr>
        <w:tc>
          <w:tcPr>
            <w:tcW w:w="1619" w:type="pct"/>
            <w:shd w:val="clear" w:color="auto" w:fill="CCCCCC"/>
            <w:vAlign w:val="center"/>
          </w:tcPr>
          <w:p w14:paraId="7A1F2C50">
            <w:pPr>
              <w:spacing w:after="240"/>
              <w:jc w:val="center"/>
              <w:rPr>
                <w:rFonts w:cstheme="minorHAnsi"/>
                <w:sz w:val="18"/>
                <w:szCs w:val="18"/>
              </w:rPr>
            </w:pPr>
            <w:r>
              <w:rPr>
                <w:rFonts w:cstheme="minorHAnsi"/>
                <w:sz w:val="18"/>
                <w:szCs w:val="18"/>
              </w:rPr>
              <w:t xml:space="preserve">Parameter </w:t>
            </w:r>
          </w:p>
        </w:tc>
        <w:tc>
          <w:tcPr>
            <w:tcW w:w="3381" w:type="pct"/>
            <w:shd w:val="clear" w:color="auto" w:fill="CCCCCC"/>
            <w:vAlign w:val="center"/>
          </w:tcPr>
          <w:p w14:paraId="18F3FB97">
            <w:pPr>
              <w:spacing w:after="240"/>
              <w:jc w:val="center"/>
              <w:rPr>
                <w:rFonts w:cstheme="minorHAnsi"/>
                <w:sz w:val="18"/>
                <w:szCs w:val="18"/>
              </w:rPr>
            </w:pPr>
            <w:r>
              <w:rPr>
                <w:rFonts w:cstheme="minorHAnsi"/>
                <w:sz w:val="18"/>
                <w:szCs w:val="18"/>
              </w:rPr>
              <w:t>Function Description</w:t>
            </w:r>
          </w:p>
        </w:tc>
      </w:tr>
      <w:tr w14:paraId="275FE0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6" w:hRule="atLeast"/>
          <w:jc w:val="center"/>
        </w:trPr>
        <w:tc>
          <w:tcPr>
            <w:tcW w:w="1619" w:type="pct"/>
            <w:vAlign w:val="center"/>
          </w:tcPr>
          <w:p w14:paraId="34B3099E">
            <w:pPr>
              <w:spacing w:after="240"/>
              <w:rPr>
                <w:rFonts w:cstheme="minorHAnsi"/>
                <w:sz w:val="18"/>
                <w:szCs w:val="18"/>
              </w:rPr>
            </w:pPr>
            <w:r>
              <w:rPr>
                <w:rFonts w:cstheme="minorHAnsi"/>
                <w:sz w:val="18"/>
                <w:szCs w:val="18"/>
              </w:rPr>
              <w:t>CAL_MIN_SPAN</w:t>
            </w:r>
          </w:p>
        </w:tc>
        <w:tc>
          <w:tcPr>
            <w:tcW w:w="3381" w:type="pct"/>
            <w:vAlign w:val="center"/>
          </w:tcPr>
          <w:p w14:paraId="5384C3FF">
            <w:pPr>
              <w:spacing w:after="240"/>
              <w:rPr>
                <w:rFonts w:cstheme="minorHAnsi"/>
                <w:sz w:val="18"/>
                <w:szCs w:val="18"/>
              </w:rPr>
            </w:pPr>
            <w:r>
              <w:rPr>
                <w:rFonts w:cstheme="minorHAnsi"/>
                <w:sz w:val="18"/>
                <w:szCs w:val="18"/>
              </w:rPr>
              <w:t>Minimum step length allowed during the calibration.This minimum step size ensures a smooth calibration process, so that the highest lowest point of calibration is not too close, and the unit is specified by SENSOR_UNIT</w:t>
            </w:r>
          </w:p>
        </w:tc>
      </w:tr>
      <w:tr w14:paraId="42EF0C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6" w:hRule="atLeast"/>
          <w:jc w:val="center"/>
        </w:trPr>
        <w:tc>
          <w:tcPr>
            <w:tcW w:w="1619" w:type="pct"/>
            <w:vAlign w:val="center"/>
          </w:tcPr>
          <w:p w14:paraId="242371CC">
            <w:pPr>
              <w:spacing w:after="240"/>
              <w:rPr>
                <w:rFonts w:cstheme="minorHAnsi"/>
                <w:sz w:val="18"/>
                <w:szCs w:val="18"/>
              </w:rPr>
            </w:pPr>
            <w:r>
              <w:rPr>
                <w:rFonts w:cstheme="minorHAnsi"/>
                <w:sz w:val="18"/>
                <w:szCs w:val="18"/>
              </w:rPr>
              <w:t>CAL_POINT_HI</w:t>
            </w:r>
          </w:p>
        </w:tc>
        <w:tc>
          <w:tcPr>
            <w:tcW w:w="3381" w:type="pct"/>
            <w:vAlign w:val="center"/>
          </w:tcPr>
          <w:p w14:paraId="7ED16A7C">
            <w:pPr>
              <w:spacing w:after="240"/>
              <w:rPr>
                <w:rFonts w:cstheme="minorHAnsi"/>
                <w:sz w:val="18"/>
                <w:szCs w:val="18"/>
              </w:rPr>
            </w:pPr>
            <w:r>
              <w:rPr>
                <w:rFonts w:cstheme="minorHAnsi"/>
                <w:sz w:val="18"/>
                <w:szCs w:val="18"/>
              </w:rPr>
              <w:t>Maximum point calibration value.When calibrating the highest point, the pressure signal from the highest point is transmitted to the sensor, and then the transmitter writes the value to the parameter as the highest calibration value.The unit is specified by the SENSOR_UNIT</w:t>
            </w:r>
          </w:p>
        </w:tc>
      </w:tr>
      <w:tr w14:paraId="3FE5DD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1" w:hRule="atLeast"/>
          <w:jc w:val="center"/>
        </w:trPr>
        <w:tc>
          <w:tcPr>
            <w:tcW w:w="1619" w:type="pct"/>
            <w:vAlign w:val="center"/>
          </w:tcPr>
          <w:p w14:paraId="67CF15D7">
            <w:pPr>
              <w:spacing w:after="240"/>
              <w:rPr>
                <w:rFonts w:cstheme="minorHAnsi"/>
                <w:sz w:val="18"/>
                <w:szCs w:val="18"/>
              </w:rPr>
            </w:pPr>
            <w:r>
              <w:rPr>
                <w:rFonts w:cstheme="minorHAnsi"/>
                <w:sz w:val="18"/>
                <w:szCs w:val="18"/>
              </w:rPr>
              <w:t>CAL_POINT_LO</w:t>
            </w:r>
          </w:p>
        </w:tc>
        <w:tc>
          <w:tcPr>
            <w:tcW w:w="3381" w:type="pct"/>
            <w:vAlign w:val="center"/>
          </w:tcPr>
          <w:p w14:paraId="0E85D916">
            <w:pPr>
              <w:spacing w:after="240"/>
              <w:rPr>
                <w:rFonts w:cstheme="minorHAnsi"/>
                <w:sz w:val="18"/>
                <w:szCs w:val="18"/>
              </w:rPr>
            </w:pPr>
            <w:r>
              <w:rPr>
                <w:rFonts w:cstheme="minorHAnsi"/>
                <w:sz w:val="18"/>
                <w:szCs w:val="18"/>
              </w:rPr>
              <w:t>Minpoint calibration value.When calibrating the lowest point, the pressure signal of the lowest point is transmitted to the sensor, and then the transmitter writes the value to the parameter as the lowest value for the calibration.The unit is specified by the SENSOR_UNIT</w:t>
            </w:r>
          </w:p>
        </w:tc>
      </w:tr>
      <w:tr w14:paraId="7B86FB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7079413A">
            <w:pPr>
              <w:spacing w:after="240"/>
              <w:rPr>
                <w:rFonts w:cstheme="minorHAnsi"/>
                <w:sz w:val="18"/>
                <w:szCs w:val="18"/>
              </w:rPr>
            </w:pPr>
            <w:r>
              <w:rPr>
                <w:rFonts w:cstheme="minorHAnsi"/>
                <w:sz w:val="18"/>
                <w:szCs w:val="18"/>
              </w:rPr>
              <w:t>FLOW_LIN_SQRT_POINT</w:t>
            </w:r>
          </w:p>
        </w:tc>
        <w:tc>
          <w:tcPr>
            <w:tcW w:w="3381" w:type="pct"/>
            <w:vAlign w:val="center"/>
          </w:tcPr>
          <w:p w14:paraId="76C84188">
            <w:pPr>
              <w:spacing w:after="240"/>
              <w:rPr>
                <w:rFonts w:cstheme="minorHAnsi"/>
                <w:sz w:val="18"/>
                <w:szCs w:val="18"/>
              </w:rPr>
            </w:pPr>
            <w:r>
              <w:rPr>
                <w:rFonts w:cstheme="minorHAnsi"/>
                <w:sz w:val="18"/>
                <w:szCs w:val="18"/>
              </w:rPr>
              <w:t>Flow calculation coefficient</w:t>
            </w:r>
          </w:p>
        </w:tc>
      </w:tr>
      <w:tr w14:paraId="37E0F5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045E3E5F">
            <w:pPr>
              <w:spacing w:after="240"/>
              <w:rPr>
                <w:rFonts w:cstheme="minorHAnsi"/>
                <w:sz w:val="18"/>
                <w:szCs w:val="18"/>
              </w:rPr>
            </w:pPr>
            <w:r>
              <w:rPr>
                <w:rFonts w:cstheme="minorHAnsi"/>
                <w:sz w:val="18"/>
                <w:szCs w:val="18"/>
              </w:rPr>
              <w:t>LIN_TYPE</w:t>
            </w:r>
          </w:p>
        </w:tc>
        <w:tc>
          <w:tcPr>
            <w:tcW w:w="3381" w:type="pct"/>
            <w:vAlign w:val="center"/>
          </w:tcPr>
          <w:p w14:paraId="2E8B7A56">
            <w:pPr>
              <w:spacing w:after="240"/>
              <w:rPr>
                <w:rFonts w:cstheme="minorHAnsi"/>
                <w:sz w:val="18"/>
                <w:szCs w:val="18"/>
              </w:rPr>
            </w:pPr>
            <w:r>
              <w:rPr>
                <w:rFonts w:cstheme="minorHAnsi"/>
                <w:sz w:val="18"/>
                <w:szCs w:val="18"/>
              </w:rPr>
              <w:t>Linear type</w:t>
            </w:r>
          </w:p>
        </w:tc>
      </w:tr>
      <w:tr w14:paraId="333938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4C26F72D">
            <w:pPr>
              <w:spacing w:after="240"/>
              <w:rPr>
                <w:rFonts w:cstheme="minorHAnsi"/>
                <w:sz w:val="18"/>
                <w:szCs w:val="18"/>
              </w:rPr>
            </w:pPr>
            <w:r>
              <w:rPr>
                <w:rFonts w:cstheme="minorHAnsi"/>
                <w:sz w:val="18"/>
                <w:szCs w:val="18"/>
              </w:rPr>
              <w:t>LOW_FLOW_CUT_OFF</w:t>
            </w:r>
          </w:p>
        </w:tc>
        <w:tc>
          <w:tcPr>
            <w:tcW w:w="3381" w:type="pct"/>
            <w:vAlign w:val="center"/>
          </w:tcPr>
          <w:p w14:paraId="0DE55D4E">
            <w:pPr>
              <w:spacing w:after="240"/>
              <w:rPr>
                <w:rFonts w:cstheme="minorHAnsi"/>
                <w:sz w:val="18"/>
                <w:szCs w:val="18"/>
              </w:rPr>
            </w:pPr>
            <w:r>
              <w:rPr>
                <w:rFonts w:cstheme="minorHAnsi"/>
                <w:sz w:val="18"/>
                <w:szCs w:val="18"/>
              </w:rPr>
              <w:t>Small signal excision value</w:t>
            </w:r>
          </w:p>
        </w:tc>
      </w:tr>
      <w:tr w14:paraId="39D71B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353F24CD">
            <w:pPr>
              <w:spacing w:after="240"/>
              <w:rPr>
                <w:rFonts w:cstheme="minorHAnsi"/>
                <w:sz w:val="18"/>
                <w:szCs w:val="18"/>
              </w:rPr>
            </w:pPr>
            <w:r>
              <w:rPr>
                <w:rFonts w:cstheme="minorHAnsi"/>
                <w:sz w:val="18"/>
                <w:szCs w:val="18"/>
              </w:rPr>
              <w:t>MAX_SENSOR_VALUE</w:t>
            </w:r>
          </w:p>
        </w:tc>
        <w:tc>
          <w:tcPr>
            <w:tcW w:w="3381" w:type="pct"/>
            <w:vAlign w:val="center"/>
          </w:tcPr>
          <w:p w14:paraId="5273A6E9">
            <w:pPr>
              <w:spacing w:after="240"/>
              <w:rPr>
                <w:rFonts w:cstheme="minorHAnsi"/>
                <w:sz w:val="18"/>
                <w:szCs w:val="18"/>
              </w:rPr>
            </w:pPr>
            <w:r>
              <w:rPr>
                <w:rFonts w:cstheme="minorHAnsi"/>
                <w:sz w:val="18"/>
                <w:szCs w:val="18"/>
              </w:rPr>
              <w:t>Maximum sensor pressure value, as specified by SENSOR_UNIT</w:t>
            </w:r>
          </w:p>
        </w:tc>
      </w:tr>
      <w:tr w14:paraId="1FB000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0C4E80D1">
            <w:pPr>
              <w:spacing w:after="240"/>
              <w:rPr>
                <w:rFonts w:cstheme="minorHAnsi"/>
                <w:sz w:val="18"/>
                <w:szCs w:val="18"/>
              </w:rPr>
            </w:pPr>
            <w:r>
              <w:rPr>
                <w:rFonts w:cstheme="minorHAnsi"/>
                <w:sz w:val="18"/>
                <w:szCs w:val="18"/>
              </w:rPr>
              <w:t>MIN_SENSOR_VALUE</w:t>
            </w:r>
          </w:p>
        </w:tc>
        <w:tc>
          <w:tcPr>
            <w:tcW w:w="3381" w:type="pct"/>
            <w:vAlign w:val="center"/>
          </w:tcPr>
          <w:p w14:paraId="3AB07CC9">
            <w:pPr>
              <w:spacing w:after="240"/>
              <w:rPr>
                <w:rFonts w:cstheme="minorHAnsi"/>
                <w:sz w:val="18"/>
                <w:szCs w:val="18"/>
              </w:rPr>
            </w:pPr>
            <w:r>
              <w:rPr>
                <w:rFonts w:cstheme="minorHAnsi"/>
                <w:sz w:val="18"/>
                <w:szCs w:val="18"/>
              </w:rPr>
              <w:t>Sensor pressure minimum, as specified by SENSOR_UNIT</w:t>
            </w:r>
          </w:p>
        </w:tc>
      </w:tr>
      <w:tr w14:paraId="1E3CE9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3E21C452">
            <w:pPr>
              <w:spacing w:after="240"/>
              <w:rPr>
                <w:rFonts w:cstheme="minorHAnsi"/>
                <w:sz w:val="18"/>
                <w:szCs w:val="18"/>
              </w:rPr>
            </w:pPr>
            <w:r>
              <w:rPr>
                <w:rFonts w:cstheme="minorHAnsi"/>
                <w:sz w:val="18"/>
                <w:szCs w:val="18"/>
              </w:rPr>
              <w:t>MAX_TEMPERATURE</w:t>
            </w:r>
          </w:p>
        </w:tc>
        <w:tc>
          <w:tcPr>
            <w:tcW w:w="3381" w:type="pct"/>
            <w:vAlign w:val="center"/>
          </w:tcPr>
          <w:p w14:paraId="3075474C">
            <w:pPr>
              <w:spacing w:after="240"/>
              <w:rPr>
                <w:rFonts w:cstheme="minorHAnsi"/>
                <w:sz w:val="18"/>
                <w:szCs w:val="18"/>
              </w:rPr>
            </w:pPr>
            <w:r>
              <w:rPr>
                <w:rFonts w:cstheme="minorHAnsi"/>
                <w:sz w:val="18"/>
                <w:szCs w:val="18"/>
              </w:rPr>
              <w:t>Maximum sensor temperature, measured in degrees Celsius</w:t>
            </w:r>
          </w:p>
        </w:tc>
      </w:tr>
      <w:tr w14:paraId="1E0B39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21D10B1F">
            <w:pPr>
              <w:spacing w:after="240"/>
              <w:rPr>
                <w:rFonts w:cstheme="minorHAnsi"/>
                <w:sz w:val="18"/>
                <w:szCs w:val="18"/>
              </w:rPr>
            </w:pPr>
            <w:r>
              <w:rPr>
                <w:rFonts w:cstheme="minorHAnsi"/>
                <w:sz w:val="18"/>
                <w:szCs w:val="18"/>
              </w:rPr>
              <w:t>MIN_TEMPERATURE</w:t>
            </w:r>
          </w:p>
        </w:tc>
        <w:tc>
          <w:tcPr>
            <w:tcW w:w="3381" w:type="pct"/>
            <w:vAlign w:val="center"/>
          </w:tcPr>
          <w:p w14:paraId="6BA46D8A">
            <w:pPr>
              <w:spacing w:after="240"/>
              <w:rPr>
                <w:rFonts w:cstheme="minorHAnsi"/>
                <w:sz w:val="18"/>
                <w:szCs w:val="18"/>
              </w:rPr>
            </w:pPr>
            <w:r>
              <w:rPr>
                <w:rFonts w:cstheme="minorHAnsi"/>
                <w:sz w:val="18"/>
                <w:szCs w:val="18"/>
              </w:rPr>
              <w:t>Sensor temperature minimum, measured in degrees Celsius</w:t>
            </w:r>
          </w:p>
        </w:tc>
      </w:tr>
      <w:tr w14:paraId="260835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tcBorders>
              <w:bottom w:val="single" w:color="auto" w:sz="2" w:space="0"/>
            </w:tcBorders>
            <w:vAlign w:val="center"/>
          </w:tcPr>
          <w:p w14:paraId="2FB15787">
            <w:pPr>
              <w:spacing w:after="240"/>
              <w:rPr>
                <w:rFonts w:cstheme="minorHAnsi"/>
                <w:sz w:val="18"/>
                <w:szCs w:val="18"/>
              </w:rPr>
            </w:pPr>
            <w:r>
              <w:rPr>
                <w:rFonts w:cstheme="minorHAnsi"/>
                <w:sz w:val="18"/>
                <w:szCs w:val="18"/>
              </w:rPr>
              <w:t>PRIMARY_VALUE</w:t>
            </w:r>
          </w:p>
        </w:tc>
        <w:tc>
          <w:tcPr>
            <w:tcW w:w="3381" w:type="pct"/>
            <w:tcBorders>
              <w:bottom w:val="single" w:color="auto" w:sz="2" w:space="0"/>
            </w:tcBorders>
            <w:vAlign w:val="center"/>
          </w:tcPr>
          <w:p w14:paraId="4177A52B">
            <w:pPr>
              <w:spacing w:after="240"/>
              <w:rPr>
                <w:rFonts w:cstheme="minorHAnsi"/>
                <w:sz w:val="18"/>
                <w:szCs w:val="18"/>
              </w:rPr>
            </w:pPr>
            <w:r>
              <w:rPr>
                <w:rFonts w:cstheme="minorHAnsi"/>
                <w:sz w:val="18"/>
                <w:szCs w:val="18"/>
              </w:rPr>
              <w:t>Transmitter measurement value and status for the AI function block to use.The unit is specified by PRIMARY_VALUE_UNIT</w:t>
            </w:r>
          </w:p>
        </w:tc>
      </w:tr>
      <w:tr w14:paraId="543998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5" w:hRule="atLeast"/>
          <w:jc w:val="center"/>
        </w:trPr>
        <w:tc>
          <w:tcPr>
            <w:tcW w:w="1619" w:type="pct"/>
            <w:vAlign w:val="center"/>
          </w:tcPr>
          <w:p w14:paraId="23F058F5">
            <w:pPr>
              <w:pStyle w:val="40"/>
              <w:spacing w:after="240" w:line="240" w:lineRule="auto"/>
              <w:ind w:left="0"/>
              <w:rPr>
                <w:rFonts w:cstheme="minorHAnsi"/>
                <w:sz w:val="18"/>
                <w:szCs w:val="18"/>
              </w:rPr>
            </w:pPr>
            <w:r>
              <w:rPr>
                <w:rFonts w:cstheme="minorHAnsi"/>
                <w:sz w:val="18"/>
                <w:szCs w:val="18"/>
              </w:rPr>
              <w:t>PRIMARY_VALUE_TYPE</w:t>
            </w:r>
          </w:p>
        </w:tc>
        <w:tc>
          <w:tcPr>
            <w:tcW w:w="3381" w:type="pct"/>
            <w:vAlign w:val="center"/>
          </w:tcPr>
          <w:p w14:paraId="56916E04">
            <w:pPr>
              <w:spacing w:after="240"/>
              <w:rPr>
                <w:rFonts w:cstheme="minorHAnsi"/>
                <w:sz w:val="18"/>
                <w:szCs w:val="18"/>
              </w:rPr>
            </w:pPr>
            <w:r>
              <w:rPr>
                <w:rFonts w:cstheme="minorHAnsi"/>
                <w:sz w:val="18"/>
                <w:szCs w:val="18"/>
              </w:rPr>
              <w:t>Transmitter measurement value type, code as following:</w:t>
            </w:r>
          </w:p>
          <w:p w14:paraId="24368671">
            <w:pPr>
              <w:pStyle w:val="40"/>
              <w:spacing w:after="240" w:line="240" w:lineRule="auto"/>
              <w:ind w:left="0" w:firstLine="180" w:firstLineChars="100"/>
              <w:rPr>
                <w:rFonts w:cstheme="minorHAnsi"/>
                <w:sz w:val="18"/>
                <w:szCs w:val="18"/>
              </w:rPr>
            </w:pPr>
            <w:r>
              <w:rPr>
                <w:rFonts w:cstheme="minorHAnsi"/>
                <w:sz w:val="18"/>
                <w:szCs w:val="18"/>
              </w:rPr>
              <w:t xml:space="preserve">0:       Pressure </w:t>
            </w:r>
          </w:p>
          <w:p w14:paraId="5AD0619C">
            <w:pPr>
              <w:pStyle w:val="40"/>
              <w:spacing w:after="240" w:line="240" w:lineRule="auto"/>
              <w:ind w:left="0" w:firstLine="180" w:firstLineChars="100"/>
              <w:rPr>
                <w:rFonts w:cstheme="minorHAnsi"/>
                <w:sz w:val="18"/>
                <w:szCs w:val="18"/>
              </w:rPr>
            </w:pPr>
            <w:r>
              <w:rPr>
                <w:rFonts w:cstheme="minorHAnsi"/>
                <w:sz w:val="18"/>
                <w:szCs w:val="18"/>
              </w:rPr>
              <w:t xml:space="preserve">1:       Flow </w:t>
            </w:r>
          </w:p>
          <w:p w14:paraId="073D7F3B">
            <w:pPr>
              <w:pStyle w:val="40"/>
              <w:spacing w:after="240" w:line="240" w:lineRule="auto"/>
              <w:ind w:left="0" w:firstLine="180" w:firstLineChars="100"/>
              <w:rPr>
                <w:rFonts w:cstheme="minorHAnsi"/>
                <w:sz w:val="18"/>
                <w:szCs w:val="18"/>
              </w:rPr>
            </w:pPr>
            <w:r>
              <w:rPr>
                <w:rFonts w:cstheme="minorHAnsi"/>
                <w:sz w:val="18"/>
                <w:szCs w:val="18"/>
              </w:rPr>
              <w:t xml:space="preserve">2:       Level </w:t>
            </w:r>
          </w:p>
          <w:p w14:paraId="5D46C0F1">
            <w:pPr>
              <w:pStyle w:val="40"/>
              <w:spacing w:after="240" w:line="240" w:lineRule="auto"/>
              <w:ind w:left="0" w:firstLine="180" w:firstLineChars="100"/>
              <w:rPr>
                <w:rFonts w:cstheme="minorHAnsi"/>
                <w:sz w:val="18"/>
                <w:szCs w:val="18"/>
              </w:rPr>
            </w:pPr>
            <w:r>
              <w:rPr>
                <w:rFonts w:cstheme="minorHAnsi"/>
                <w:sz w:val="18"/>
                <w:szCs w:val="18"/>
              </w:rPr>
              <w:t xml:space="preserve">3:       Volume </w:t>
            </w:r>
          </w:p>
          <w:p w14:paraId="7E64B477">
            <w:pPr>
              <w:pStyle w:val="40"/>
              <w:spacing w:after="240" w:line="240" w:lineRule="auto"/>
              <w:ind w:left="0" w:firstLine="180" w:firstLineChars="100"/>
              <w:rPr>
                <w:rFonts w:cstheme="minorHAnsi"/>
                <w:sz w:val="18"/>
                <w:szCs w:val="18"/>
              </w:rPr>
            </w:pPr>
            <w:r>
              <w:rPr>
                <w:rFonts w:cstheme="minorHAnsi"/>
                <w:sz w:val="18"/>
                <w:szCs w:val="18"/>
              </w:rPr>
              <w:t xml:space="preserve">4-127:   Reserved </w:t>
            </w:r>
          </w:p>
          <w:p w14:paraId="786C2E0A">
            <w:pPr>
              <w:pStyle w:val="40"/>
              <w:spacing w:after="240" w:line="240" w:lineRule="auto"/>
              <w:ind w:left="0" w:firstLine="180" w:firstLineChars="100"/>
              <w:rPr>
                <w:rFonts w:cstheme="minorHAnsi"/>
                <w:sz w:val="18"/>
                <w:szCs w:val="18"/>
              </w:rPr>
            </w:pPr>
            <w:r>
              <w:rPr>
                <w:rFonts w:cstheme="minorHAnsi"/>
                <w:sz w:val="18"/>
                <w:szCs w:val="18"/>
              </w:rPr>
              <w:t>&gt; 128:   Manufacturer specific</w:t>
            </w:r>
          </w:p>
          <w:p w14:paraId="692F3CBA">
            <w:pPr>
              <w:pStyle w:val="40"/>
              <w:spacing w:after="240" w:line="240" w:lineRule="auto"/>
              <w:ind w:left="0"/>
              <w:rPr>
                <w:rFonts w:cstheme="minorHAnsi"/>
                <w:sz w:val="18"/>
                <w:szCs w:val="18"/>
              </w:rPr>
            </w:pPr>
            <w:r>
              <w:rPr>
                <w:rFonts w:cstheme="minorHAnsi"/>
                <w:sz w:val="18"/>
                <w:szCs w:val="18"/>
              </w:rPr>
              <w:t>Currently, 0, 1 are supported, namely pressure value and flow value</w:t>
            </w:r>
          </w:p>
        </w:tc>
      </w:tr>
      <w:tr w14:paraId="196212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jc w:val="center"/>
        </w:trPr>
        <w:tc>
          <w:tcPr>
            <w:tcW w:w="1619" w:type="pct"/>
            <w:vAlign w:val="center"/>
          </w:tcPr>
          <w:p w14:paraId="409FBDB6">
            <w:pPr>
              <w:pStyle w:val="40"/>
              <w:spacing w:after="240" w:line="240" w:lineRule="auto"/>
              <w:ind w:left="0"/>
              <w:rPr>
                <w:rFonts w:cstheme="minorHAnsi"/>
                <w:sz w:val="18"/>
                <w:szCs w:val="18"/>
              </w:rPr>
            </w:pPr>
            <w:r>
              <w:rPr>
                <w:rFonts w:cstheme="minorHAnsi"/>
                <w:sz w:val="18"/>
                <w:szCs w:val="18"/>
              </w:rPr>
              <w:t>PRIMARY_VALUE_UNIT</w:t>
            </w:r>
          </w:p>
        </w:tc>
        <w:tc>
          <w:tcPr>
            <w:tcW w:w="3381" w:type="pct"/>
            <w:vAlign w:val="center"/>
          </w:tcPr>
          <w:p w14:paraId="4B3DB553">
            <w:pPr>
              <w:pStyle w:val="40"/>
              <w:spacing w:after="240" w:line="240" w:lineRule="auto"/>
              <w:ind w:left="0"/>
              <w:rPr>
                <w:rFonts w:cstheme="minorHAnsi"/>
                <w:sz w:val="18"/>
                <w:szCs w:val="18"/>
              </w:rPr>
            </w:pPr>
            <w:r>
              <w:rPr>
                <w:rFonts w:cstheme="minorHAnsi"/>
                <w:sz w:val="18"/>
                <w:szCs w:val="18"/>
              </w:rPr>
              <w:t>Transmitter measurement value engineering unit code</w:t>
            </w:r>
          </w:p>
        </w:tc>
      </w:tr>
      <w:tr w14:paraId="322387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tcBorders>
              <w:bottom w:val="single" w:color="auto" w:sz="2" w:space="0"/>
            </w:tcBorders>
            <w:vAlign w:val="center"/>
          </w:tcPr>
          <w:p w14:paraId="626ED6E2">
            <w:pPr>
              <w:pStyle w:val="40"/>
              <w:spacing w:after="240" w:line="240" w:lineRule="auto"/>
              <w:ind w:left="0"/>
              <w:rPr>
                <w:rFonts w:cstheme="minorHAnsi"/>
                <w:sz w:val="18"/>
                <w:szCs w:val="18"/>
              </w:rPr>
            </w:pPr>
            <w:r>
              <w:rPr>
                <w:rFonts w:cstheme="minorHAnsi"/>
                <w:sz w:val="18"/>
                <w:szCs w:val="18"/>
              </w:rPr>
              <w:t>PROCESS_ CONNECTION_MATERIAL</w:t>
            </w:r>
          </w:p>
        </w:tc>
        <w:tc>
          <w:tcPr>
            <w:tcW w:w="3381" w:type="pct"/>
            <w:tcBorders>
              <w:bottom w:val="single" w:color="auto" w:sz="2" w:space="0"/>
            </w:tcBorders>
            <w:vAlign w:val="center"/>
          </w:tcPr>
          <w:p w14:paraId="51367B43">
            <w:pPr>
              <w:pStyle w:val="40"/>
              <w:spacing w:after="240" w:line="240" w:lineRule="auto"/>
              <w:ind w:left="0"/>
              <w:rPr>
                <w:rFonts w:cstheme="minorHAnsi"/>
                <w:sz w:val="18"/>
                <w:szCs w:val="18"/>
              </w:rPr>
            </w:pPr>
            <w:r>
              <w:rPr>
                <w:rFonts w:cstheme="minorHAnsi"/>
                <w:sz w:val="18"/>
                <w:szCs w:val="18"/>
              </w:rPr>
              <w:t>Process connection material code</w:t>
            </w:r>
          </w:p>
        </w:tc>
      </w:tr>
      <w:tr w14:paraId="7C7A4A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tcBorders>
              <w:bottom w:val="single" w:color="auto" w:sz="2" w:space="0"/>
            </w:tcBorders>
            <w:vAlign w:val="center"/>
          </w:tcPr>
          <w:p w14:paraId="18007256">
            <w:pPr>
              <w:pStyle w:val="40"/>
              <w:spacing w:after="240" w:line="240" w:lineRule="auto"/>
              <w:ind w:left="0"/>
              <w:rPr>
                <w:rFonts w:cstheme="minorHAnsi"/>
                <w:sz w:val="18"/>
                <w:szCs w:val="18"/>
              </w:rPr>
            </w:pPr>
            <w:r>
              <w:rPr>
                <w:rFonts w:cstheme="minorHAnsi"/>
                <w:sz w:val="18"/>
                <w:szCs w:val="18"/>
              </w:rPr>
              <w:t>PROCESS_ CONNECTION_TYPE</w:t>
            </w:r>
          </w:p>
        </w:tc>
        <w:tc>
          <w:tcPr>
            <w:tcW w:w="3381" w:type="pct"/>
            <w:tcBorders>
              <w:bottom w:val="single" w:color="auto" w:sz="2" w:space="0"/>
            </w:tcBorders>
            <w:vAlign w:val="center"/>
          </w:tcPr>
          <w:p w14:paraId="642F0FB4">
            <w:pPr>
              <w:pStyle w:val="40"/>
              <w:spacing w:after="240" w:line="240" w:lineRule="auto"/>
              <w:ind w:left="0"/>
              <w:rPr>
                <w:rFonts w:cstheme="minorHAnsi"/>
                <w:sz w:val="18"/>
                <w:szCs w:val="18"/>
              </w:rPr>
            </w:pPr>
            <w:r>
              <w:rPr>
                <w:rFonts w:cstheme="minorHAnsi"/>
                <w:sz w:val="18"/>
                <w:szCs w:val="18"/>
              </w:rPr>
              <w:t>Process Connection Material Type Code</w:t>
            </w:r>
          </w:p>
        </w:tc>
      </w:tr>
      <w:tr w14:paraId="34A90E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7A8EAF79">
            <w:pPr>
              <w:pStyle w:val="40"/>
              <w:spacing w:after="240" w:line="240" w:lineRule="auto"/>
              <w:ind w:left="0"/>
              <w:rPr>
                <w:rFonts w:cstheme="minorHAnsi"/>
                <w:sz w:val="18"/>
                <w:szCs w:val="18"/>
              </w:rPr>
            </w:pPr>
            <w:r>
              <w:rPr>
                <w:rFonts w:cstheme="minorHAnsi"/>
                <w:sz w:val="18"/>
                <w:szCs w:val="18"/>
              </w:rPr>
              <w:t>SCALE_IN</w:t>
            </w:r>
          </w:p>
        </w:tc>
        <w:tc>
          <w:tcPr>
            <w:tcW w:w="3381" w:type="pct"/>
            <w:vAlign w:val="center"/>
          </w:tcPr>
          <w:p w14:paraId="4EEEA7D2">
            <w:pPr>
              <w:pStyle w:val="40"/>
              <w:spacing w:after="240" w:line="240" w:lineRule="auto"/>
              <w:ind w:left="0"/>
              <w:rPr>
                <w:rFonts w:cstheme="minorHAnsi"/>
                <w:sz w:val="18"/>
                <w:szCs w:val="18"/>
              </w:rPr>
            </w:pPr>
            <w:r>
              <w:rPr>
                <w:rFonts w:cstheme="minorHAnsi"/>
                <w:sz w:val="18"/>
                <w:szCs w:val="18"/>
              </w:rPr>
              <w:t>Sensor input range, the unit is specified by SECONDARY_VALUE_1_UNIT</w:t>
            </w:r>
          </w:p>
        </w:tc>
      </w:tr>
      <w:tr w14:paraId="153044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54A44E66">
            <w:pPr>
              <w:spacing w:after="240"/>
              <w:rPr>
                <w:rFonts w:cstheme="minorHAnsi"/>
                <w:sz w:val="18"/>
                <w:szCs w:val="18"/>
              </w:rPr>
            </w:pPr>
            <w:r>
              <w:rPr>
                <w:rFonts w:cstheme="minorHAnsi"/>
                <w:sz w:val="18"/>
                <w:szCs w:val="18"/>
              </w:rPr>
              <w:t>SCALE_OUT</w:t>
            </w:r>
          </w:p>
        </w:tc>
        <w:tc>
          <w:tcPr>
            <w:tcW w:w="3381" w:type="pct"/>
            <w:vAlign w:val="center"/>
          </w:tcPr>
          <w:p w14:paraId="3E607333">
            <w:pPr>
              <w:spacing w:after="240"/>
              <w:rPr>
                <w:rFonts w:cstheme="minorHAnsi"/>
                <w:sz w:val="18"/>
                <w:szCs w:val="18"/>
              </w:rPr>
            </w:pPr>
            <w:r>
              <w:rPr>
                <w:rFonts w:cstheme="minorHAnsi"/>
                <w:sz w:val="18"/>
                <w:szCs w:val="18"/>
              </w:rPr>
              <w:t>Sensor output range, the unit is specified by SECONDARY_VALUE_1_UNIT</w:t>
            </w:r>
          </w:p>
        </w:tc>
      </w:tr>
      <w:tr w14:paraId="6D1B34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77C819FB">
            <w:pPr>
              <w:pStyle w:val="40"/>
              <w:spacing w:after="240" w:line="240" w:lineRule="auto"/>
              <w:ind w:left="0"/>
              <w:rPr>
                <w:rFonts w:cstheme="minorHAnsi"/>
                <w:sz w:val="18"/>
                <w:szCs w:val="18"/>
              </w:rPr>
            </w:pPr>
            <w:r>
              <w:rPr>
                <w:rFonts w:cstheme="minorHAnsi"/>
                <w:sz w:val="18"/>
                <w:szCs w:val="18"/>
              </w:rPr>
              <w:t>SECONDARY_VALUE_1</w:t>
            </w:r>
          </w:p>
        </w:tc>
        <w:tc>
          <w:tcPr>
            <w:tcW w:w="3381" w:type="pct"/>
            <w:vAlign w:val="center"/>
          </w:tcPr>
          <w:p w14:paraId="5299B0A9">
            <w:pPr>
              <w:pStyle w:val="40"/>
              <w:spacing w:after="240" w:line="240" w:lineRule="auto"/>
              <w:ind w:left="0"/>
              <w:rPr>
                <w:rFonts w:cstheme="minorHAnsi"/>
                <w:sz w:val="18"/>
                <w:szCs w:val="18"/>
              </w:rPr>
            </w:pPr>
            <w:r>
              <w:rPr>
                <w:rFonts w:cstheme="minorHAnsi"/>
                <w:sz w:val="18"/>
                <w:szCs w:val="18"/>
              </w:rPr>
              <w:t>Pressure value and status after correction and unit conversion are used by AI function block</w:t>
            </w:r>
          </w:p>
        </w:tc>
      </w:tr>
      <w:tr w14:paraId="14072C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tcMar>
              <w:right w:w="0" w:type="dxa"/>
            </w:tcMar>
            <w:vAlign w:val="center"/>
          </w:tcPr>
          <w:p w14:paraId="47BE301E">
            <w:pPr>
              <w:pStyle w:val="40"/>
              <w:spacing w:after="240" w:line="240" w:lineRule="auto"/>
              <w:ind w:left="0"/>
              <w:rPr>
                <w:rFonts w:cstheme="minorHAnsi"/>
                <w:sz w:val="18"/>
                <w:szCs w:val="18"/>
              </w:rPr>
            </w:pPr>
            <w:r>
              <w:rPr>
                <w:rFonts w:cstheme="minorHAnsi"/>
                <w:sz w:val="18"/>
                <w:szCs w:val="18"/>
              </w:rPr>
              <w:t>SECONDARY_VALUE_1_UNIT</w:t>
            </w:r>
          </w:p>
        </w:tc>
        <w:tc>
          <w:tcPr>
            <w:tcW w:w="3381" w:type="pct"/>
            <w:vAlign w:val="center"/>
          </w:tcPr>
          <w:p w14:paraId="6648DB05">
            <w:pPr>
              <w:pStyle w:val="40"/>
              <w:spacing w:after="240" w:line="240" w:lineRule="auto"/>
              <w:ind w:left="0"/>
              <w:rPr>
                <w:rFonts w:cstheme="minorHAnsi"/>
                <w:sz w:val="18"/>
                <w:szCs w:val="18"/>
              </w:rPr>
            </w:pPr>
            <w:r>
              <w:rPr>
                <w:rFonts w:cstheme="minorHAnsi"/>
                <w:sz w:val="18"/>
                <w:szCs w:val="18"/>
              </w:rPr>
              <w:t>SECONDARY_VALUE_1 engineering unit</w:t>
            </w:r>
          </w:p>
        </w:tc>
      </w:tr>
      <w:tr w14:paraId="69F182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724D9F96">
            <w:pPr>
              <w:pStyle w:val="40"/>
              <w:spacing w:after="240" w:line="240" w:lineRule="auto"/>
              <w:ind w:left="0"/>
              <w:rPr>
                <w:rFonts w:cstheme="minorHAnsi"/>
                <w:sz w:val="18"/>
                <w:szCs w:val="18"/>
              </w:rPr>
            </w:pPr>
            <w:r>
              <w:rPr>
                <w:rFonts w:cstheme="minorHAnsi"/>
                <w:sz w:val="18"/>
                <w:szCs w:val="18"/>
              </w:rPr>
              <w:t>SECONDARY_VALUE_2</w:t>
            </w:r>
          </w:p>
        </w:tc>
        <w:tc>
          <w:tcPr>
            <w:tcW w:w="3381" w:type="pct"/>
            <w:vAlign w:val="center"/>
          </w:tcPr>
          <w:p w14:paraId="26F040C5">
            <w:pPr>
              <w:pStyle w:val="40"/>
              <w:spacing w:after="240" w:line="240" w:lineRule="auto"/>
              <w:ind w:left="0"/>
              <w:rPr>
                <w:rFonts w:cstheme="minorHAnsi"/>
                <w:sz w:val="18"/>
                <w:szCs w:val="18"/>
              </w:rPr>
            </w:pPr>
            <w:r>
              <w:rPr>
                <w:rFonts w:cstheme="minorHAnsi"/>
                <w:sz w:val="18"/>
                <w:szCs w:val="18"/>
              </w:rPr>
              <w:t>The input range is converted into percent values for use by the AI function block</w:t>
            </w:r>
          </w:p>
        </w:tc>
      </w:tr>
      <w:tr w14:paraId="624BC9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tcMar>
              <w:right w:w="0" w:type="dxa"/>
            </w:tcMar>
            <w:vAlign w:val="center"/>
          </w:tcPr>
          <w:p w14:paraId="71165D25">
            <w:pPr>
              <w:pStyle w:val="40"/>
              <w:spacing w:after="240" w:line="240" w:lineRule="auto"/>
              <w:ind w:left="0"/>
              <w:rPr>
                <w:rFonts w:cstheme="minorHAnsi"/>
                <w:sz w:val="18"/>
                <w:szCs w:val="18"/>
              </w:rPr>
            </w:pPr>
            <w:r>
              <w:rPr>
                <w:rFonts w:cstheme="minorHAnsi"/>
                <w:sz w:val="18"/>
                <w:szCs w:val="18"/>
              </w:rPr>
              <w:t>SECONDARY_VALUE_2_UNIT</w:t>
            </w:r>
          </w:p>
        </w:tc>
        <w:tc>
          <w:tcPr>
            <w:tcW w:w="3381" w:type="pct"/>
            <w:vAlign w:val="center"/>
          </w:tcPr>
          <w:p w14:paraId="02005865">
            <w:pPr>
              <w:pStyle w:val="40"/>
              <w:spacing w:after="240" w:line="240" w:lineRule="auto"/>
              <w:ind w:left="0"/>
              <w:rPr>
                <w:rFonts w:cstheme="minorHAnsi"/>
                <w:sz w:val="18"/>
                <w:szCs w:val="18"/>
              </w:rPr>
            </w:pPr>
            <w:r>
              <w:rPr>
                <w:rFonts w:cstheme="minorHAnsi"/>
                <w:sz w:val="18"/>
                <w:szCs w:val="18"/>
              </w:rPr>
              <w:t>SECONDARY_VALUE_2 engineering unit</w:t>
            </w:r>
          </w:p>
        </w:tc>
      </w:tr>
      <w:tr w14:paraId="15F0A5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107361D6">
            <w:pPr>
              <w:pStyle w:val="40"/>
              <w:spacing w:after="240" w:line="240" w:lineRule="auto"/>
              <w:ind w:left="0"/>
              <w:rPr>
                <w:rFonts w:cstheme="minorHAnsi"/>
                <w:sz w:val="18"/>
                <w:szCs w:val="18"/>
              </w:rPr>
            </w:pPr>
            <w:r>
              <w:rPr>
                <w:rFonts w:cstheme="minorHAnsi"/>
                <w:sz w:val="18"/>
                <w:szCs w:val="18"/>
              </w:rPr>
              <w:t>SENSOR_DIAPHRAGM_ MATERIAL</w:t>
            </w:r>
          </w:p>
        </w:tc>
        <w:tc>
          <w:tcPr>
            <w:tcW w:w="3381" w:type="pct"/>
            <w:vAlign w:val="center"/>
          </w:tcPr>
          <w:p w14:paraId="357CF5DB">
            <w:pPr>
              <w:pStyle w:val="40"/>
              <w:spacing w:after="240" w:line="240" w:lineRule="auto"/>
              <w:ind w:left="0"/>
              <w:rPr>
                <w:rFonts w:cstheme="minorHAnsi"/>
                <w:sz w:val="18"/>
                <w:szCs w:val="18"/>
              </w:rPr>
            </w:pPr>
            <w:r>
              <w:rPr>
                <w:rFonts w:cstheme="minorHAnsi"/>
                <w:sz w:val="18"/>
                <w:szCs w:val="18"/>
              </w:rPr>
              <w:t>Sensor diaphragm type code</w:t>
            </w:r>
          </w:p>
        </w:tc>
      </w:tr>
      <w:tr w14:paraId="749CD6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tcBorders>
              <w:bottom w:val="single" w:color="auto" w:sz="2" w:space="0"/>
            </w:tcBorders>
            <w:vAlign w:val="center"/>
          </w:tcPr>
          <w:p w14:paraId="4C0462E2">
            <w:pPr>
              <w:pStyle w:val="40"/>
              <w:spacing w:after="240" w:line="240" w:lineRule="auto"/>
              <w:ind w:left="0"/>
              <w:rPr>
                <w:rFonts w:cstheme="minorHAnsi"/>
                <w:sz w:val="18"/>
                <w:szCs w:val="18"/>
              </w:rPr>
            </w:pPr>
            <w:r>
              <w:rPr>
                <w:rFonts w:cstheme="minorHAnsi"/>
                <w:sz w:val="18"/>
                <w:szCs w:val="18"/>
              </w:rPr>
              <w:t>SENSOR_FILL_FLUID</w:t>
            </w:r>
          </w:p>
        </w:tc>
        <w:tc>
          <w:tcPr>
            <w:tcW w:w="3381" w:type="pct"/>
            <w:tcBorders>
              <w:bottom w:val="single" w:color="auto" w:sz="2" w:space="0"/>
            </w:tcBorders>
            <w:vAlign w:val="center"/>
          </w:tcPr>
          <w:p w14:paraId="5F52553C">
            <w:pPr>
              <w:pStyle w:val="40"/>
              <w:spacing w:after="240" w:line="240" w:lineRule="auto"/>
              <w:ind w:left="0"/>
              <w:rPr>
                <w:rFonts w:cstheme="minorHAnsi"/>
                <w:sz w:val="18"/>
                <w:szCs w:val="18"/>
              </w:rPr>
            </w:pPr>
            <w:r>
              <w:rPr>
                <w:rFonts w:cstheme="minorHAnsi"/>
                <w:sz w:val="18"/>
                <w:szCs w:val="18"/>
              </w:rPr>
              <w:t>Sensor filler fluid type code</w:t>
            </w:r>
          </w:p>
        </w:tc>
      </w:tr>
      <w:tr w14:paraId="03C90F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3FDF0349">
            <w:pPr>
              <w:pStyle w:val="40"/>
              <w:spacing w:after="240" w:line="240" w:lineRule="auto"/>
              <w:ind w:left="0"/>
              <w:rPr>
                <w:rFonts w:cstheme="minorHAnsi"/>
                <w:sz w:val="18"/>
                <w:szCs w:val="18"/>
              </w:rPr>
            </w:pPr>
            <w:r>
              <w:rPr>
                <w:rFonts w:cstheme="minorHAnsi"/>
                <w:sz w:val="18"/>
                <w:szCs w:val="18"/>
              </w:rPr>
              <w:t>SENSOR_HI_LIM</w:t>
            </w:r>
          </w:p>
        </w:tc>
        <w:tc>
          <w:tcPr>
            <w:tcW w:w="3381" w:type="pct"/>
            <w:vAlign w:val="center"/>
          </w:tcPr>
          <w:p w14:paraId="698DE64D">
            <w:pPr>
              <w:pStyle w:val="40"/>
              <w:spacing w:after="240" w:line="240" w:lineRule="auto"/>
              <w:ind w:left="0"/>
              <w:rPr>
                <w:rFonts w:cstheme="minorHAnsi"/>
                <w:sz w:val="18"/>
                <w:szCs w:val="18"/>
              </w:rPr>
            </w:pPr>
            <w:r>
              <w:rPr>
                <w:rFonts w:cstheme="minorHAnsi"/>
                <w:sz w:val="18"/>
                <w:szCs w:val="18"/>
              </w:rPr>
              <w:t>Sensor physical upper limits</w:t>
            </w:r>
          </w:p>
        </w:tc>
      </w:tr>
      <w:tr w14:paraId="11CCD5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5366B6E4">
            <w:pPr>
              <w:pStyle w:val="40"/>
              <w:spacing w:after="240" w:line="240" w:lineRule="auto"/>
              <w:ind w:left="0"/>
              <w:rPr>
                <w:rFonts w:cstheme="minorHAnsi"/>
                <w:sz w:val="18"/>
                <w:szCs w:val="18"/>
              </w:rPr>
            </w:pPr>
            <w:r>
              <w:rPr>
                <w:rFonts w:cstheme="minorHAnsi"/>
                <w:sz w:val="18"/>
                <w:szCs w:val="18"/>
              </w:rPr>
              <w:t>SENSOR_LO_LIM</w:t>
            </w:r>
          </w:p>
        </w:tc>
        <w:tc>
          <w:tcPr>
            <w:tcW w:w="3381" w:type="pct"/>
            <w:vAlign w:val="center"/>
          </w:tcPr>
          <w:p w14:paraId="26832FC8">
            <w:pPr>
              <w:pStyle w:val="40"/>
              <w:spacing w:after="240" w:line="240" w:lineRule="auto"/>
              <w:ind w:left="0"/>
              <w:rPr>
                <w:rFonts w:cstheme="minorHAnsi"/>
                <w:sz w:val="18"/>
                <w:szCs w:val="18"/>
              </w:rPr>
            </w:pPr>
            <w:r>
              <w:rPr>
                <w:rFonts w:cstheme="minorHAnsi"/>
                <w:sz w:val="18"/>
                <w:szCs w:val="18"/>
              </w:rPr>
              <w:t>Sensor physical lower limits</w:t>
            </w:r>
          </w:p>
        </w:tc>
      </w:tr>
      <w:tr w14:paraId="0F29A2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7A1A6700">
            <w:pPr>
              <w:pStyle w:val="40"/>
              <w:spacing w:after="240" w:line="240" w:lineRule="auto"/>
              <w:ind w:left="0"/>
              <w:rPr>
                <w:rFonts w:cstheme="minorHAnsi"/>
                <w:sz w:val="18"/>
                <w:szCs w:val="18"/>
              </w:rPr>
            </w:pPr>
            <w:r>
              <w:rPr>
                <w:rFonts w:cstheme="minorHAnsi"/>
                <w:sz w:val="18"/>
                <w:szCs w:val="18"/>
              </w:rPr>
              <w:t>SENSOR_MAX_STATIC_PRESSURE</w:t>
            </w:r>
          </w:p>
        </w:tc>
        <w:tc>
          <w:tcPr>
            <w:tcW w:w="3381" w:type="pct"/>
            <w:vAlign w:val="center"/>
          </w:tcPr>
          <w:p w14:paraId="61EE546C">
            <w:pPr>
              <w:pStyle w:val="40"/>
              <w:spacing w:after="240" w:line="240" w:lineRule="auto"/>
              <w:ind w:left="0"/>
              <w:rPr>
                <w:rFonts w:cstheme="minorHAnsi"/>
                <w:sz w:val="18"/>
                <w:szCs w:val="18"/>
              </w:rPr>
            </w:pPr>
            <w:r>
              <w:rPr>
                <w:rFonts w:cstheme="minorHAnsi"/>
                <w:sz w:val="18"/>
                <w:szCs w:val="18"/>
              </w:rPr>
              <w:t>Maximum static pressure value of the sensor</w:t>
            </w:r>
          </w:p>
        </w:tc>
      </w:tr>
      <w:tr w14:paraId="05E850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4B5D3DD0">
            <w:pPr>
              <w:pStyle w:val="40"/>
              <w:spacing w:after="240" w:line="240" w:lineRule="auto"/>
              <w:ind w:left="0"/>
              <w:rPr>
                <w:rFonts w:cstheme="minorHAnsi"/>
                <w:sz w:val="18"/>
                <w:szCs w:val="18"/>
              </w:rPr>
            </w:pPr>
            <w:r>
              <w:rPr>
                <w:rFonts w:cstheme="minorHAnsi"/>
                <w:sz w:val="18"/>
                <w:szCs w:val="18"/>
              </w:rPr>
              <w:t>SENSOR_O_RING_ MATERIAL</w:t>
            </w:r>
          </w:p>
        </w:tc>
        <w:tc>
          <w:tcPr>
            <w:tcW w:w="3381" w:type="pct"/>
            <w:vAlign w:val="center"/>
          </w:tcPr>
          <w:p w14:paraId="53191FDD">
            <w:pPr>
              <w:pStyle w:val="40"/>
              <w:spacing w:after="240" w:line="240" w:lineRule="auto"/>
              <w:ind w:left="0"/>
              <w:rPr>
                <w:rFonts w:cstheme="minorHAnsi"/>
                <w:sz w:val="18"/>
                <w:szCs w:val="18"/>
              </w:rPr>
            </w:pPr>
            <w:r>
              <w:rPr>
                <w:rFonts w:cstheme="minorHAnsi"/>
                <w:sz w:val="18"/>
                <w:szCs w:val="18"/>
              </w:rPr>
              <w:t>The O-ring type code between the sensor diaphragm and the process connection</w:t>
            </w:r>
          </w:p>
        </w:tc>
      </w:tr>
      <w:tr w14:paraId="3C0B6C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3C58C7F5">
            <w:pPr>
              <w:pStyle w:val="40"/>
              <w:spacing w:after="240" w:line="240" w:lineRule="auto"/>
              <w:ind w:left="0"/>
              <w:rPr>
                <w:rFonts w:cstheme="minorHAnsi"/>
                <w:sz w:val="18"/>
                <w:szCs w:val="18"/>
              </w:rPr>
            </w:pPr>
            <w:r>
              <w:rPr>
                <w:rFonts w:cstheme="minorHAnsi"/>
                <w:sz w:val="18"/>
                <w:szCs w:val="18"/>
              </w:rPr>
              <w:t>SENSOR_SERIAL_ NUMBER</w:t>
            </w:r>
          </w:p>
        </w:tc>
        <w:tc>
          <w:tcPr>
            <w:tcW w:w="3381" w:type="pct"/>
            <w:vAlign w:val="center"/>
          </w:tcPr>
          <w:p w14:paraId="34FBD447">
            <w:pPr>
              <w:pStyle w:val="40"/>
              <w:spacing w:after="240" w:line="240" w:lineRule="auto"/>
              <w:ind w:left="0"/>
              <w:rPr>
                <w:rFonts w:cstheme="minorHAnsi"/>
                <w:sz w:val="18"/>
                <w:szCs w:val="18"/>
              </w:rPr>
            </w:pPr>
            <w:r>
              <w:rPr>
                <w:rFonts w:cstheme="minorHAnsi"/>
                <w:sz w:val="18"/>
                <w:szCs w:val="18"/>
              </w:rPr>
              <w:t>Serial number of the sensor</w:t>
            </w:r>
          </w:p>
        </w:tc>
      </w:tr>
      <w:tr w14:paraId="40F1B9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1D42DA83">
            <w:pPr>
              <w:pStyle w:val="40"/>
              <w:spacing w:after="240" w:line="240" w:lineRule="auto"/>
              <w:ind w:left="0"/>
              <w:rPr>
                <w:rFonts w:cstheme="minorHAnsi"/>
                <w:sz w:val="18"/>
                <w:szCs w:val="18"/>
              </w:rPr>
            </w:pPr>
            <w:r>
              <w:rPr>
                <w:rFonts w:cstheme="minorHAnsi"/>
                <w:sz w:val="18"/>
                <w:szCs w:val="18"/>
              </w:rPr>
              <w:t>SENSOR_TYPE</w:t>
            </w:r>
          </w:p>
        </w:tc>
        <w:tc>
          <w:tcPr>
            <w:tcW w:w="3381" w:type="pct"/>
            <w:vAlign w:val="center"/>
          </w:tcPr>
          <w:p w14:paraId="28C5A257">
            <w:pPr>
              <w:pStyle w:val="40"/>
              <w:spacing w:after="240" w:line="240" w:lineRule="auto"/>
              <w:ind w:left="0"/>
              <w:rPr>
                <w:rFonts w:cstheme="minorHAnsi"/>
                <w:sz w:val="18"/>
                <w:szCs w:val="18"/>
              </w:rPr>
            </w:pPr>
            <w:r>
              <w:rPr>
                <w:rFonts w:cstheme="minorHAnsi"/>
                <w:sz w:val="18"/>
                <w:szCs w:val="18"/>
              </w:rPr>
              <w:t>Type of sensor</w:t>
            </w:r>
          </w:p>
        </w:tc>
      </w:tr>
      <w:tr w14:paraId="5241A4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1470B66D">
            <w:pPr>
              <w:pStyle w:val="40"/>
              <w:spacing w:after="240" w:line="240" w:lineRule="auto"/>
              <w:ind w:left="0"/>
              <w:rPr>
                <w:rFonts w:cstheme="minorHAnsi"/>
                <w:sz w:val="18"/>
                <w:szCs w:val="18"/>
              </w:rPr>
            </w:pPr>
            <w:r>
              <w:rPr>
                <w:rFonts w:cstheme="minorHAnsi"/>
                <w:sz w:val="18"/>
                <w:szCs w:val="18"/>
              </w:rPr>
              <w:t>SENSOR_UNIT</w:t>
            </w:r>
          </w:p>
        </w:tc>
        <w:tc>
          <w:tcPr>
            <w:tcW w:w="3381" w:type="pct"/>
            <w:vAlign w:val="center"/>
          </w:tcPr>
          <w:p w14:paraId="431330BD">
            <w:pPr>
              <w:pStyle w:val="40"/>
              <w:spacing w:after="240" w:line="240" w:lineRule="auto"/>
              <w:ind w:left="0"/>
              <w:rPr>
                <w:rFonts w:cstheme="minorHAnsi"/>
                <w:sz w:val="18"/>
                <w:szCs w:val="18"/>
              </w:rPr>
            </w:pPr>
            <w:r>
              <w:rPr>
                <w:rFonts w:cstheme="minorHAnsi"/>
                <w:sz w:val="18"/>
                <w:szCs w:val="18"/>
              </w:rPr>
              <w:t>Sensor raw data unit</w:t>
            </w:r>
          </w:p>
        </w:tc>
      </w:tr>
      <w:tr w14:paraId="229C60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3B5F9DB0">
            <w:pPr>
              <w:pStyle w:val="40"/>
              <w:spacing w:after="240" w:line="240" w:lineRule="auto"/>
              <w:ind w:left="0"/>
              <w:rPr>
                <w:rFonts w:cstheme="minorHAnsi"/>
                <w:sz w:val="18"/>
                <w:szCs w:val="18"/>
              </w:rPr>
            </w:pPr>
            <w:r>
              <w:rPr>
                <w:rFonts w:cstheme="minorHAnsi"/>
                <w:sz w:val="18"/>
                <w:szCs w:val="18"/>
              </w:rPr>
              <w:t>SENSOR_VALUE</w:t>
            </w:r>
          </w:p>
        </w:tc>
        <w:tc>
          <w:tcPr>
            <w:tcW w:w="3381" w:type="pct"/>
            <w:vAlign w:val="center"/>
          </w:tcPr>
          <w:p w14:paraId="5E314120">
            <w:pPr>
              <w:pStyle w:val="40"/>
              <w:spacing w:after="240" w:line="240" w:lineRule="auto"/>
              <w:ind w:left="0"/>
              <w:rPr>
                <w:rFonts w:cstheme="minorHAnsi"/>
                <w:sz w:val="18"/>
                <w:szCs w:val="18"/>
              </w:rPr>
            </w:pPr>
            <w:r>
              <w:rPr>
                <w:rFonts w:cstheme="minorHAnsi"/>
                <w:sz w:val="18"/>
                <w:szCs w:val="18"/>
              </w:rPr>
              <w:t>Sensor raw data value</w:t>
            </w:r>
          </w:p>
        </w:tc>
      </w:tr>
      <w:tr w14:paraId="2AF762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643ACC86">
            <w:pPr>
              <w:pStyle w:val="40"/>
              <w:spacing w:after="240" w:line="240" w:lineRule="auto"/>
              <w:ind w:left="0"/>
              <w:rPr>
                <w:rFonts w:cstheme="minorHAnsi"/>
                <w:sz w:val="18"/>
                <w:szCs w:val="18"/>
              </w:rPr>
            </w:pPr>
            <w:r>
              <w:rPr>
                <w:rFonts w:cstheme="minorHAnsi"/>
                <w:sz w:val="18"/>
                <w:szCs w:val="18"/>
              </w:rPr>
              <w:t>TEMPERATURE</w:t>
            </w:r>
          </w:p>
        </w:tc>
        <w:tc>
          <w:tcPr>
            <w:tcW w:w="3381" w:type="pct"/>
            <w:vAlign w:val="center"/>
          </w:tcPr>
          <w:p w14:paraId="3EC51D07">
            <w:pPr>
              <w:pStyle w:val="40"/>
              <w:spacing w:after="240" w:line="240" w:lineRule="auto"/>
              <w:ind w:left="0"/>
              <w:rPr>
                <w:rFonts w:cstheme="minorHAnsi"/>
                <w:sz w:val="18"/>
                <w:szCs w:val="18"/>
              </w:rPr>
            </w:pPr>
            <w:r>
              <w:rPr>
                <w:rFonts w:cstheme="minorHAnsi"/>
                <w:sz w:val="18"/>
                <w:szCs w:val="18"/>
              </w:rPr>
              <w:t>Sensor temperature value</w:t>
            </w:r>
          </w:p>
        </w:tc>
      </w:tr>
      <w:tr w14:paraId="16BD34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6F792B4A">
            <w:pPr>
              <w:pStyle w:val="40"/>
              <w:spacing w:after="240" w:line="240" w:lineRule="auto"/>
              <w:ind w:left="0"/>
              <w:rPr>
                <w:rFonts w:cstheme="minorHAnsi"/>
                <w:sz w:val="18"/>
                <w:szCs w:val="18"/>
              </w:rPr>
            </w:pPr>
            <w:r>
              <w:rPr>
                <w:rFonts w:cstheme="minorHAnsi"/>
                <w:sz w:val="18"/>
                <w:szCs w:val="18"/>
              </w:rPr>
              <w:t>TEMPERATURE_UNIT</w:t>
            </w:r>
          </w:p>
        </w:tc>
        <w:tc>
          <w:tcPr>
            <w:tcW w:w="3381" w:type="pct"/>
            <w:vAlign w:val="center"/>
          </w:tcPr>
          <w:p w14:paraId="167EBA49">
            <w:pPr>
              <w:pStyle w:val="40"/>
              <w:spacing w:after="240" w:line="240" w:lineRule="auto"/>
              <w:ind w:left="0"/>
              <w:rPr>
                <w:rFonts w:cstheme="minorHAnsi"/>
                <w:sz w:val="18"/>
                <w:szCs w:val="18"/>
              </w:rPr>
            </w:pPr>
            <w:r>
              <w:rPr>
                <w:rFonts w:cstheme="minorHAnsi"/>
                <w:sz w:val="18"/>
                <w:szCs w:val="18"/>
              </w:rPr>
              <w:t>Sensor temperature value in unit, currently fixed at degrees Celsius</w:t>
            </w:r>
          </w:p>
        </w:tc>
      </w:tr>
      <w:tr w14:paraId="4D453D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1619" w:type="pct"/>
            <w:vAlign w:val="center"/>
          </w:tcPr>
          <w:p w14:paraId="7393CBE4">
            <w:pPr>
              <w:pStyle w:val="40"/>
              <w:spacing w:after="240" w:line="240" w:lineRule="auto"/>
              <w:ind w:left="0"/>
              <w:rPr>
                <w:rFonts w:cstheme="minorHAnsi"/>
                <w:sz w:val="18"/>
                <w:szCs w:val="18"/>
              </w:rPr>
            </w:pPr>
            <w:r>
              <w:rPr>
                <w:rFonts w:cstheme="minorHAnsi"/>
                <w:sz w:val="18"/>
                <w:szCs w:val="18"/>
              </w:rPr>
              <w:t>TRIMMED_VALUE</w:t>
            </w:r>
          </w:p>
        </w:tc>
        <w:tc>
          <w:tcPr>
            <w:tcW w:w="3381" w:type="pct"/>
            <w:vAlign w:val="center"/>
          </w:tcPr>
          <w:p w14:paraId="0801EF47">
            <w:pPr>
              <w:pStyle w:val="40"/>
              <w:spacing w:after="240" w:line="240" w:lineRule="auto"/>
              <w:ind w:left="0"/>
              <w:rPr>
                <w:rFonts w:cstheme="minorHAnsi"/>
                <w:sz w:val="18"/>
                <w:szCs w:val="18"/>
              </w:rPr>
            </w:pPr>
            <w:r>
              <w:rPr>
                <w:rFonts w:cstheme="minorHAnsi"/>
                <w:sz w:val="18"/>
                <w:szCs w:val="18"/>
              </w:rPr>
              <w:t>Pressure value after the correction</w:t>
            </w:r>
          </w:p>
        </w:tc>
      </w:tr>
    </w:tbl>
    <w:p w14:paraId="7459095F">
      <w:pPr>
        <w:pStyle w:val="4"/>
        <w:spacing w:before="120" w:beforeLines="50" w:after="120" w:afterLines="50"/>
        <w:rPr>
          <w:rFonts w:asciiTheme="minorHAnsi" w:hAnsiTheme="minorHAnsi" w:cstheme="minorHAnsi"/>
        </w:rPr>
      </w:pPr>
      <w:bookmarkStart w:id="150" w:name="_Toc199429834"/>
      <w:r>
        <w:rPr>
          <w:rFonts w:asciiTheme="minorHAnsi" w:hAnsiTheme="minorHAnsi" w:cstheme="minorHAnsi"/>
        </w:rPr>
        <w:t>PROFIBUS Cyclic Data Communication Configuration</w:t>
      </w:r>
      <w:bookmarkEnd w:id="150"/>
    </w:p>
    <w:p w14:paraId="16C965D8">
      <w:pPr>
        <w:spacing w:after="240"/>
        <w:rPr>
          <w:rFonts w:cstheme="minorHAnsi"/>
        </w:rPr>
      </w:pPr>
      <w:r>
        <w:rPr>
          <w:rFonts w:cstheme="minorHAnsi"/>
        </w:rPr>
        <w:t>The cyclic data communication of PROFIBUS DP means that the class 1 master station and the slave station exchange input and output data in the mode of master-slave polling, and the communication mode is connectionless. In each cycle, the Type 1 master station actively sends a data exchange request, while the slave station passively responds to the master station's request. The cyclic data communication is mainly used in the configuration of the slave station and the PLC master station equipment. Through the cyclic data communication, the master station PLC obtains the input data of the slave station in real time or outputs the output data to the slave station.</w:t>
      </w:r>
    </w:p>
    <w:p w14:paraId="4754CB56">
      <w:pPr>
        <w:spacing w:after="240"/>
        <w:rPr>
          <w:rFonts w:cstheme="minorHAnsi"/>
        </w:rPr>
      </w:pPr>
      <w:r>
        <w:rPr>
          <w:rFonts w:cstheme="minorHAnsi"/>
        </w:rPr>
        <w:t>The circular data communication configuration of PA intelligent transmitter is basically the same as that of PROFIBUS DP slave station, but it requires the use of coupler or linker between PA bus and DP bus.</w:t>
      </w:r>
    </w:p>
    <w:p w14:paraId="1B09811B">
      <w:pPr>
        <w:spacing w:after="240"/>
        <w:rPr>
          <w:rFonts w:cstheme="minorHAnsi"/>
        </w:rPr>
      </w:pPr>
      <w:r>
        <w:rPr>
          <w:rFonts w:cstheme="minorHAnsi"/>
        </w:rPr>
        <w:t>The PA intelligent transmitter cycle data comes from the output parameters of the AI function block in the device, with a total of 5 bytes, including 4 bytes of pressure value floating point data and 1 byte of status data.</w:t>
      </w:r>
    </w:p>
    <w:p w14:paraId="56AA9AA3">
      <w:pPr>
        <w:spacing w:after="240"/>
        <w:rPr>
          <w:rFonts w:cstheme="minorHAnsi"/>
        </w:rPr>
      </w:pPr>
      <w:r>
        <w:rPr>
          <w:rFonts w:cstheme="minorHAnsi"/>
        </w:rPr>
        <w:t>The transmitter contains the AI standard function blocks and also contains an empty module.If two function blocks, select an empty module.For example, if only one AI is required, it can be configured as: an AI and an empty module.</w:t>
      </w:r>
    </w:p>
    <w:p w14:paraId="69FB3109">
      <w:pPr>
        <w:spacing w:after="240"/>
        <w:rPr>
          <w:rFonts w:cstheme="minorHAnsi"/>
        </w:rPr>
      </w:pPr>
      <w:r>
        <w:rPr>
          <w:rFonts w:cstheme="minorHAnsi"/>
        </w:rPr>
        <w:t>For recurrent communication, the transmitter supports multiple identifiers.Where the AI has two identifiers, namely, the short identifier and the long identifier.The identifiers are listed below:</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864"/>
        <w:gridCol w:w="2381"/>
      </w:tblGrid>
      <w:tr w14:paraId="6DE8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vAlign w:val="center"/>
          </w:tcPr>
          <w:p w14:paraId="64950D98">
            <w:pPr>
              <w:spacing w:after="240"/>
              <w:rPr>
                <w:rFonts w:cstheme="minorHAnsi"/>
                <w:sz w:val="18"/>
                <w:szCs w:val="18"/>
              </w:rPr>
            </w:pPr>
            <w:r>
              <w:rPr>
                <w:rFonts w:cstheme="minorHAnsi"/>
                <w:sz w:val="18"/>
                <w:szCs w:val="18"/>
              </w:rPr>
              <w:t>AI</w:t>
            </w:r>
          </w:p>
        </w:tc>
        <w:tc>
          <w:tcPr>
            <w:tcW w:w="2864" w:type="dxa"/>
            <w:vAlign w:val="center"/>
          </w:tcPr>
          <w:p w14:paraId="45376C91">
            <w:pPr>
              <w:spacing w:after="240"/>
              <w:rPr>
                <w:rFonts w:cstheme="minorHAnsi"/>
                <w:sz w:val="18"/>
                <w:szCs w:val="18"/>
              </w:rPr>
            </w:pPr>
            <w:r>
              <w:rPr>
                <w:rFonts w:cstheme="minorHAnsi"/>
                <w:sz w:val="18"/>
                <w:szCs w:val="18"/>
              </w:rPr>
              <w:t>Short identifier</w:t>
            </w:r>
          </w:p>
        </w:tc>
        <w:tc>
          <w:tcPr>
            <w:tcW w:w="2381" w:type="dxa"/>
            <w:vAlign w:val="center"/>
          </w:tcPr>
          <w:p w14:paraId="7A4CC32D">
            <w:pPr>
              <w:spacing w:after="240"/>
              <w:rPr>
                <w:rFonts w:cstheme="minorHAnsi"/>
                <w:sz w:val="18"/>
                <w:szCs w:val="18"/>
              </w:rPr>
            </w:pPr>
            <w:r>
              <w:rPr>
                <w:rFonts w:cstheme="minorHAnsi"/>
                <w:sz w:val="18"/>
                <w:szCs w:val="18"/>
              </w:rPr>
              <w:t>0x94</w:t>
            </w:r>
          </w:p>
        </w:tc>
      </w:tr>
      <w:tr w14:paraId="547D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14:paraId="0B9C17FB">
            <w:pPr>
              <w:spacing w:after="240"/>
              <w:rPr>
                <w:rFonts w:cstheme="minorHAnsi"/>
                <w:sz w:val="18"/>
                <w:szCs w:val="18"/>
              </w:rPr>
            </w:pPr>
          </w:p>
        </w:tc>
        <w:tc>
          <w:tcPr>
            <w:tcW w:w="2864" w:type="dxa"/>
            <w:vAlign w:val="center"/>
          </w:tcPr>
          <w:p w14:paraId="7E50AA28">
            <w:pPr>
              <w:spacing w:after="240"/>
              <w:rPr>
                <w:rFonts w:cstheme="minorHAnsi"/>
                <w:sz w:val="18"/>
                <w:szCs w:val="18"/>
              </w:rPr>
            </w:pPr>
            <w:r>
              <w:rPr>
                <w:rFonts w:cstheme="minorHAnsi"/>
                <w:sz w:val="18"/>
                <w:szCs w:val="18"/>
              </w:rPr>
              <w:t>Long identifier</w:t>
            </w:r>
          </w:p>
        </w:tc>
        <w:tc>
          <w:tcPr>
            <w:tcW w:w="2381" w:type="dxa"/>
            <w:vAlign w:val="center"/>
          </w:tcPr>
          <w:p w14:paraId="779CC6A6">
            <w:pPr>
              <w:spacing w:after="240"/>
              <w:rPr>
                <w:rFonts w:cstheme="minorHAnsi"/>
                <w:sz w:val="18"/>
                <w:szCs w:val="18"/>
              </w:rPr>
            </w:pPr>
            <w:r>
              <w:rPr>
                <w:rFonts w:cstheme="minorHAnsi"/>
                <w:sz w:val="18"/>
                <w:szCs w:val="18"/>
              </w:rPr>
              <w:t>0x42,0x84,0x08,0x05</w:t>
            </w:r>
          </w:p>
        </w:tc>
      </w:tr>
    </w:tbl>
    <w:p w14:paraId="7A3719A9">
      <w:pPr>
        <w:spacing w:after="240"/>
        <w:rPr>
          <w:rFonts w:cstheme="minorHAnsi"/>
        </w:rPr>
      </w:pPr>
      <w:r>
        <w:rPr>
          <w:rFonts w:cstheme="minorHAnsi"/>
        </w:rPr>
        <w:t>Cycle data communication configuration for PROFIBUS PA using Siemens Step7.</w:t>
      </w:r>
    </w:p>
    <w:p w14:paraId="2EE052F2">
      <w:pPr>
        <w:spacing w:after="240"/>
        <w:rPr>
          <w:rFonts w:cstheme="minorHAnsi"/>
        </w:rPr>
      </w:pPr>
      <w:r>
        <w:rPr>
          <w:rFonts w:cstheme="minorHAnsi"/>
        </w:rPr>
        <w:t>Examples of configured PA transmitters using Siemens Step7 are given below.</w:t>
      </w:r>
    </w:p>
    <w:p w14:paraId="6EDACCC7">
      <w:pPr>
        <w:spacing w:after="240"/>
        <w:rPr>
          <w:rFonts w:cstheme="minorHAnsi"/>
        </w:rPr>
      </w:pPr>
      <w:r>
        <w:rPr>
          <w:rFonts w:cstheme="minorHAnsi"/>
        </w:rPr>
        <w:t>Open SIMATIC Manager, select the PLC master station and create a new project, see Figure 7.4.</w:t>
      </w:r>
    </w:p>
    <w:p w14:paraId="5AEED757">
      <w:pPr>
        <w:keepNext/>
        <w:spacing w:after="240"/>
        <w:jc w:val="center"/>
        <w:rPr>
          <w:rFonts w:cstheme="minorHAnsi"/>
        </w:rPr>
      </w:pPr>
      <w:r>
        <w:rPr>
          <w:rFonts w:cstheme="minorHAnsi"/>
        </w:rPr>
        <mc:AlternateContent>
          <mc:Choice Requires="wps">
            <w:drawing>
              <wp:anchor distT="0" distB="0" distL="114300" distR="114300" simplePos="0" relativeHeight="251660288" behindDoc="0" locked="0" layoutInCell="1" allowOverlap="1">
                <wp:simplePos x="0" y="0"/>
                <wp:positionH relativeFrom="column">
                  <wp:posOffset>2234565</wp:posOffset>
                </wp:positionH>
                <wp:positionV relativeFrom="paragraph">
                  <wp:posOffset>537845</wp:posOffset>
                </wp:positionV>
                <wp:extent cx="358140" cy="284480"/>
                <wp:effectExtent l="48895" t="55245" r="12065" b="12700"/>
                <wp:wrapNone/>
                <wp:docPr id="14" name="Line 1947"/>
                <wp:cNvGraphicFramePr/>
                <a:graphic xmlns:a="http://schemas.openxmlformats.org/drawingml/2006/main">
                  <a:graphicData uri="http://schemas.microsoft.com/office/word/2010/wordprocessingShape">
                    <wps:wsp>
                      <wps:cNvCnPr>
                        <a:cxnSpLocks noChangeShapeType="1"/>
                      </wps:cNvCnPr>
                      <wps:spPr bwMode="auto">
                        <a:xfrm>
                          <a:off x="0" y="0"/>
                          <a:ext cx="358140" cy="284480"/>
                        </a:xfrm>
                        <a:prstGeom prst="line">
                          <a:avLst/>
                        </a:prstGeom>
                        <a:noFill/>
                        <a:ln w="19050">
                          <a:solidFill>
                            <a:srgbClr val="FF0000"/>
                          </a:solidFill>
                          <a:round/>
                          <a:headEnd type="triangle" w="med" len="med"/>
                        </a:ln>
                      </wps:spPr>
                      <wps:bodyPr/>
                    </wps:wsp>
                  </a:graphicData>
                </a:graphic>
              </wp:anchor>
            </w:drawing>
          </mc:Choice>
          <mc:Fallback>
            <w:pict>
              <v:line id="Line 1947" o:spid="_x0000_s1026" o:spt="20" style="position:absolute;left:0pt;margin-left:175.95pt;margin-top:42.35pt;height:22.4pt;width:28.2pt;z-index:251660288;mso-width-relative:page;mso-height-relative:page;" filled="f" stroked="t" coordsize="21600,21600" o:gfxdata="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JFBhdsAAAAKAQAADwAAAAAAAAABACAAAAAiAAAAZHJzL2Rvd25yZXYueG1sUEsBAhQA&#10;FAAAAAgAh07iQLueZX3vAQAA1gMAAA4AAAAAAAAAAQAgAAAAKgEAAGRycy9lMm9Eb2MueG1sUEsF&#10;BgAAAAAGAAYAWQEAAIsFAAAAAA==&#10;">
                <v:fill on="f" focussize="0,0"/>
                <v:stroke weight="1.5pt" color="#FF0000" joinstyle="round" startarrow="block"/>
                <v:imagedata o:title=""/>
                <o:lock v:ext="edit" aspectratio="f"/>
              </v:line>
            </w:pict>
          </mc:Fallback>
        </mc:AlternateContent>
      </w:r>
      <w:r>
        <w:rPr>
          <w:rFonts w:cstheme="minorHAnsi"/>
        </w:rPr>
        <mc:AlternateContent>
          <mc:Choice Requires="wps">
            <w:drawing>
              <wp:anchor distT="0" distB="0" distL="114300" distR="114300" simplePos="0" relativeHeight="251661312" behindDoc="0" locked="0" layoutInCell="1" allowOverlap="1">
                <wp:simplePos x="0" y="0"/>
                <wp:positionH relativeFrom="column">
                  <wp:posOffset>2058035</wp:posOffset>
                </wp:positionH>
                <wp:positionV relativeFrom="paragraph">
                  <wp:posOffset>788670</wp:posOffset>
                </wp:positionV>
                <wp:extent cx="2628265" cy="297180"/>
                <wp:effectExtent l="0" t="0" r="0" b="0"/>
                <wp:wrapNone/>
                <wp:docPr id="15" name="Text Box 1948"/>
                <wp:cNvGraphicFramePr/>
                <a:graphic xmlns:a="http://schemas.openxmlformats.org/drawingml/2006/main">
                  <a:graphicData uri="http://schemas.microsoft.com/office/word/2010/wordprocessingShape">
                    <wps:wsp>
                      <wps:cNvSpPr txBox="1">
                        <a:spLocks noChangeArrowheads="1"/>
                      </wps:cNvSpPr>
                      <wps:spPr bwMode="auto">
                        <a:xfrm>
                          <a:off x="0" y="0"/>
                          <a:ext cx="2628265" cy="297180"/>
                        </a:xfrm>
                        <a:prstGeom prst="rect">
                          <a:avLst/>
                        </a:prstGeom>
                        <a:noFill/>
                        <a:ln>
                          <a:noFill/>
                        </a:ln>
                      </wps:spPr>
                      <wps:txbx>
                        <w:txbxContent>
                          <w:p w14:paraId="1B71F6FF">
                            <w:pPr>
                              <w:spacing w:after="240"/>
                              <w:rPr>
                                <w:rFonts w:ascii="Calibri" w:hAnsi="Calibri" w:cs="Calibri"/>
                                <w:color w:val="FF0000"/>
                                <w:sz w:val="16"/>
                                <w:szCs w:val="16"/>
                              </w:rPr>
                            </w:pPr>
                            <w:r>
                              <w:rPr>
                                <w:rFonts w:ascii="Calibri" w:hAnsi="Calibri" w:cs="Calibri"/>
                                <w:color w:val="FF0000"/>
                                <w:sz w:val="16"/>
                                <w:szCs w:val="16"/>
                              </w:rPr>
                              <w:t>Double-click for hardware configuration configuration</w:t>
                            </w:r>
                          </w:p>
                        </w:txbxContent>
                      </wps:txbx>
                      <wps:bodyPr rot="0" vert="horz" wrap="square" lIns="91440" tIns="45720" rIns="91440" bIns="45720" anchor="t" anchorCtr="0" upright="1">
                        <a:noAutofit/>
                      </wps:bodyPr>
                    </wps:wsp>
                  </a:graphicData>
                </a:graphic>
              </wp:anchor>
            </w:drawing>
          </mc:Choice>
          <mc:Fallback>
            <w:pict>
              <v:shape id="Text Box 1948" o:spid="_x0000_s1026" o:spt="202" type="#_x0000_t202" style="position:absolute;left:0pt;margin-left:162.05pt;margin-top:62.1pt;height:23.4pt;width:206.95pt;z-index:251661312;mso-width-relative:page;mso-height-relative:page;" filled="f" stroked="f" coordsize="21600,21600" o:gfxdata="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jjEUbdgAAAALAQAADwAAAAAAAAABACAAAAAi&#10;AAAAZHJzL2Rvd25yZXYueG1sUEsBAhQAFAAAAAgAh07iQAgLLSkKAgAAGAQAAA4AAAAAAAAAAQAg&#10;AAAAJwEAAGRycy9lMm9Eb2MueG1sUEsFBgAAAAAGAAYAWQEAAKMFAAAAAA==&#10;">
                <v:fill on="f" focussize="0,0"/>
                <v:stroke on="f"/>
                <v:imagedata o:title=""/>
                <o:lock v:ext="edit" aspectratio="f"/>
                <v:textbox>
                  <w:txbxContent>
                    <w:p w14:paraId="1B71F6FF">
                      <w:pPr>
                        <w:spacing w:after="240"/>
                        <w:rPr>
                          <w:rFonts w:ascii="Calibri" w:hAnsi="Calibri" w:cs="Calibri"/>
                          <w:color w:val="FF0000"/>
                          <w:sz w:val="16"/>
                          <w:szCs w:val="16"/>
                        </w:rPr>
                      </w:pPr>
                      <w:r>
                        <w:rPr>
                          <w:rFonts w:ascii="Calibri" w:hAnsi="Calibri" w:cs="Calibri"/>
                          <w:color w:val="FF0000"/>
                          <w:sz w:val="16"/>
                          <w:szCs w:val="16"/>
                        </w:rPr>
                        <w:t>Double-click for hardware configuration configuration</w:t>
                      </w:r>
                    </w:p>
                  </w:txbxContent>
                </v:textbox>
              </v:shape>
            </w:pict>
          </mc:Fallback>
        </mc:AlternateContent>
      </w:r>
      <w:r>
        <w:rPr>
          <w:rFonts w:cstheme="minorHAnsi"/>
        </w:rPr>
        <w:drawing>
          <wp:inline distT="0" distB="0" distL="0" distR="0">
            <wp:extent cx="4428490" cy="148717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81"/>
                    <a:srcRect l="29419" t="28006" r="27600" b="45210"/>
                    <a:stretch>
                      <a:fillRect/>
                    </a:stretch>
                  </pic:blipFill>
                  <pic:spPr>
                    <a:xfrm>
                      <a:off x="0" y="0"/>
                      <a:ext cx="4495451" cy="1510013"/>
                    </a:xfrm>
                    <a:prstGeom prst="rect">
                      <a:avLst/>
                    </a:prstGeom>
                    <a:ln>
                      <a:noFill/>
                    </a:ln>
                  </pic:spPr>
                </pic:pic>
              </a:graphicData>
            </a:graphic>
          </wp:inline>
        </w:drawing>
      </w:r>
    </w:p>
    <w:p w14:paraId="17C817EC">
      <w:pPr>
        <w:pStyle w:val="12"/>
        <w:spacing w:before="120" w:after="120"/>
        <w:rPr>
          <w:rFonts w:asciiTheme="minorHAnsi" w:hAnsiTheme="minorHAnsi" w:cstheme="minorHAnsi"/>
          <w:szCs w:val="21"/>
        </w:rPr>
      </w:pPr>
      <w:r>
        <w:rPr>
          <w:rFonts w:asciiTheme="minorHAnsi" w:hAnsiTheme="minorHAnsi" w:cstheme="minorHAnsi"/>
        </w:rPr>
        <w:t xml:space="preserve"> 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Figure \* ARABIC \s 1 </w:instrText>
      </w:r>
      <w:r>
        <w:rPr>
          <w:rFonts w:asciiTheme="minorHAnsi" w:hAnsiTheme="minorHAnsi" w:cstheme="minorHAnsi"/>
        </w:rPr>
        <w:fldChar w:fldCharType="separate"/>
      </w:r>
      <w:r>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 xml:space="preserve"> Select the PLC main station and build a new project</w:t>
      </w:r>
    </w:p>
    <w:p w14:paraId="724A811D">
      <w:pPr>
        <w:spacing w:after="240"/>
        <w:rPr>
          <w:rFonts w:cstheme="minorHAnsi"/>
        </w:rPr>
      </w:pPr>
      <w:r>
        <w:rPr>
          <w:rFonts w:cstheme="minorHAnsi"/>
        </w:rPr>
        <w:t>Double-click Hardware to punch in the HW Config software and hardware configuration.Select the GSD file for the Install GSD Install PA transmitter in the Option menu, as Figure 7.5</w:t>
      </w:r>
    </w:p>
    <w:p w14:paraId="2F482135">
      <w:pPr>
        <w:keepNext/>
        <w:spacing w:after="240"/>
        <w:jc w:val="center"/>
        <w:rPr>
          <w:rFonts w:cstheme="minorHAnsi"/>
        </w:rPr>
      </w:pPr>
      <w:r>
        <w:rPr>
          <w:rFonts w:cstheme="minorHAnsi"/>
        </w:rPr>
        <w:drawing>
          <wp:inline distT="0" distB="0" distL="0" distR="0">
            <wp:extent cx="3766820" cy="2545080"/>
            <wp:effectExtent l="0" t="0" r="5080" b="76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82"/>
                    <a:srcRect l="23690" t="11448" r="25264" b="24565"/>
                    <a:stretch>
                      <a:fillRect/>
                    </a:stretch>
                  </pic:blipFill>
                  <pic:spPr>
                    <a:xfrm>
                      <a:off x="0" y="0"/>
                      <a:ext cx="3790932" cy="2561384"/>
                    </a:xfrm>
                    <a:prstGeom prst="rect">
                      <a:avLst/>
                    </a:prstGeom>
                    <a:ln>
                      <a:noFill/>
                    </a:ln>
                  </pic:spPr>
                </pic:pic>
              </a:graphicData>
            </a:graphic>
          </wp:inline>
        </w:drawing>
      </w:r>
    </w:p>
    <w:p w14:paraId="7D2EC8D7">
      <w:pPr>
        <w:pStyle w:val="12"/>
        <w:spacing w:before="120" w:after="120"/>
        <w:rPr>
          <w:rFonts w:asciiTheme="minorHAnsi" w:hAnsiTheme="minorHAnsi" w:cstheme="minorHAnsi"/>
          <w:szCs w:val="21"/>
        </w:rPr>
      </w:pPr>
      <w:r>
        <w:rPr>
          <w:rFonts w:ascii="Calibri" w:hAnsi="Calibri" w:cs="Calibri"/>
        </w:rPr>
        <w:t xml:space="preserve"> 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7</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5</w:t>
      </w:r>
      <w:r>
        <w:rPr>
          <w:rFonts w:ascii="Calibri" w:hAnsi="Calibri" w:cs="Calibri"/>
        </w:rPr>
        <w:fldChar w:fldCharType="end"/>
      </w:r>
      <w:r>
        <w:rPr>
          <w:rFonts w:asciiTheme="minorHAnsi" w:hAnsiTheme="minorHAnsi" w:cstheme="minorHAnsi"/>
        </w:rPr>
        <w:t xml:space="preserve"> Installing the GSD file</w:t>
      </w:r>
    </w:p>
    <w:p w14:paraId="06DBD11A">
      <w:pPr>
        <w:spacing w:after="240"/>
        <w:rPr>
          <w:rFonts w:cstheme="minorHAnsi"/>
        </w:rPr>
      </w:pPr>
      <w:r>
        <w:rPr>
          <w:rFonts w:cstheme="minorHAnsi"/>
        </w:rPr>
        <w:t>After the GSD file is successfully installed, the newly installed PA device will be listed in the PROFIBUS-PA category in the device list on the right side of the HW Config software. Select it with the mouse and drag and drop it onto the PROFIBS DP bus, see Figure 7.6.</w:t>
      </w:r>
    </w:p>
    <w:p w14:paraId="39F182A0">
      <w:pPr>
        <w:keepNext/>
        <w:spacing w:after="240"/>
        <w:jc w:val="center"/>
        <w:rPr>
          <w:rFonts w:cstheme="minorHAnsi"/>
        </w:rPr>
      </w:pPr>
      <w:r>
        <w:rPr>
          <w:rFonts w:cstheme="minorHAnsi"/>
        </w:rPr>
        <mc:AlternateContent>
          <mc:Choice Requires="wps">
            <w:drawing>
              <wp:anchor distT="0" distB="0" distL="114300" distR="114300" simplePos="0" relativeHeight="251663360" behindDoc="0" locked="0" layoutInCell="1" allowOverlap="1">
                <wp:simplePos x="0" y="0"/>
                <wp:positionH relativeFrom="column">
                  <wp:posOffset>1555115</wp:posOffset>
                </wp:positionH>
                <wp:positionV relativeFrom="paragraph">
                  <wp:posOffset>1375410</wp:posOffset>
                </wp:positionV>
                <wp:extent cx="1695450" cy="520700"/>
                <wp:effectExtent l="0" t="0" r="0" b="0"/>
                <wp:wrapNone/>
                <wp:docPr id="12" name="Text Box 1950"/>
                <wp:cNvGraphicFramePr/>
                <a:graphic xmlns:a="http://schemas.openxmlformats.org/drawingml/2006/main">
                  <a:graphicData uri="http://schemas.microsoft.com/office/word/2010/wordprocessingShape">
                    <wps:wsp>
                      <wps:cNvSpPr txBox="1">
                        <a:spLocks noChangeArrowheads="1"/>
                      </wps:cNvSpPr>
                      <wps:spPr bwMode="auto">
                        <a:xfrm>
                          <a:off x="0" y="0"/>
                          <a:ext cx="1695450" cy="520700"/>
                        </a:xfrm>
                        <a:prstGeom prst="rect">
                          <a:avLst/>
                        </a:prstGeom>
                        <a:noFill/>
                        <a:ln>
                          <a:noFill/>
                        </a:ln>
                      </wps:spPr>
                      <wps:txbx>
                        <w:txbxContent>
                          <w:p w14:paraId="446FD1B1">
                            <w:pPr>
                              <w:spacing w:after="240"/>
                              <w:jc w:val="distribute"/>
                              <w:rPr>
                                <w:rFonts w:ascii="Calibri" w:hAnsi="Calibri" w:cs="Calibri"/>
                                <w:color w:val="FF0000"/>
                                <w:sz w:val="16"/>
                                <w:szCs w:val="16"/>
                              </w:rPr>
                            </w:pPr>
                            <w:r>
                              <w:rPr>
                                <w:rFonts w:ascii="Calibri" w:hAnsi="Calibri" w:cs="Calibri"/>
                                <w:color w:val="FF0000"/>
                                <w:sz w:val="16"/>
                                <w:szCs w:val="16"/>
                              </w:rPr>
                              <w:t>After the GSD file is installed, the PA instrument is displayed in the PROFIBS-PA directory</w:t>
                            </w:r>
                          </w:p>
                        </w:txbxContent>
                      </wps:txbx>
                      <wps:bodyPr rot="0" vert="horz" wrap="square" lIns="91440" tIns="45720" rIns="91440" bIns="45720" anchor="t" anchorCtr="0" upright="1">
                        <a:noAutofit/>
                      </wps:bodyPr>
                    </wps:wsp>
                  </a:graphicData>
                </a:graphic>
              </wp:anchor>
            </w:drawing>
          </mc:Choice>
          <mc:Fallback>
            <w:pict>
              <v:shape id="Text Box 1950" o:spid="_x0000_s1026" o:spt="202" type="#_x0000_t202" style="position:absolute;left:0pt;margin-left:122.45pt;margin-top:108.3pt;height:41pt;width:133.5pt;z-index:251663360;mso-width-relative:page;mso-height-relative:page;" filled="f" stroked="f" coordsize="21600,21600" o:gfxdata="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D6SlvXAAAACwEAAA8AAAAAAAAAAQAgAAAAIgAA&#10;AGRycy9kb3ducmV2LnhtbFBLAQIUABQAAAAIAIdO4kDS0t+7CQIAABgEAAAOAAAAAAAAAAEAIAAA&#10;ACYBAABkcnMvZTJvRG9jLnhtbFBLBQYAAAAABgAGAFkBAAChBQAAAAA=&#10;">
                <v:fill on="f" focussize="0,0"/>
                <v:stroke on="f"/>
                <v:imagedata o:title=""/>
                <o:lock v:ext="edit" aspectratio="f"/>
                <v:textbox>
                  <w:txbxContent>
                    <w:p w14:paraId="446FD1B1">
                      <w:pPr>
                        <w:spacing w:after="240"/>
                        <w:jc w:val="distribute"/>
                        <w:rPr>
                          <w:rFonts w:ascii="Calibri" w:hAnsi="Calibri" w:cs="Calibri"/>
                          <w:color w:val="FF0000"/>
                          <w:sz w:val="16"/>
                          <w:szCs w:val="16"/>
                        </w:rPr>
                      </w:pPr>
                      <w:r>
                        <w:rPr>
                          <w:rFonts w:ascii="Calibri" w:hAnsi="Calibri" w:cs="Calibri"/>
                          <w:color w:val="FF0000"/>
                          <w:sz w:val="16"/>
                          <w:szCs w:val="16"/>
                        </w:rPr>
                        <w:t>After the GSD file is installed, the PA instrument is displayed in the PROFIBS-PA directory</w:t>
                      </w:r>
                    </w:p>
                  </w:txbxContent>
                </v:textbox>
              </v:shape>
            </w:pict>
          </mc:Fallback>
        </mc:AlternateContent>
      </w:r>
      <w:r>
        <w:rPr>
          <w:rFonts w:cstheme="minorHAnsi"/>
        </w:rPr>
        <mc:AlternateContent>
          <mc:Choice Requires="wps">
            <w:drawing>
              <wp:anchor distT="0" distB="0" distL="114300" distR="114300" simplePos="0" relativeHeight="251662336" behindDoc="0" locked="0" layoutInCell="1" allowOverlap="1">
                <wp:simplePos x="0" y="0"/>
                <wp:positionH relativeFrom="column">
                  <wp:posOffset>3260090</wp:posOffset>
                </wp:positionH>
                <wp:positionV relativeFrom="paragraph">
                  <wp:posOffset>1640205</wp:posOffset>
                </wp:positionV>
                <wp:extent cx="737235" cy="13335"/>
                <wp:effectExtent l="0" t="57150" r="25400" b="100965"/>
                <wp:wrapNone/>
                <wp:docPr id="11" name="Line 1949"/>
                <wp:cNvGraphicFramePr/>
                <a:graphic xmlns:a="http://schemas.openxmlformats.org/drawingml/2006/main">
                  <a:graphicData uri="http://schemas.microsoft.com/office/word/2010/wordprocessingShape">
                    <wps:wsp>
                      <wps:cNvCnPr>
                        <a:cxnSpLocks noChangeShapeType="1"/>
                      </wps:cNvCnPr>
                      <wps:spPr bwMode="auto">
                        <a:xfrm flipH="1" flipV="1">
                          <a:off x="0" y="0"/>
                          <a:ext cx="736979" cy="13648"/>
                        </a:xfrm>
                        <a:prstGeom prst="line">
                          <a:avLst/>
                        </a:prstGeom>
                        <a:noFill/>
                        <a:ln w="19050">
                          <a:solidFill>
                            <a:srgbClr val="FF0000"/>
                          </a:solidFill>
                          <a:round/>
                          <a:headEnd type="triangle" w="med" len="med"/>
                        </a:ln>
                      </wps:spPr>
                      <wps:bodyPr/>
                    </wps:wsp>
                  </a:graphicData>
                </a:graphic>
              </wp:anchor>
            </w:drawing>
          </mc:Choice>
          <mc:Fallback>
            <w:pict>
              <v:line id="Line 1949" o:spid="_x0000_s1026" o:spt="20" style="position:absolute;left:0pt;flip:x y;margin-left:256.7pt;margin-top:129.15pt;height:1.05pt;width:58.05pt;z-index:251662336;mso-width-relative:page;mso-height-relative:page;" filled="f" stroked="t" coordsize="21600,21600" o:gfxdata="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zBYG9kAAAALAQAADwAAAAAAAAABACAAAAAiAAAAZHJzL2Rvd25yZXYueG1s&#10;UEsBAhQAFAAAAAgAh07iQBuPeqT3AQAA6QMAAA4AAAAAAAAAAQAgAAAAKAEAAGRycy9lMm9Eb2Mu&#10;eG1sUEsFBgAAAAAGAAYAWQEAAJEFAAAAAA==&#10;">
                <v:fill on="f" focussize="0,0"/>
                <v:stroke weight="1.5pt" color="#FF0000" joinstyle="round" startarrow="block"/>
                <v:imagedata o:title=""/>
                <o:lock v:ext="edit" aspectratio="f"/>
              </v:line>
            </w:pict>
          </mc:Fallback>
        </mc:AlternateContent>
      </w:r>
      <w:r>
        <w:rPr>
          <w:rFonts w:cstheme="minorHAnsi"/>
        </w:rPr>
        <w:drawing>
          <wp:inline distT="0" distB="0" distL="0" distR="0">
            <wp:extent cx="3749675" cy="2613025"/>
            <wp:effectExtent l="0" t="0" r="317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83"/>
                    <a:srcRect l="23579" t="11652" r="26613" b="23950"/>
                    <a:stretch>
                      <a:fillRect/>
                    </a:stretch>
                  </pic:blipFill>
                  <pic:spPr>
                    <a:xfrm>
                      <a:off x="0" y="0"/>
                      <a:ext cx="3772790" cy="2629267"/>
                    </a:xfrm>
                    <a:prstGeom prst="rect">
                      <a:avLst/>
                    </a:prstGeom>
                    <a:ln>
                      <a:noFill/>
                    </a:ln>
                  </pic:spPr>
                </pic:pic>
              </a:graphicData>
            </a:graphic>
          </wp:inline>
        </w:drawing>
      </w:r>
    </w:p>
    <w:p w14:paraId="012D061A">
      <w:pPr>
        <w:pStyle w:val="12"/>
        <w:spacing w:before="120" w:after="120"/>
        <w:rPr>
          <w:rFonts w:asciiTheme="minorHAnsi" w:hAnsiTheme="minorHAnsi" w:cstheme="minorHAnsi"/>
          <w:szCs w:val="21"/>
        </w:rPr>
      </w:pPr>
      <w:r>
        <w:rPr>
          <w:rFonts w:ascii="Calibri" w:hAnsi="Calibri" w:cs="Calibri"/>
        </w:rPr>
        <w:t xml:space="preserve"> 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7</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6</w:t>
      </w:r>
      <w:r>
        <w:rPr>
          <w:rFonts w:ascii="Calibri" w:hAnsi="Calibri" w:cs="Calibri"/>
        </w:rPr>
        <w:fldChar w:fldCharType="end"/>
      </w:r>
      <w:r>
        <w:rPr>
          <w:rFonts w:asciiTheme="minorHAnsi" w:hAnsiTheme="minorHAnsi" w:cstheme="minorHAnsi"/>
        </w:rPr>
        <w:t xml:space="preserve"> Drag the PA devices to the PROFIBUS DP bus</w:t>
      </w:r>
    </w:p>
    <w:p w14:paraId="374FBBFB">
      <w:pPr>
        <w:pStyle w:val="40"/>
        <w:spacing w:after="240" w:line="240" w:lineRule="auto"/>
        <w:ind w:left="0"/>
        <w:rPr>
          <w:rFonts w:cstheme="minorHAnsi"/>
          <w:sz w:val="21"/>
          <w:szCs w:val="21"/>
        </w:rPr>
      </w:pPr>
      <w:r>
        <w:rPr>
          <w:rFonts w:cstheme="minorHAnsi"/>
        </w:rPr>
        <w:drawing>
          <wp:anchor distT="0" distB="0" distL="114300" distR="114300" simplePos="0" relativeHeight="251664384" behindDoc="0" locked="0" layoutInCell="1" allowOverlap="1">
            <wp:simplePos x="0" y="0"/>
            <wp:positionH relativeFrom="column">
              <wp:posOffset>1142365</wp:posOffset>
            </wp:positionH>
            <wp:positionV relativeFrom="page">
              <wp:posOffset>4760595</wp:posOffset>
            </wp:positionV>
            <wp:extent cx="3603625" cy="2527300"/>
            <wp:effectExtent l="0" t="0" r="3810" b="635"/>
            <wp:wrapTopAndBottom/>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84">
                      <a:extLst>
                        <a:ext uri="{28A0092B-C50C-407E-A947-70E740481C1C}">
                          <a14:useLocalDpi xmlns:a14="http://schemas.microsoft.com/office/drawing/2010/main" val="0"/>
                        </a:ext>
                      </a:extLst>
                    </a:blip>
                    <a:srcRect l="23579" t="11413" r="26717" b="23943"/>
                    <a:stretch>
                      <a:fillRect/>
                    </a:stretch>
                  </pic:blipFill>
                  <pic:spPr>
                    <a:xfrm>
                      <a:off x="0" y="0"/>
                      <a:ext cx="3603600" cy="2527200"/>
                    </a:xfrm>
                    <a:prstGeom prst="rect">
                      <a:avLst/>
                    </a:prstGeom>
                    <a:ln>
                      <a:noFill/>
                    </a:ln>
                  </pic:spPr>
                </pic:pic>
              </a:graphicData>
            </a:graphic>
          </wp:anchor>
        </w:drawing>
      </w:r>
      <w:r>
        <w:rPr>
          <w:rFonts w:cstheme="minorHAnsi"/>
          <w:sz w:val="21"/>
          <w:szCs w:val="21"/>
        </w:rPr>
        <w:t>In the PLC menu, select Download to download the configuration information to the PLC master station. This completes the cyclic data communication configuration of PA instrument and main station, as Figure 7.7.</w:t>
      </w:r>
    </w:p>
    <w:p w14:paraId="08EB704B">
      <w:pPr>
        <w:pStyle w:val="40"/>
        <w:spacing w:after="240" w:line="240" w:lineRule="auto"/>
        <w:ind w:left="0"/>
        <w:rPr>
          <w:rFonts w:cstheme="minorHAnsi"/>
          <w:sz w:val="21"/>
          <w:szCs w:val="21"/>
        </w:rPr>
      </w:pPr>
    </w:p>
    <w:p w14:paraId="4B3F9F99">
      <w:pPr>
        <w:pStyle w:val="12"/>
        <w:spacing w:before="120" w:after="120"/>
        <w:rPr>
          <w:rFonts w:asciiTheme="minorHAnsi" w:hAnsiTheme="minorHAnsi" w:cstheme="minorHAnsi"/>
          <w:szCs w:val="21"/>
        </w:rPr>
      </w:pPr>
      <w:r>
        <w:rPr>
          <w:rFonts w:asciiTheme="minorHAnsi" w:hAnsiTheme="minorHAnsi" w:cstheme="minorHAnsi"/>
        </w:rPr>
        <w:t xml:space="preserve"> 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Figure \* ARABIC \s 1 </w:instrText>
      </w:r>
      <w:r>
        <w:rPr>
          <w:rFonts w:asciiTheme="minorHAnsi" w:hAnsiTheme="minorHAnsi" w:cstheme="minorHAnsi"/>
        </w:rPr>
        <w:fldChar w:fldCharType="separate"/>
      </w:r>
      <w:r>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 xml:space="preserve"> Download the configuration information to the PLC</w:t>
      </w:r>
    </w:p>
    <w:p w14:paraId="62DA8CD1">
      <w:pPr>
        <w:pStyle w:val="4"/>
        <w:spacing w:before="120" w:beforeLines="50" w:after="120" w:afterLines="50"/>
        <w:rPr>
          <w:rFonts w:asciiTheme="minorHAnsi" w:hAnsiTheme="minorHAnsi" w:cstheme="minorHAnsi"/>
        </w:rPr>
      </w:pPr>
      <w:bookmarkStart w:id="151" w:name="_Toc199429835"/>
      <w:r>
        <w:rPr>
          <w:rFonts w:asciiTheme="minorHAnsi" w:hAnsiTheme="minorHAnsi" w:cstheme="minorHAnsi"/>
        </w:rPr>
        <w:t>The PROFIBUS Non-loop Data Communication Configuration</w:t>
      </w:r>
      <w:bookmarkEnd w:id="151"/>
    </w:p>
    <w:p w14:paraId="75591EC4">
      <w:pPr>
        <w:spacing w:after="240"/>
        <w:rPr>
          <w:rFonts w:cstheme="minorHAnsi"/>
        </w:rPr>
      </w:pPr>
      <w:r>
        <w:rPr>
          <w:rFonts w:cstheme="minorHAnsi"/>
        </w:rPr>
        <w:t>Uncyclic data communication of PROFIBUS DP refers to the connection-oriented data communication between class 2 master stations and slave stations.The data communication is performed in the non-cyclic period of the bus without affecting the cyclic data communication.Non-cyclic data is mainly the parameters of PA function block and the identification and diagnosis information of equipment.Non-cyclic data communication is mainly used in the management, diagnosis, identification, tuning and maintenance of PA equipment.</w:t>
      </w:r>
    </w:p>
    <w:p w14:paraId="76FE342B">
      <w:pPr>
        <w:spacing w:after="240"/>
        <w:rPr>
          <w:rFonts w:cstheme="minorHAnsi"/>
        </w:rPr>
      </w:pPr>
      <w:r>
        <w:rPr>
          <w:rFonts w:cstheme="minorHAnsi"/>
        </w:rPr>
        <w:t>Uncyclic data communication configuration can be performed on PA instruments through Siemens equipment management software SIMATIC PDM.</w:t>
      </w:r>
    </w:p>
    <w:p w14:paraId="11245647">
      <w:pPr>
        <w:spacing w:after="240"/>
        <w:rPr>
          <w:rFonts w:cstheme="minorHAnsi"/>
        </w:rPr>
      </w:pPr>
      <w:r>
        <w:rPr>
          <w:rFonts w:cstheme="minorHAnsi"/>
        </w:rPr>
        <w:t>Examples of SIMATIC PDM uncyclic communication configuration for PA intelligent transmitters are given below.</w:t>
      </w:r>
    </w:p>
    <w:p w14:paraId="3A0E90A0">
      <w:pPr>
        <w:spacing w:after="240"/>
        <w:rPr>
          <w:rFonts w:cstheme="minorHAnsi"/>
        </w:rPr>
      </w:pPr>
      <w:r>
        <w:rPr>
          <w:rFonts w:cstheme="minorHAnsi"/>
        </w:rPr>
        <w:t>Before configuration, the vendor information should be piloted</w:t>
      </w:r>
    </w:p>
    <w:p w14:paraId="5BCF11C1">
      <w:pPr>
        <w:spacing w:after="240"/>
        <w:rPr>
          <w:rFonts w:cstheme="minorHAnsi"/>
        </w:rPr>
      </w:pPr>
      <w:r>
        <w:rPr>
          <w:rFonts w:cstheme="minorHAnsi"/>
        </w:rPr>
        <w:t>Find the manufacturer.csv file under the... \ Siemens \ Step7 \ S7BIN path</w:t>
      </w:r>
    </w:p>
    <w:p w14:paraId="31E90BD4">
      <w:pPr>
        <w:spacing w:after="240"/>
        <w:rPr>
          <w:rFonts w:cstheme="minorHAnsi"/>
        </w:rPr>
      </w:pPr>
      <w:r>
        <w:rPr>
          <w:rFonts w:cstheme="minorHAnsi"/>
        </w:rPr>
        <w:t>Add “Microcyber;;http://www.microcyber.cn/;;;MICROCYBER;0x016C”</w:t>
      </w:r>
    </w:p>
    <w:p w14:paraId="5477A160">
      <w:pPr>
        <w:spacing w:after="240"/>
        <w:rPr>
          <w:rStyle w:val="70"/>
          <w:rFonts w:hint="default" w:asciiTheme="minorHAnsi" w:hAnsiTheme="minorHAnsi" w:cstheme="minorHAnsi"/>
          <w:sz w:val="21"/>
          <w:szCs w:val="21"/>
        </w:rPr>
      </w:pPr>
      <w:r>
        <w:rPr>
          <w:rFonts w:cstheme="minorHAnsi"/>
        </w:rPr>
        <w:t>Open the Manage Device catalog software attached to SIMATIC PDM, then select the EDD file of PT105 and import it, as Figure 7.8.</w:t>
      </w:r>
    </w:p>
    <w:p w14:paraId="0C76C628">
      <w:pPr>
        <w:pStyle w:val="40"/>
        <w:keepNext/>
        <w:spacing w:after="240" w:line="240" w:lineRule="auto"/>
        <w:ind w:left="0" w:firstLine="560" w:firstLineChars="200"/>
        <w:jc w:val="center"/>
        <w:rPr>
          <w:rFonts w:cstheme="minorHAnsi"/>
        </w:rPr>
      </w:pPr>
      <w:r>
        <w:rPr>
          <w:rFonts w:cstheme="minorHAnsi"/>
        </w:rPr>
        <w:drawing>
          <wp:inline distT="0" distB="0" distL="0" distR="0">
            <wp:extent cx="3343275" cy="2555875"/>
            <wp:effectExtent l="0" t="0" r="952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85">
                      <a:extLst>
                        <a:ext uri="{28A0092B-C50C-407E-A947-70E740481C1C}">
                          <a14:useLocalDpi xmlns:a14="http://schemas.microsoft.com/office/drawing/2010/main" val="0"/>
                        </a:ext>
                      </a:extLst>
                    </a:blip>
                    <a:srcRect l="29530" t="22895" r="30690" b="20680"/>
                    <a:stretch>
                      <a:fillRect/>
                    </a:stretch>
                  </pic:blipFill>
                  <pic:spPr>
                    <a:xfrm>
                      <a:off x="0" y="0"/>
                      <a:ext cx="3343275" cy="2555875"/>
                    </a:xfrm>
                    <a:prstGeom prst="rect">
                      <a:avLst/>
                    </a:prstGeom>
                    <a:ln>
                      <a:noFill/>
                    </a:ln>
                  </pic:spPr>
                </pic:pic>
              </a:graphicData>
            </a:graphic>
          </wp:inline>
        </w:drawing>
      </w:r>
    </w:p>
    <w:p w14:paraId="439C9DAF">
      <w:pPr>
        <w:pStyle w:val="12"/>
        <w:spacing w:before="120" w:after="120"/>
        <w:rPr>
          <w:rStyle w:val="70"/>
          <w:rFonts w:hint="default" w:asciiTheme="minorHAnsi" w:hAnsiTheme="minorHAnsi" w:cstheme="minorHAnsi"/>
        </w:rPr>
      </w:pPr>
      <w:r>
        <w:rPr>
          <w:rFonts w:asciiTheme="minorHAnsi" w:hAnsiTheme="minorHAnsi" w:cstheme="minorHAnsi"/>
        </w:rPr>
        <w:t xml:space="preserve"> 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Figure \* ARABIC \s 1 </w:instrText>
      </w:r>
      <w:r>
        <w:rPr>
          <w:rFonts w:asciiTheme="minorHAnsi" w:hAnsiTheme="minorHAnsi" w:cstheme="minorHAnsi"/>
        </w:rPr>
        <w:fldChar w:fldCharType="separate"/>
      </w:r>
      <w:r>
        <w:rPr>
          <w:rFonts w:asciiTheme="minorHAnsi" w:hAnsiTheme="minorHAnsi" w:cstheme="minorHAnsi"/>
        </w:rPr>
        <w:t>8</w:t>
      </w:r>
      <w:r>
        <w:rPr>
          <w:rFonts w:asciiTheme="minorHAnsi" w:hAnsiTheme="minorHAnsi" w:cstheme="minorHAnsi"/>
        </w:rPr>
        <w:fldChar w:fldCharType="end"/>
      </w:r>
      <w:r>
        <w:rPr>
          <w:rFonts w:asciiTheme="minorHAnsi" w:hAnsiTheme="minorHAnsi" w:cstheme="minorHAnsi"/>
        </w:rPr>
        <w:t xml:space="preserve"> Select a Device Type</w:t>
      </w:r>
    </w:p>
    <w:p w14:paraId="6A5A2268">
      <w:pPr>
        <w:spacing w:after="240"/>
        <w:rPr>
          <w:rFonts w:cstheme="minorHAnsi"/>
        </w:rPr>
      </w:pPr>
      <w:r>
        <w:rPr>
          <w:rFonts w:cstheme="minorHAnsi"/>
        </w:rPr>
        <w:t>Then open the LifeList software included with SIMATIC PDM and select the Start Scan DP bus under the Scan menu, see Figure 7.9.</w:t>
      </w:r>
    </w:p>
    <w:p w14:paraId="1EE6D5D6">
      <w:pPr>
        <w:keepNext/>
        <w:spacing w:after="240"/>
        <w:jc w:val="center"/>
        <w:rPr>
          <w:rFonts w:cstheme="minorHAnsi"/>
        </w:rPr>
      </w:pPr>
      <w:r>
        <w:rPr>
          <w:rFonts w:cstheme="minorHAnsi"/>
        </w:rPr>
        <w:drawing>
          <wp:inline distT="0" distB="0" distL="0" distR="0">
            <wp:extent cx="4799330" cy="1514475"/>
            <wp:effectExtent l="0" t="0" r="127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86">
                      <a:extLst>
                        <a:ext uri="{28A0092B-C50C-407E-A947-70E740481C1C}">
                          <a14:useLocalDpi xmlns:a14="http://schemas.microsoft.com/office/drawing/2010/main" val="0"/>
                        </a:ext>
                      </a:extLst>
                    </a:blip>
                    <a:srcRect b="53059"/>
                    <a:stretch>
                      <a:fillRect/>
                    </a:stretch>
                  </pic:blipFill>
                  <pic:spPr>
                    <a:xfrm>
                      <a:off x="0" y="0"/>
                      <a:ext cx="4934172" cy="1557328"/>
                    </a:xfrm>
                    <a:prstGeom prst="rect">
                      <a:avLst/>
                    </a:prstGeom>
                    <a:noFill/>
                    <a:ln>
                      <a:noFill/>
                    </a:ln>
                  </pic:spPr>
                </pic:pic>
              </a:graphicData>
            </a:graphic>
          </wp:inline>
        </w:drawing>
      </w:r>
    </w:p>
    <w:p w14:paraId="18A6355B">
      <w:pPr>
        <w:pStyle w:val="12"/>
        <w:spacing w:before="120" w:after="120"/>
        <w:rPr>
          <w:rFonts w:asciiTheme="minorHAnsi" w:hAnsiTheme="minorHAnsi" w:cstheme="minorHAnsi"/>
          <w:szCs w:val="21"/>
        </w:rPr>
      </w:pPr>
      <w:r>
        <w:rPr>
          <w:rFonts w:ascii="Calibri" w:hAnsi="Calibri" w:cs="Calibri"/>
        </w:rPr>
        <w:t xml:space="preserve"> 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7</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9</w:t>
      </w:r>
      <w:r>
        <w:rPr>
          <w:rFonts w:ascii="Calibri" w:hAnsi="Calibri" w:cs="Calibri"/>
        </w:rPr>
        <w:fldChar w:fldCharType="end"/>
      </w:r>
      <w:r>
        <w:rPr>
          <w:rFonts w:ascii="Calibri" w:hAnsi="Calibri" w:cs="Calibri"/>
        </w:rPr>
        <w:t xml:space="preserve"> </w:t>
      </w:r>
      <w:r>
        <w:rPr>
          <w:rFonts w:asciiTheme="minorHAnsi" w:hAnsiTheme="minorHAnsi" w:cstheme="minorHAnsi"/>
        </w:rPr>
        <w:t>Startup of the LifeList</w:t>
      </w:r>
    </w:p>
    <w:p w14:paraId="3B59A9E4">
      <w:pPr>
        <w:spacing w:after="240"/>
        <w:rPr>
          <w:rFonts w:cstheme="minorHAnsi"/>
        </w:rPr>
      </w:pPr>
      <w:r>
        <w:rPr>
          <w:rFonts w:cstheme="minorHAnsi"/>
        </w:rPr>
        <w:t>After scanning the bus, the slave equipment on the DP bus will be listed, showing the manufacturer ID number and some diagnostic information of the device, see Figure 7.10.</w:t>
      </w:r>
    </w:p>
    <w:p w14:paraId="79D774C1">
      <w:pPr>
        <w:keepNext/>
        <w:spacing w:after="240"/>
        <w:jc w:val="center"/>
        <w:rPr>
          <w:rFonts w:cstheme="minorHAnsi"/>
        </w:rPr>
      </w:pPr>
      <w:r>
        <w:rPr>
          <w:rFonts w:cstheme="minorHAnsi"/>
        </w:rPr>
        <w:drawing>
          <wp:inline distT="0" distB="0" distL="0" distR="0">
            <wp:extent cx="4741545" cy="1692275"/>
            <wp:effectExtent l="0" t="0" r="1905" b="3175"/>
            <wp:docPr id="52" name="图片 52"/>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rrowheads="1"/>
                    </pic:cNvPicPr>
                  </pic:nvPicPr>
                  <pic:blipFill>
                    <a:blip r:embed="rId87">
                      <a:extLst>
                        <a:ext uri="{28A0092B-C50C-407E-A947-70E740481C1C}">
                          <a14:useLocalDpi xmlns:a14="http://schemas.microsoft.com/office/drawing/2010/main" val="0"/>
                        </a:ext>
                      </a:extLst>
                    </a:blip>
                    <a:srcRect r="7284" b="48963"/>
                    <a:stretch>
                      <a:fillRect/>
                    </a:stretch>
                  </pic:blipFill>
                  <pic:spPr>
                    <a:xfrm>
                      <a:off x="0" y="0"/>
                      <a:ext cx="4863795" cy="1735758"/>
                    </a:xfrm>
                    <a:prstGeom prst="rect">
                      <a:avLst/>
                    </a:prstGeom>
                    <a:noFill/>
                    <a:ln>
                      <a:noFill/>
                    </a:ln>
                  </pic:spPr>
                </pic:pic>
              </a:graphicData>
            </a:graphic>
          </wp:inline>
        </w:drawing>
      </w:r>
    </w:p>
    <w:p w14:paraId="59A703A7">
      <w:pPr>
        <w:pStyle w:val="12"/>
        <w:spacing w:before="120" w:after="120"/>
        <w:rPr>
          <w:rFonts w:asciiTheme="minorHAnsi" w:hAnsiTheme="minorHAnsi" w:cstheme="minorHAnsi"/>
          <w:szCs w:val="21"/>
        </w:rPr>
      </w:pPr>
      <w:r>
        <w:rPr>
          <w:rFonts w:asciiTheme="minorHAnsi" w:hAnsiTheme="minorHAnsi" w:cstheme="minorHAnsi"/>
          <w:szCs w:val="18"/>
        </w:rPr>
        <w:t xml:space="preserve"> </w:t>
      </w:r>
      <w:r>
        <w:rPr>
          <w:rFonts w:ascii="Calibri" w:hAnsi="Calibri" w:cs="Calibri"/>
        </w:rPr>
        <w:t xml:space="preserve">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7</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10</w:t>
      </w:r>
      <w:r>
        <w:rPr>
          <w:rFonts w:ascii="Calibri" w:hAnsi="Calibri" w:cs="Calibri"/>
        </w:rPr>
        <w:fldChar w:fldCharType="end"/>
      </w:r>
      <w:r>
        <w:rPr>
          <w:rFonts w:ascii="Calibri" w:hAnsi="Calibri" w:cs="Calibri"/>
          <w:szCs w:val="18"/>
        </w:rPr>
        <w:t xml:space="preserve"> Th</w:t>
      </w:r>
      <w:r>
        <w:rPr>
          <w:rFonts w:asciiTheme="minorHAnsi" w:hAnsiTheme="minorHAnsi" w:cstheme="minorHAnsi"/>
          <w:szCs w:val="18"/>
        </w:rPr>
        <w:t>e Scan DP bus lists the PA devices</w:t>
      </w:r>
    </w:p>
    <w:p w14:paraId="7743FB1A">
      <w:pPr>
        <w:spacing w:after="240"/>
        <w:rPr>
          <w:rFonts w:cstheme="minorHAnsi"/>
        </w:rPr>
      </w:pPr>
      <w:r>
        <w:rPr>
          <w:rFonts w:cstheme="minorHAnsi"/>
        </w:rPr>
        <w:t>After selecting the device type, click OK, so that the non-loop data communication is configured. The parameter reading and writing of the PA instrument can be completed through the upload and download function of the PDM software, see Figure 7.11.</w:t>
      </w:r>
    </w:p>
    <w:p w14:paraId="060501B2">
      <w:pPr>
        <w:spacing w:after="240"/>
        <w:ind w:firstLine="420"/>
        <w:rPr>
          <w:rFonts w:cstheme="minorHAnsi"/>
        </w:rPr>
      </w:pPr>
    </w:p>
    <w:p w14:paraId="091EB6D9">
      <w:pPr>
        <w:keepNext/>
        <w:spacing w:after="240"/>
        <w:jc w:val="center"/>
        <w:rPr>
          <w:rFonts w:cstheme="minorHAnsi"/>
        </w:rPr>
      </w:pPr>
      <w:r>
        <w:rPr>
          <w:rFonts w:cstheme="minorHAnsi"/>
        </w:rPr>
        <w:drawing>
          <wp:inline distT="0" distB="0" distL="0" distR="0">
            <wp:extent cx="4342130" cy="3459480"/>
            <wp:effectExtent l="0" t="0" r="1270" b="762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88"/>
                    <a:srcRect l="21486" t="7768" r="24296" b="12089"/>
                    <a:stretch>
                      <a:fillRect/>
                    </a:stretch>
                  </pic:blipFill>
                  <pic:spPr>
                    <a:xfrm>
                      <a:off x="0" y="0"/>
                      <a:ext cx="4382529" cy="3491771"/>
                    </a:xfrm>
                    <a:prstGeom prst="rect">
                      <a:avLst/>
                    </a:prstGeom>
                    <a:ln>
                      <a:noFill/>
                    </a:ln>
                  </pic:spPr>
                </pic:pic>
              </a:graphicData>
            </a:graphic>
          </wp:inline>
        </w:drawing>
      </w:r>
    </w:p>
    <w:p w14:paraId="7A596A9C">
      <w:pPr>
        <w:pStyle w:val="12"/>
        <w:spacing w:before="120" w:after="120"/>
        <w:rPr>
          <w:rFonts w:asciiTheme="minorHAnsi" w:hAnsiTheme="minorHAnsi" w:cstheme="minorHAnsi"/>
          <w:szCs w:val="21"/>
        </w:rPr>
      </w:pPr>
      <w:r>
        <w:rPr>
          <w:rFonts w:asciiTheme="minorHAnsi" w:hAnsiTheme="minorHAnsi" w:cstheme="minorHAnsi"/>
        </w:rPr>
        <w:t xml:space="preserve"> Figure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Figure \* ARABIC \s 1 </w:instrText>
      </w:r>
      <w:r>
        <w:rPr>
          <w:rFonts w:asciiTheme="minorHAnsi" w:hAnsiTheme="minorHAnsi" w:cstheme="minorHAnsi"/>
        </w:rPr>
        <w:fldChar w:fldCharType="separate"/>
      </w:r>
      <w:r>
        <w:rPr>
          <w:rFonts w:asciiTheme="minorHAnsi" w:hAnsiTheme="minorHAnsi" w:cstheme="minorHAnsi"/>
        </w:rPr>
        <w:t>11</w:t>
      </w:r>
      <w:r>
        <w:rPr>
          <w:rFonts w:asciiTheme="minorHAnsi" w:hAnsiTheme="minorHAnsi" w:cstheme="minorHAnsi"/>
        </w:rPr>
        <w:fldChar w:fldCharType="end"/>
      </w:r>
      <w:r>
        <w:rPr>
          <w:rFonts w:asciiTheme="minorHAnsi" w:hAnsiTheme="minorHAnsi" w:cstheme="minorHAnsi"/>
        </w:rPr>
        <w:t xml:space="preserve"> Device management with the PDM software</w:t>
      </w:r>
    </w:p>
    <w:p w14:paraId="535BE353">
      <w:pPr>
        <w:pStyle w:val="3"/>
        <w:spacing w:before="120" w:beforeLines="50" w:after="120" w:afterLines="50" w:line="240" w:lineRule="auto"/>
        <w:ind w:left="578" w:hanging="578"/>
        <w:rPr>
          <w:rFonts w:asciiTheme="minorHAnsi" w:hAnsiTheme="minorHAnsi" w:cstheme="minorHAnsi"/>
        </w:rPr>
      </w:pPr>
      <w:bookmarkStart w:id="152" w:name="_Toc199429836"/>
      <w:r>
        <w:rPr>
          <w:rFonts w:asciiTheme="minorHAnsi" w:hAnsiTheme="minorHAnsi" w:cstheme="minorHAnsi"/>
        </w:rPr>
        <w:t>Jump Line Configuration</w:t>
      </w:r>
      <w:bookmarkEnd w:id="152"/>
    </w:p>
    <w:p w14:paraId="072CBC59">
      <w:pPr>
        <w:spacing w:after="240"/>
        <w:rPr>
          <w:rFonts w:cstheme="minorHAnsi"/>
        </w:rPr>
      </w:pPr>
      <w:r>
        <w:rPr>
          <w:rFonts w:cstheme="minorHAnsi"/>
        </w:rPr>
        <w:t>The PA intelligent pressure transmitter has three hardware jumpers, two of which can currently be used, as shown in Figure 7.12, and the SIM jumpers are not used.</w:t>
      </w:r>
    </w:p>
    <w:p w14:paraId="5A4269F6">
      <w:pPr>
        <w:spacing w:after="240"/>
        <w:rPr>
          <w:rFonts w:cstheme="minorHAnsi"/>
        </w:rPr>
      </w:pPr>
      <w:r>
        <w:rPr>
          <w:rFonts w:cstheme="minorHAnsi"/>
        </w:rPr>
        <w:t>RST jumper: reset jumper to restore instrument data to factory value with the same function to restore factory value data in section 5.4.The operation process is as follows: First, turn off the instrument power supply, and then insert the jumper into the RST position to repower the instrument. Then, the LCD screen is shown in Figure 7.13, indicating that the instrument data has been restored to the factory value.</w:t>
      </w:r>
    </w:p>
    <w:p w14:paraId="40E7F515">
      <w:pPr>
        <w:spacing w:after="240"/>
        <w:rPr>
          <w:rFonts w:cstheme="minorHAnsi"/>
        </w:rPr>
      </w:pPr>
      <w:r>
        <w:rPr>
          <w:rFonts w:cstheme="minorHAnsi"/>
        </w:rPr>
        <w:t>Note: After using the reset jumper to restore the instrument factory value, please turn off the instrument power again, unplug the jumper at the RST, and then use the instrument normally.Otherwise, if there is a jumper at the RST, all the data will be restored to the factory value again, and the configuration information before the outage will be lost.</w:t>
      </w:r>
    </w:p>
    <w:p w14:paraId="1DB203FE">
      <w:pPr>
        <w:keepNext/>
        <w:spacing w:after="240"/>
        <w:jc w:val="center"/>
        <w:rPr>
          <w:rFonts w:cstheme="minorHAnsi"/>
        </w:rPr>
      </w:pPr>
      <w:r>
        <w:rPr>
          <w:rFonts w:cstheme="minorHAnsi"/>
        </w:rPr>
        <w:object>
          <v:shape id="_x0000_i1040" o:spt="75" type="#_x0000_t75" style="height:123.35pt;width:153.35pt;" o:ole="t" filled="f" o:preferrelative="t" stroked="f" coordsize="21600,21600">
            <v:path/>
            <v:fill on="f" focussize="0,0"/>
            <v:stroke on="f" joinstyle="miter"/>
            <v:imagedata r:id="rId76" o:title=""/>
            <o:lock v:ext="edit" aspectratio="t"/>
            <w10:wrap type="none"/>
            <w10:anchorlock/>
          </v:shape>
          <o:OLEObject Type="Embed" ProgID="Visio.Drawing.11" ShapeID="_x0000_i1040" DrawAspect="Content" ObjectID="_1468075740" r:id="rId89">
            <o:LockedField>false</o:LockedField>
          </o:OLEObject>
        </w:object>
      </w:r>
    </w:p>
    <w:p w14:paraId="514FE730">
      <w:pPr>
        <w:pStyle w:val="12"/>
        <w:spacing w:before="120" w:after="120"/>
        <w:rPr>
          <w:rFonts w:asciiTheme="minorHAnsi" w:hAnsiTheme="minorHAnsi" w:cstheme="minorHAnsi"/>
        </w:rPr>
      </w:pPr>
      <w:r>
        <w:rPr>
          <w:rFonts w:ascii="Calibri" w:hAnsi="Calibri" w:cs="Calibri"/>
        </w:rPr>
        <w:t xml:space="preserve"> 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7</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12</w:t>
      </w:r>
      <w:r>
        <w:rPr>
          <w:rFonts w:ascii="Calibri" w:hAnsi="Calibri" w:cs="Calibri"/>
        </w:rPr>
        <w:fldChar w:fldCharType="end"/>
      </w:r>
      <w:r>
        <w:rPr>
          <w:rFonts w:asciiTheme="minorHAnsi" w:hAnsiTheme="minorHAnsi" w:cstheme="minorHAnsi"/>
        </w:rPr>
        <w:t xml:space="preserve"> Hardware jumper of PA intelligent transmitter</w:t>
      </w:r>
    </w:p>
    <w:p w14:paraId="0164F3F5">
      <w:pPr>
        <w:keepNext/>
        <w:spacing w:after="240"/>
        <w:jc w:val="center"/>
        <w:rPr>
          <w:rFonts w:cstheme="minorHAnsi"/>
        </w:rPr>
      </w:pPr>
      <w:r>
        <w:rPr>
          <w:rFonts w:cstheme="minorHAnsi"/>
        </w:rPr>
        <w:object>
          <v:shape id="_x0000_i1041" o:spt="75" type="#_x0000_t75" style="height:115.35pt;width:318pt;" o:ole="t" filled="f" o:preferrelative="t" stroked="f" coordsize="21600,21600">
            <v:path/>
            <v:fill on="f" focussize="0,0"/>
            <v:stroke on="f" joinstyle="miter"/>
            <v:imagedata r:id="rId91" o:title=""/>
            <o:lock v:ext="edit" aspectratio="t"/>
            <w10:wrap type="none"/>
            <w10:anchorlock/>
          </v:shape>
          <o:OLEObject Type="Embed" ProgID="Visio.Drawing.11" ShapeID="_x0000_i1041" DrawAspect="Content" ObjectID="_1468075741" r:id="rId90">
            <o:LockedField>false</o:LockedField>
          </o:OLEObject>
        </w:object>
      </w:r>
    </w:p>
    <w:p w14:paraId="18EFB77A">
      <w:pPr>
        <w:pStyle w:val="12"/>
        <w:spacing w:before="120" w:after="120"/>
        <w:rPr>
          <w:rFonts w:asciiTheme="minorHAnsi" w:hAnsiTheme="minorHAnsi" w:cstheme="minorHAnsi"/>
        </w:rPr>
      </w:pPr>
      <w:r>
        <w:rPr>
          <w:rFonts w:ascii="Calibri" w:hAnsi="Calibri" w:cs="Calibri"/>
        </w:rPr>
        <w:t xml:space="preserve"> Figure </w:t>
      </w:r>
      <w:r>
        <w:rPr>
          <w:rFonts w:ascii="Calibri" w:hAnsi="Calibri" w:cs="Calibri"/>
        </w:rPr>
        <w:fldChar w:fldCharType="begin"/>
      </w:r>
      <w:r>
        <w:rPr>
          <w:rFonts w:ascii="Calibri" w:hAnsi="Calibri" w:cs="Calibri"/>
        </w:rPr>
        <w:instrText xml:space="preserve"> STYLEREF 1 \s </w:instrText>
      </w:r>
      <w:r>
        <w:rPr>
          <w:rFonts w:ascii="Calibri" w:hAnsi="Calibri" w:cs="Calibri"/>
        </w:rPr>
        <w:fldChar w:fldCharType="separate"/>
      </w:r>
      <w:r>
        <w:rPr>
          <w:rFonts w:ascii="Calibri" w:hAnsi="Calibri" w:cs="Calibri"/>
        </w:rPr>
        <w:t>7</w:t>
      </w:r>
      <w:r>
        <w:rPr>
          <w:rFonts w:ascii="Calibri" w:hAnsi="Calibri" w:cs="Calibri"/>
        </w:rPr>
        <w:fldChar w:fldCharType="end"/>
      </w:r>
      <w:r>
        <w:rPr>
          <w:rFonts w:ascii="Calibri" w:hAnsi="Calibri" w:cs="Calibri"/>
        </w:rPr>
        <w:t>.</w:t>
      </w:r>
      <w:r>
        <w:rPr>
          <w:rFonts w:ascii="Calibri" w:hAnsi="Calibri" w:cs="Calibri"/>
        </w:rPr>
        <w:fldChar w:fldCharType="begin"/>
      </w:r>
      <w:r>
        <w:rPr>
          <w:rFonts w:ascii="Calibri" w:hAnsi="Calibri" w:cs="Calibri"/>
        </w:rPr>
        <w:instrText xml:space="preserve"> SEQ Figure \* ARABIC \s 1 </w:instrText>
      </w:r>
      <w:r>
        <w:rPr>
          <w:rFonts w:ascii="Calibri" w:hAnsi="Calibri" w:cs="Calibri"/>
        </w:rPr>
        <w:fldChar w:fldCharType="separate"/>
      </w:r>
      <w:r>
        <w:rPr>
          <w:rFonts w:ascii="Calibri" w:hAnsi="Calibri" w:cs="Calibri"/>
        </w:rPr>
        <w:t>13</w:t>
      </w:r>
      <w:r>
        <w:rPr>
          <w:rFonts w:ascii="Calibri" w:hAnsi="Calibri" w:cs="Calibri"/>
        </w:rPr>
        <w:fldChar w:fldCharType="end"/>
      </w:r>
      <w:r>
        <w:rPr>
          <w:rFonts w:ascii="Calibri" w:hAnsi="Calibri" w:cs="Calibri"/>
        </w:rPr>
        <w:t xml:space="preserve"> </w:t>
      </w:r>
      <w:r>
        <w:rPr>
          <w:rFonts w:asciiTheme="minorHAnsi" w:hAnsiTheme="minorHAnsi" w:cstheme="minorHAnsi"/>
        </w:rPr>
        <w:t>PA intelligent transmitter recovery data to the factory value</w:t>
      </w:r>
    </w:p>
    <w:p w14:paraId="3F5E8303">
      <w:pPr>
        <w:pStyle w:val="40"/>
        <w:spacing w:after="240" w:line="240" w:lineRule="auto"/>
        <w:ind w:left="0"/>
        <w:rPr>
          <w:rFonts w:cstheme="minorHAnsi"/>
          <w:sz w:val="21"/>
          <w:szCs w:val="21"/>
        </w:rPr>
        <w:sectPr>
          <w:pgSz w:w="11907" w:h="16840"/>
          <w:pgMar w:top="1554" w:right="1077" w:bottom="1134" w:left="1077" w:header="680" w:footer="680" w:gutter="0"/>
          <w:cols w:space="425" w:num="1"/>
          <w:docGrid w:linePitch="312" w:charSpace="48128"/>
        </w:sectPr>
      </w:pPr>
      <w:r>
        <w:rPr>
          <w:rFonts w:cstheme="minorHAnsi"/>
          <w:sz w:val="21"/>
          <w:szCs w:val="21"/>
        </w:rPr>
        <w:t>WP jumper: write protection jumper, to realize the hardware write protection function.When the jumper is inserted into the WP position, any writing to the PA intelligent transmitter is rejected, preventing the data of the instrument from being changed</w:t>
      </w:r>
    </w:p>
    <w:bookmarkEnd w:id="98"/>
    <w:bookmarkEnd w:id="99"/>
    <w:bookmarkEnd w:id="100"/>
    <w:bookmarkEnd w:id="101"/>
    <w:bookmarkEnd w:id="102"/>
    <w:bookmarkEnd w:id="103"/>
    <w:bookmarkEnd w:id="104"/>
    <w:bookmarkEnd w:id="105"/>
    <w:bookmarkEnd w:id="106"/>
    <w:bookmarkEnd w:id="107"/>
    <w:bookmarkEnd w:id="108"/>
    <w:bookmarkEnd w:id="109"/>
    <w:p w14:paraId="27D4D834">
      <w:pPr>
        <w:pStyle w:val="2"/>
      </w:pPr>
      <w:bookmarkStart w:id="153" w:name="_Toc199429837"/>
      <w:r>
        <w:t>Configuration of DP Intelligent Transmitter</w:t>
      </w:r>
      <w:bookmarkEnd w:id="153"/>
    </w:p>
    <w:p w14:paraId="2B771769">
      <w:pPr>
        <w:pStyle w:val="3"/>
        <w:spacing w:before="120" w:beforeLines="50" w:after="120" w:afterLines="50" w:line="240" w:lineRule="auto"/>
        <w:ind w:left="578" w:hanging="578"/>
        <w:rPr>
          <w:rFonts w:asciiTheme="minorHAnsi" w:hAnsiTheme="minorHAnsi" w:cstheme="minorHAnsi"/>
        </w:rPr>
      </w:pPr>
      <w:bookmarkStart w:id="154" w:name="_Toc199429838"/>
      <w:r>
        <w:rPr>
          <w:rFonts w:asciiTheme="minorHAnsi" w:hAnsiTheme="minorHAnsi" w:cstheme="minorHAnsi"/>
        </w:rPr>
        <w:t>Function block</w:t>
      </w:r>
      <w:bookmarkEnd w:id="154"/>
    </w:p>
    <w:p w14:paraId="12C9ECCA">
      <w:pPr>
        <w:pStyle w:val="40"/>
        <w:spacing w:after="240" w:line="240" w:lineRule="auto"/>
        <w:ind w:left="0"/>
        <w:rPr>
          <w:rFonts w:cstheme="minorHAnsi"/>
          <w:sz w:val="21"/>
          <w:szCs w:val="21"/>
        </w:rPr>
      </w:pPr>
      <w:r>
        <w:rPr>
          <w:rFonts w:cstheme="minorHAnsi"/>
          <w:sz w:val="21"/>
          <w:szCs w:val="21"/>
        </w:rPr>
        <w:t>The DP pressure transmitter implements the functional blocks of the PA standard, see Table 8.1. For the configuration method of the function block, please refer to the PROFIBUS PA profile.</w:t>
      </w:r>
    </w:p>
    <w:p w14:paraId="678DCC75">
      <w:pPr>
        <w:pStyle w:val="12"/>
        <w:keepNext/>
        <w:spacing w:before="120" w:after="120"/>
        <w:rPr>
          <w:rFonts w:asciiTheme="minorHAnsi" w:hAnsiTheme="minorHAnsi" w:cstheme="minorHAnsi"/>
        </w:rPr>
      </w:pPr>
      <w:bookmarkStart w:id="155" w:name="_Ref83289660"/>
      <w:r>
        <w:rPr>
          <w:rFonts w:asciiTheme="minorHAnsi" w:hAnsiTheme="minorHAnsi" w:cstheme="minorHAnsi"/>
        </w:rPr>
        <w:t xml:space="preserve">Table </w:t>
      </w:r>
      <w:r>
        <w:rPr>
          <w:rFonts w:asciiTheme="minorHAnsi" w:hAnsiTheme="minorHAnsi" w:cstheme="minorHAnsi"/>
        </w:rPr>
        <w:fldChar w:fldCharType="begin"/>
      </w:r>
      <w:r>
        <w:rPr>
          <w:rFonts w:asciiTheme="minorHAnsi" w:hAnsiTheme="minorHAnsi" w:cstheme="minorHAnsi"/>
        </w:rPr>
        <w:instrText xml:space="preserve"> STYLEREF 1 \s </w:instrText>
      </w:r>
      <w:r>
        <w:rPr>
          <w:rFonts w:asciiTheme="minorHAnsi" w:hAnsiTheme="minorHAnsi" w:cstheme="minorHAnsi"/>
        </w:rPr>
        <w:fldChar w:fldCharType="separate"/>
      </w:r>
      <w:r>
        <w:rPr>
          <w:rFonts w:asciiTheme="minorHAnsi" w:hAnsiTheme="minorHAnsi" w:cstheme="minorHAnsi"/>
        </w:rPr>
        <w:t>8</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SEQ 表 \* ARABIC \s 1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rPr>
        <w:fldChar w:fldCharType="end"/>
      </w:r>
      <w:bookmarkEnd w:id="155"/>
      <w:r>
        <w:rPr>
          <w:rFonts w:asciiTheme="minorHAnsi" w:hAnsiTheme="minorHAnsi" w:cstheme="minorHAnsi"/>
        </w:rPr>
        <w:t xml:space="preserve"> Function block function description</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0"/>
        <w:gridCol w:w="7339"/>
      </w:tblGrid>
      <w:tr w14:paraId="0178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9" w:type="pct"/>
            <w:shd w:val="clear" w:color="auto" w:fill="CCCCCC"/>
            <w:vAlign w:val="center"/>
          </w:tcPr>
          <w:p w14:paraId="45E9A4DB">
            <w:pPr>
              <w:spacing w:after="240"/>
              <w:jc w:val="center"/>
              <w:rPr>
                <w:rFonts w:cstheme="minorHAnsi"/>
                <w:sz w:val="18"/>
                <w:szCs w:val="18"/>
              </w:rPr>
            </w:pPr>
            <w:r>
              <w:rPr>
                <w:rFonts w:cstheme="minorHAnsi"/>
                <w:sz w:val="18"/>
                <w:szCs w:val="18"/>
              </w:rPr>
              <w:br w:type="page"/>
            </w:r>
            <w:r>
              <w:rPr>
                <w:rFonts w:cstheme="minorHAnsi"/>
                <w:sz w:val="18"/>
                <w:szCs w:val="18"/>
              </w:rPr>
              <w:t>Function block name</w:t>
            </w:r>
          </w:p>
        </w:tc>
        <w:tc>
          <w:tcPr>
            <w:tcW w:w="3681" w:type="pct"/>
            <w:shd w:val="clear" w:color="auto" w:fill="CCCCCC"/>
            <w:vAlign w:val="center"/>
          </w:tcPr>
          <w:p w14:paraId="2F66452B">
            <w:pPr>
              <w:spacing w:after="240"/>
              <w:jc w:val="center"/>
              <w:rPr>
                <w:rFonts w:cstheme="minorHAnsi"/>
                <w:sz w:val="18"/>
                <w:szCs w:val="18"/>
              </w:rPr>
            </w:pPr>
            <w:r>
              <w:rPr>
                <w:rFonts w:cstheme="minorHAnsi"/>
                <w:sz w:val="18"/>
                <w:szCs w:val="18"/>
              </w:rPr>
              <w:t>Function block description</w:t>
            </w:r>
          </w:p>
        </w:tc>
      </w:tr>
      <w:tr w14:paraId="2470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19" w:type="pct"/>
            <w:vAlign w:val="center"/>
          </w:tcPr>
          <w:p w14:paraId="00327B8C">
            <w:pPr>
              <w:spacing w:after="240"/>
              <w:jc w:val="center"/>
              <w:rPr>
                <w:rFonts w:cstheme="minorHAnsi"/>
                <w:kern w:val="0"/>
                <w:sz w:val="18"/>
                <w:szCs w:val="18"/>
              </w:rPr>
            </w:pPr>
            <w:r>
              <w:rPr>
                <w:rFonts w:cstheme="minorHAnsi"/>
                <w:kern w:val="0"/>
                <w:sz w:val="18"/>
                <w:szCs w:val="18"/>
              </w:rPr>
              <w:t>Physical Block</w:t>
            </w:r>
          </w:p>
        </w:tc>
        <w:tc>
          <w:tcPr>
            <w:tcW w:w="3681" w:type="pct"/>
            <w:vAlign w:val="center"/>
          </w:tcPr>
          <w:p w14:paraId="2BBA4835">
            <w:pPr>
              <w:spacing w:after="240"/>
              <w:rPr>
                <w:rFonts w:cstheme="minorHAnsi"/>
                <w:kern w:val="0"/>
                <w:sz w:val="18"/>
                <w:szCs w:val="18"/>
              </w:rPr>
            </w:pPr>
            <w:r>
              <w:rPr>
                <w:rFonts w:cstheme="minorHAnsi"/>
                <w:kern w:val="0"/>
                <w:sz w:val="18"/>
                <w:szCs w:val="18"/>
              </w:rPr>
              <w:t>Physical Block (PB). Describes device-specific hardware information, identification, and diagnostic information, including device tag number, software version, hardware version, installation date, etc.</w:t>
            </w:r>
          </w:p>
        </w:tc>
      </w:tr>
      <w:tr w14:paraId="7902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319" w:type="pct"/>
            <w:vAlign w:val="center"/>
          </w:tcPr>
          <w:p w14:paraId="1B62D643">
            <w:pPr>
              <w:spacing w:after="240"/>
              <w:jc w:val="center"/>
              <w:rPr>
                <w:rFonts w:cstheme="minorHAnsi"/>
                <w:kern w:val="0"/>
                <w:sz w:val="18"/>
                <w:szCs w:val="18"/>
              </w:rPr>
            </w:pPr>
            <w:r>
              <w:rPr>
                <w:rFonts w:cstheme="minorHAnsi"/>
                <w:kern w:val="0"/>
                <w:sz w:val="18"/>
                <w:szCs w:val="18"/>
              </w:rPr>
              <w:t>Transducer Block</w:t>
            </w:r>
          </w:p>
        </w:tc>
        <w:tc>
          <w:tcPr>
            <w:tcW w:w="3681" w:type="pct"/>
            <w:vAlign w:val="center"/>
          </w:tcPr>
          <w:p w14:paraId="39C2960B">
            <w:pPr>
              <w:spacing w:after="240"/>
              <w:rPr>
                <w:rFonts w:cstheme="minorHAnsi"/>
                <w:kern w:val="0"/>
                <w:sz w:val="18"/>
                <w:szCs w:val="18"/>
              </w:rPr>
            </w:pPr>
            <w:r>
              <w:rPr>
                <w:rFonts w:cstheme="minorHAnsi"/>
                <w:kern w:val="0"/>
                <w:sz w:val="18"/>
                <w:szCs w:val="18"/>
              </w:rPr>
              <w:t>Transducer Block (TB). The function block is separated from the input and output characteristics of the instrument. It mainly completes functions such as calibration and linearization of input and output data, and provides the processed data to the AI function block through the internal channel.</w:t>
            </w:r>
          </w:p>
        </w:tc>
      </w:tr>
      <w:tr w14:paraId="1275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319" w:type="pct"/>
            <w:vAlign w:val="center"/>
          </w:tcPr>
          <w:p w14:paraId="7F24D6B3">
            <w:pPr>
              <w:spacing w:after="240"/>
              <w:jc w:val="center"/>
              <w:rPr>
                <w:rFonts w:cstheme="minorHAnsi"/>
                <w:kern w:val="0"/>
                <w:sz w:val="18"/>
                <w:szCs w:val="18"/>
              </w:rPr>
            </w:pPr>
            <w:r>
              <w:rPr>
                <w:rFonts w:cstheme="minorHAnsi"/>
                <w:kern w:val="0"/>
                <w:sz w:val="18"/>
                <w:szCs w:val="18"/>
              </w:rPr>
              <w:t>Analog Input Block</w:t>
            </w:r>
          </w:p>
        </w:tc>
        <w:tc>
          <w:tcPr>
            <w:tcW w:w="3681" w:type="pct"/>
            <w:vAlign w:val="center"/>
          </w:tcPr>
          <w:p w14:paraId="434D95BA">
            <w:pPr>
              <w:spacing w:after="240"/>
              <w:rPr>
                <w:rFonts w:cstheme="minorHAnsi"/>
                <w:kern w:val="0"/>
                <w:sz w:val="18"/>
                <w:szCs w:val="18"/>
              </w:rPr>
            </w:pPr>
            <w:r>
              <w:rPr>
                <w:rFonts w:cstheme="minorHAnsi"/>
                <w:kern w:val="0"/>
                <w:sz w:val="18"/>
                <w:szCs w:val="18"/>
              </w:rPr>
              <w:t>Analog Input Block (AI). The analog process value is obtained from the transducer block via an internal channel, processed and the appropriate measured value is made available to the master device via bus communication</w:t>
            </w:r>
          </w:p>
        </w:tc>
      </w:tr>
    </w:tbl>
    <w:p w14:paraId="4C7CD482">
      <w:pPr>
        <w:pStyle w:val="3"/>
        <w:spacing w:before="120" w:beforeLines="50" w:after="120" w:afterLines="50" w:line="240" w:lineRule="auto"/>
        <w:ind w:left="578" w:hanging="578"/>
        <w:rPr>
          <w:rFonts w:asciiTheme="minorHAnsi" w:hAnsiTheme="minorHAnsi" w:cstheme="minorHAnsi"/>
        </w:rPr>
      </w:pPr>
      <w:bookmarkStart w:id="156" w:name="_Toc199429839"/>
      <w:r>
        <w:rPr>
          <w:rFonts w:asciiTheme="minorHAnsi" w:hAnsiTheme="minorHAnsi" w:cstheme="minorHAnsi"/>
        </w:rPr>
        <w:t>Function configuration</w:t>
      </w:r>
      <w:bookmarkEnd w:id="156"/>
    </w:p>
    <w:p w14:paraId="6BF15FCF">
      <w:pPr>
        <w:pStyle w:val="4"/>
        <w:spacing w:before="120" w:beforeLines="50" w:after="120" w:afterLines="50"/>
        <w:rPr>
          <w:rFonts w:asciiTheme="minorHAnsi" w:hAnsiTheme="minorHAnsi" w:cstheme="minorHAnsi"/>
        </w:rPr>
      </w:pPr>
      <w:bookmarkStart w:id="157" w:name="_Toc199429840"/>
      <w:r>
        <w:rPr>
          <w:rFonts w:asciiTheme="minorHAnsi" w:hAnsiTheme="minorHAnsi" w:cstheme="minorHAnsi"/>
        </w:rPr>
        <w:t>Set device address</w:t>
      </w:r>
      <w:bookmarkEnd w:id="157"/>
    </w:p>
    <w:p w14:paraId="25F56736">
      <w:pPr>
        <w:pStyle w:val="40"/>
        <w:spacing w:after="240" w:line="240" w:lineRule="auto"/>
        <w:ind w:left="0"/>
        <w:rPr>
          <w:rFonts w:cstheme="minorHAnsi"/>
          <w:sz w:val="21"/>
          <w:szCs w:val="21"/>
        </w:rPr>
      </w:pPr>
      <w:r>
        <w:rPr>
          <w:rFonts w:cstheme="minorHAnsi"/>
          <w:sz w:val="21"/>
          <w:szCs w:val="21"/>
        </w:rPr>
        <w:t>Only using hardware DIP switches to set the device address is supported. After the address is set, the device will use the new address when it is powered on again. Setting via the SET_SLAVE_ADDRESS service is not supported.</w:t>
      </w:r>
    </w:p>
    <w:p w14:paraId="52854261">
      <w:pPr>
        <w:pStyle w:val="4"/>
        <w:spacing w:before="120" w:beforeLines="50" w:after="120" w:afterLines="50"/>
        <w:rPr>
          <w:rFonts w:asciiTheme="minorHAnsi" w:hAnsiTheme="minorHAnsi" w:cstheme="minorHAnsi"/>
        </w:rPr>
      </w:pPr>
      <w:bookmarkStart w:id="158" w:name="_Toc199429841"/>
      <w:r>
        <w:rPr>
          <w:rFonts w:asciiTheme="minorHAnsi" w:hAnsiTheme="minorHAnsi" w:cstheme="minorHAnsi"/>
        </w:rPr>
        <w:t>Import GSD file</w:t>
      </w:r>
      <w:bookmarkEnd w:id="158"/>
    </w:p>
    <w:p w14:paraId="5D50732E">
      <w:pPr>
        <w:pStyle w:val="40"/>
        <w:spacing w:after="240" w:line="240" w:lineRule="auto"/>
        <w:ind w:left="0"/>
        <w:rPr>
          <w:rFonts w:cstheme="minorHAnsi"/>
          <w:sz w:val="21"/>
          <w:szCs w:val="21"/>
        </w:rPr>
      </w:pPr>
      <w:r>
        <w:rPr>
          <w:rFonts w:cstheme="minorHAnsi"/>
          <w:sz w:val="21"/>
          <w:szCs w:val="21"/>
        </w:rPr>
        <w:t>Each type of Profibus device from each manufacturer is different in functions and parameters. In order to support the "plug and play" design on the PROFIBUS bus, the device parameters (eg: manufacturer name, device name, software and hardware version, baud rate, number, input/output data) are defined in an electrical device data file Done, this file is the GSD file.</w:t>
      </w:r>
    </w:p>
    <w:p w14:paraId="725F93C9">
      <w:pPr>
        <w:pStyle w:val="40"/>
        <w:spacing w:after="240" w:line="240" w:lineRule="auto"/>
        <w:ind w:left="0"/>
        <w:rPr>
          <w:rFonts w:cstheme="minorHAnsi"/>
          <w:sz w:val="21"/>
          <w:szCs w:val="21"/>
        </w:rPr>
      </w:pPr>
      <w:r>
        <w:rPr>
          <w:rFonts w:cstheme="minorHAnsi"/>
          <w:sz w:val="21"/>
          <w:szCs w:val="21"/>
        </w:rPr>
        <w:t>GSD file is a readable text file edited by ASCII code, it contains general parameters and definitions of relevant communication standards. Each definition entry describes the feature parameters supported by the device. Information that can be read from a GSD file through keywords and editing tools includes: device information, adjustable parameters, matching data types and corresponding data upper and lower limits.</w:t>
      </w:r>
    </w:p>
    <w:p w14:paraId="57B56B52">
      <w:pPr>
        <w:pStyle w:val="40"/>
        <w:spacing w:after="240" w:line="240" w:lineRule="auto"/>
        <w:ind w:left="0"/>
        <w:rPr>
          <w:rFonts w:cstheme="minorHAnsi"/>
          <w:sz w:val="21"/>
          <w:szCs w:val="21"/>
        </w:rPr>
      </w:pPr>
      <w:r>
        <w:rPr>
          <w:rFonts w:cstheme="minorHAnsi"/>
          <w:sz w:val="21"/>
          <w:szCs w:val="21"/>
        </w:rPr>
        <w:t>In the NCS-PT105II(S) PROFIBUS DP GSD file, the device ID is: 0x0B25, The GSD file conforms to the PROFIBUS protocol standard and provides a concise, refined format to facilitate understanding of these parameters. In this regard, these device information can also be obtained automatically using the system configuration tool.</w:t>
      </w:r>
    </w:p>
    <w:p w14:paraId="65E318CE">
      <w:pPr>
        <w:pStyle w:val="4"/>
        <w:spacing w:before="120" w:beforeLines="50" w:after="120" w:afterLines="50"/>
        <w:rPr>
          <w:rFonts w:asciiTheme="minorHAnsi" w:hAnsiTheme="minorHAnsi" w:cstheme="minorHAnsi"/>
        </w:rPr>
      </w:pPr>
      <w:bookmarkStart w:id="159" w:name="_Toc440033499"/>
      <w:bookmarkStart w:id="160" w:name="_Toc99099402"/>
      <w:bookmarkStart w:id="161" w:name="_Toc440034777"/>
      <w:bookmarkStart w:id="162" w:name="_Toc199429842"/>
      <w:bookmarkStart w:id="163" w:name="_Toc440033242"/>
      <w:r>
        <w:rPr>
          <w:rFonts w:asciiTheme="minorHAnsi" w:hAnsiTheme="minorHAnsi" w:cstheme="minorHAnsi"/>
        </w:rPr>
        <w:t>Configure and use Device Type Management (DTM) software</w:t>
      </w:r>
      <w:bookmarkEnd w:id="159"/>
      <w:bookmarkEnd w:id="160"/>
      <w:bookmarkEnd w:id="161"/>
      <w:bookmarkEnd w:id="162"/>
      <w:bookmarkEnd w:id="163"/>
    </w:p>
    <w:p w14:paraId="543B85E1">
      <w:pPr>
        <w:pStyle w:val="40"/>
        <w:spacing w:after="240" w:line="240" w:lineRule="auto"/>
        <w:ind w:left="0"/>
        <w:rPr>
          <w:rFonts w:cstheme="minorHAnsi"/>
          <w:sz w:val="21"/>
          <w:szCs w:val="21"/>
        </w:rPr>
      </w:pPr>
      <w:r>
        <w:rPr>
          <w:rFonts w:cstheme="minorHAnsi"/>
          <w:sz w:val="21"/>
          <w:szCs w:val="21"/>
        </w:rPr>
        <w:t>Using suitable PC software: FDT 1.2/1.2.1 application tool framework and Class II PROFIBUS master station (equipped with corresponding communication DTM), the parameter configuration and measurement value monitoring of the NCS-PT105II(S)M PROFIBUS-DP pressure transmitter can be performed through aperiodic communication.</w:t>
      </w:r>
    </w:p>
    <w:p w14:paraId="0A8BE9ED">
      <w:pPr>
        <w:pStyle w:val="4"/>
        <w:spacing w:before="120" w:beforeLines="50" w:after="120" w:afterLines="50"/>
        <w:rPr>
          <w:rFonts w:asciiTheme="minorHAnsi" w:hAnsiTheme="minorHAnsi" w:cstheme="minorHAnsi"/>
        </w:rPr>
      </w:pPr>
      <w:bookmarkStart w:id="164" w:name="_Toc440033500"/>
      <w:bookmarkStart w:id="165" w:name="_Toc440034778"/>
      <w:bookmarkStart w:id="166" w:name="_Toc99099403"/>
      <w:bookmarkStart w:id="167" w:name="_Toc440033243"/>
      <w:bookmarkStart w:id="168" w:name="_Toc199429843"/>
      <w:r>
        <w:rPr>
          <w:rFonts w:asciiTheme="minorHAnsi" w:hAnsiTheme="minorHAnsi" w:cstheme="minorHAnsi"/>
        </w:rPr>
        <w:t>Configuration by EDD file</w:t>
      </w:r>
      <w:bookmarkEnd w:id="164"/>
      <w:bookmarkEnd w:id="165"/>
      <w:bookmarkEnd w:id="166"/>
      <w:bookmarkEnd w:id="167"/>
      <w:bookmarkEnd w:id="168"/>
    </w:p>
    <w:p w14:paraId="3499CCC4">
      <w:pPr>
        <w:pStyle w:val="40"/>
        <w:spacing w:after="240" w:line="240" w:lineRule="auto"/>
        <w:ind w:left="0"/>
        <w:rPr>
          <w:rFonts w:cstheme="minorHAnsi"/>
          <w:sz w:val="21"/>
          <w:szCs w:val="21"/>
        </w:rPr>
      </w:pPr>
      <w:r>
        <w:rPr>
          <w:rFonts w:cstheme="minorHAnsi"/>
          <w:sz w:val="21"/>
          <w:szCs w:val="21"/>
        </w:rPr>
        <w:t>Similar to using DTM, it is possible to configure the transmitter and monitor its measured values after importing the EDD file of the DP bus pressure transmitter using an EDD tool (eg, Siemens' device management software SIMATIC PDM).</w:t>
      </w:r>
    </w:p>
    <w:p w14:paraId="0B51405E">
      <w:pPr>
        <w:pStyle w:val="40"/>
        <w:spacing w:after="240" w:line="240" w:lineRule="auto"/>
        <w:ind w:left="0"/>
        <w:rPr>
          <w:rFonts w:cstheme="minorHAnsi"/>
          <w:sz w:val="21"/>
          <w:szCs w:val="21"/>
        </w:rPr>
      </w:pPr>
      <w:r>
        <w:rPr>
          <w:rFonts w:cstheme="minorHAnsi"/>
          <w:sz w:val="21"/>
          <w:szCs w:val="21"/>
        </w:rPr>
        <w:t>Import the manufacturer information before installing the device EDD file.</w:t>
      </w:r>
    </w:p>
    <w:p w14:paraId="471EFC5D">
      <w:pPr>
        <w:pStyle w:val="40"/>
        <w:spacing w:after="240" w:line="240" w:lineRule="auto"/>
        <w:ind w:left="0"/>
        <w:rPr>
          <w:rFonts w:cstheme="minorHAnsi"/>
          <w:sz w:val="21"/>
          <w:szCs w:val="21"/>
        </w:rPr>
      </w:pPr>
      <w:r>
        <w:rPr>
          <w:rFonts w:cstheme="minorHAnsi"/>
          <w:sz w:val="21"/>
          <w:szCs w:val="21"/>
        </w:rPr>
        <w:t>Find the manufacturer.csv file under the ...\Siemens\Step7\S7BIN path.</w:t>
      </w:r>
    </w:p>
    <w:p w14:paraId="0AC447B1">
      <w:pPr>
        <w:pStyle w:val="40"/>
        <w:spacing w:after="240" w:line="240" w:lineRule="auto"/>
        <w:ind w:left="0"/>
        <w:rPr>
          <w:rFonts w:cstheme="minorHAnsi"/>
          <w:sz w:val="21"/>
          <w:szCs w:val="21"/>
        </w:rPr>
      </w:pPr>
      <w:r>
        <w:rPr>
          <w:rFonts w:cstheme="minorHAnsi"/>
          <w:sz w:val="21"/>
          <w:szCs w:val="21"/>
        </w:rPr>
        <w:t>Add "Microcyber Inc.;Microcyber Inc.;;;;Microcyber Inc.;0x016C".</w:t>
      </w:r>
    </w:p>
    <w:p w14:paraId="6803A807">
      <w:pPr>
        <w:pStyle w:val="4"/>
        <w:spacing w:before="120" w:beforeLines="50" w:after="120" w:afterLines="50"/>
        <w:rPr>
          <w:rFonts w:asciiTheme="minorHAnsi" w:hAnsiTheme="minorHAnsi" w:cstheme="minorHAnsi"/>
        </w:rPr>
      </w:pPr>
      <w:bookmarkStart w:id="169" w:name="_Toc199429844"/>
      <w:r>
        <w:rPr>
          <w:rFonts w:asciiTheme="minorHAnsi" w:hAnsiTheme="minorHAnsi" w:cstheme="minorHAnsi"/>
        </w:rPr>
        <w:t>Factory reset</w:t>
      </w:r>
      <w:bookmarkEnd w:id="169"/>
    </w:p>
    <w:p w14:paraId="6F520C47">
      <w:pPr>
        <w:pStyle w:val="40"/>
        <w:spacing w:after="240" w:line="240" w:lineRule="auto"/>
        <w:ind w:left="0"/>
        <w:rPr>
          <w:rFonts w:cstheme="minorHAnsi"/>
          <w:sz w:val="21"/>
          <w:szCs w:val="21"/>
        </w:rPr>
      </w:pPr>
      <w:r>
        <w:rPr>
          <w:rFonts w:cstheme="minorHAnsi"/>
          <w:sz w:val="21"/>
          <w:szCs w:val="21"/>
        </w:rPr>
        <w:t>After resetting the factory settings using the FactoryReset button in PDM, click the LoadUserDefault button in PDM to restore the configuration information to the previously saved configuration information by the user; After restoring the factory settings using dip switches and magnetic sticks, the user's saved configurations will be cleared.</w:t>
      </w:r>
    </w:p>
    <w:p w14:paraId="56302AAB">
      <w:pPr>
        <w:pStyle w:val="40"/>
        <w:spacing w:after="240" w:line="240" w:lineRule="auto"/>
        <w:ind w:left="0"/>
        <w:rPr>
          <w:rFonts w:cstheme="minorHAnsi"/>
          <w:sz w:val="21"/>
          <w:szCs w:val="21"/>
        </w:rPr>
        <w:sectPr>
          <w:pgSz w:w="11907" w:h="16840"/>
          <w:pgMar w:top="1554" w:right="1077" w:bottom="1134" w:left="1077" w:header="680" w:footer="680" w:gutter="0"/>
          <w:cols w:space="425" w:num="1"/>
          <w:docGrid w:linePitch="312" w:charSpace="48128"/>
        </w:sectPr>
      </w:pPr>
    </w:p>
    <w:p w14:paraId="27AD1F00">
      <w:pPr>
        <w:pStyle w:val="2"/>
      </w:pPr>
      <w:bookmarkStart w:id="170" w:name="_Toc199429845"/>
      <w:bookmarkStart w:id="171" w:name="_Toc440269443"/>
      <w:bookmarkStart w:id="172" w:name="_Toc99099404"/>
      <w:r>
        <w:t>WirelessHART Smart Pressure Transmitter Configuration</w:t>
      </w:r>
      <w:bookmarkEnd w:id="170"/>
    </w:p>
    <w:p w14:paraId="378B0503">
      <w:pPr>
        <w:pStyle w:val="3"/>
        <w:spacing w:before="120" w:beforeLines="50" w:after="120" w:afterLines="50" w:line="240" w:lineRule="auto"/>
        <w:ind w:left="578" w:hanging="578"/>
        <w:rPr>
          <w:rFonts w:asciiTheme="minorHAnsi" w:hAnsiTheme="minorHAnsi" w:cstheme="minorHAnsi"/>
        </w:rPr>
      </w:pPr>
      <w:bookmarkStart w:id="173" w:name="_Toc199429846"/>
      <w:r>
        <w:rPr>
          <w:rFonts w:asciiTheme="minorHAnsi" w:hAnsiTheme="minorHAnsi" w:cstheme="minorHAnsi"/>
        </w:rPr>
        <w:t>Debugging with configuration tool</w:t>
      </w:r>
      <w:bookmarkEnd w:id="173"/>
      <w:r>
        <w:rPr>
          <w:rFonts w:asciiTheme="minorHAnsi" w:hAnsiTheme="minorHAnsi" w:cstheme="minorHAnsi"/>
        </w:rPr>
        <w:t xml:space="preserve"> </w:t>
      </w:r>
    </w:p>
    <w:p w14:paraId="221EA9A8">
      <w:pPr>
        <w:pStyle w:val="40"/>
        <w:spacing w:after="240" w:line="240" w:lineRule="auto"/>
        <w:ind w:left="0"/>
        <w:rPr>
          <w:rFonts w:cstheme="minorHAnsi"/>
          <w:sz w:val="21"/>
          <w:szCs w:val="21"/>
        </w:rPr>
      </w:pPr>
      <w:r>
        <w:rPr>
          <w:rFonts w:cstheme="minorHAnsi"/>
          <w:sz w:val="21"/>
          <w:szCs w:val="21"/>
        </w:rPr>
        <w:t>When debugging a smart transmitter with the WirelessHART configuration tool, the required configuration environment includes a PC, a HART modem, and a matching resistor (250-550) Ω.</w:t>
      </w:r>
    </w:p>
    <w:p w14:paraId="624A6373">
      <w:pPr>
        <w:pStyle w:val="40"/>
        <w:spacing w:after="240" w:line="240" w:lineRule="auto"/>
        <w:ind w:left="0"/>
        <w:rPr>
          <w:rFonts w:cstheme="minorHAnsi"/>
          <w:sz w:val="21"/>
          <w:szCs w:val="21"/>
        </w:rPr>
      </w:pPr>
      <w:r>
        <w:rPr>
          <w:rFonts w:cstheme="minorHAnsi"/>
          <w:sz w:val="21"/>
          <w:szCs w:val="21"/>
        </w:rPr>
        <w:t>The debugging with the WirelessHART configuration tool mainly includes the following functions:</w:t>
      </w:r>
      <w:r>
        <w:rPr>
          <w:rFonts w:hint="eastAsia" w:cstheme="minorHAnsi"/>
          <w:sz w:val="21"/>
          <w:szCs w:val="21"/>
        </w:rPr>
        <w:t>：</w:t>
      </w:r>
    </w:p>
    <w:p w14:paraId="3338F83C">
      <w:pPr>
        <w:pStyle w:val="40"/>
        <w:spacing w:after="240" w:line="240" w:lineRule="auto"/>
        <w:ind w:left="0"/>
        <w:rPr>
          <w:rFonts w:cstheme="minorHAnsi"/>
          <w:sz w:val="21"/>
          <w:szCs w:val="21"/>
        </w:rPr>
      </w:pPr>
      <w:bookmarkStart w:id="174" w:name="_Toc13574"/>
      <w:r>
        <w:rPr>
          <w:rFonts w:cstheme="minorHAnsi"/>
          <w:sz w:val="21"/>
          <w:szCs w:val="21"/>
        </w:rPr>
        <w:t>1) Basic information: Configure the transmitter's label, address, date, assembly number information, etc;</w:t>
      </w:r>
    </w:p>
    <w:p w14:paraId="2B97D51D">
      <w:pPr>
        <w:pStyle w:val="40"/>
        <w:spacing w:after="240" w:line="240" w:lineRule="auto"/>
        <w:ind w:left="0"/>
        <w:rPr>
          <w:rFonts w:cstheme="minorHAnsi"/>
          <w:sz w:val="21"/>
          <w:szCs w:val="21"/>
        </w:rPr>
      </w:pPr>
      <w:r>
        <w:rPr>
          <w:rFonts w:cstheme="minorHAnsi"/>
          <w:sz w:val="21"/>
          <w:szCs w:val="21"/>
        </w:rPr>
        <w:t>2) Configuration information: Configure the main variable unit, range, damping, and other information of the transmitter;</w:t>
      </w:r>
    </w:p>
    <w:p w14:paraId="7AD77FAA">
      <w:pPr>
        <w:pStyle w:val="40"/>
        <w:spacing w:after="240" w:line="240" w:lineRule="auto"/>
        <w:ind w:left="0"/>
        <w:rPr>
          <w:rFonts w:cstheme="minorHAnsi"/>
          <w:sz w:val="21"/>
          <w:szCs w:val="21"/>
        </w:rPr>
      </w:pPr>
      <w:r>
        <w:rPr>
          <w:rFonts w:cstheme="minorHAnsi"/>
          <w:sz w:val="21"/>
          <w:szCs w:val="21"/>
        </w:rPr>
        <w:t>3) Variable monitoring: monitoring the process values of the transmitter;</w:t>
      </w:r>
    </w:p>
    <w:p w14:paraId="38499D8F">
      <w:pPr>
        <w:pStyle w:val="40"/>
        <w:spacing w:after="240" w:line="240" w:lineRule="auto"/>
        <w:ind w:left="0"/>
        <w:rPr>
          <w:rFonts w:cstheme="minorHAnsi"/>
          <w:sz w:val="21"/>
          <w:szCs w:val="21"/>
        </w:rPr>
      </w:pPr>
      <w:r>
        <w:rPr>
          <w:rFonts w:cstheme="minorHAnsi"/>
          <w:sz w:val="21"/>
          <w:szCs w:val="21"/>
        </w:rPr>
        <w:t>4) Special commands: configure the display type of the transmitter LCD, configure small signal cutoff, and save/restore related parameters functions;</w:t>
      </w:r>
    </w:p>
    <w:p w14:paraId="7B2E5A13">
      <w:pPr>
        <w:pStyle w:val="40"/>
        <w:spacing w:after="240" w:line="240" w:lineRule="auto"/>
        <w:ind w:left="0"/>
        <w:rPr>
          <w:rFonts w:cstheme="minorHAnsi"/>
          <w:sz w:val="21"/>
          <w:szCs w:val="21"/>
        </w:rPr>
      </w:pPr>
      <w:r>
        <w:rPr>
          <w:rFonts w:cstheme="minorHAnsi"/>
          <w:sz w:val="21"/>
          <w:szCs w:val="21"/>
        </w:rPr>
        <w:t>5) Additional information: Configure the sensor information and sensor acquisition cycle of the transmitter;</w:t>
      </w:r>
    </w:p>
    <w:p w14:paraId="3C429705">
      <w:pPr>
        <w:pStyle w:val="40"/>
        <w:spacing w:after="240" w:line="240" w:lineRule="auto"/>
        <w:ind w:left="0"/>
        <w:rPr>
          <w:rFonts w:cstheme="minorHAnsi"/>
          <w:sz w:val="21"/>
          <w:szCs w:val="21"/>
        </w:rPr>
      </w:pPr>
      <w:r>
        <w:rPr>
          <w:rFonts w:cstheme="minorHAnsi"/>
          <w:sz w:val="21"/>
          <w:szCs w:val="21"/>
        </w:rPr>
        <w:t>6) Network information configuration: Configure the wireless network parameters of the transmitter, including join key, join mode, and network ID;</w:t>
      </w:r>
    </w:p>
    <w:p w14:paraId="61A86811">
      <w:pPr>
        <w:pStyle w:val="40"/>
        <w:spacing w:after="240" w:line="240" w:lineRule="auto"/>
        <w:ind w:left="0"/>
        <w:rPr>
          <w:rFonts w:cstheme="minorHAnsi"/>
          <w:sz w:val="21"/>
          <w:szCs w:val="21"/>
        </w:rPr>
      </w:pPr>
      <w:r>
        <w:rPr>
          <w:rFonts w:cstheme="minorHAnsi"/>
          <w:sz w:val="21"/>
          <w:szCs w:val="21"/>
        </w:rPr>
        <w:t>7) Burst configuration: Configure the wireless data update parameters of the transmitter, including Burst cycle, Burst command, Burst mode, etc;</w:t>
      </w:r>
    </w:p>
    <w:p w14:paraId="14AD386F">
      <w:pPr>
        <w:pStyle w:val="40"/>
        <w:spacing w:after="240" w:line="240" w:lineRule="auto"/>
        <w:ind w:left="0"/>
        <w:rPr>
          <w:rFonts w:cstheme="minorHAnsi"/>
          <w:sz w:val="21"/>
          <w:szCs w:val="21"/>
        </w:rPr>
      </w:pPr>
      <w:r>
        <w:rPr>
          <w:rFonts w:cstheme="minorHAnsi"/>
          <w:sz w:val="21"/>
          <w:szCs w:val="21"/>
        </w:rPr>
        <w:t>8) Network monitoring: monitoring the wireless network status of the transmitter;</w:t>
      </w:r>
    </w:p>
    <w:p w14:paraId="1E6A92D2">
      <w:pPr>
        <w:pStyle w:val="4"/>
        <w:numPr>
          <w:ilvl w:val="0"/>
          <w:numId w:val="0"/>
        </w:numPr>
        <w:spacing w:after="240"/>
        <w:ind w:left="720" w:hanging="720"/>
        <w:rPr>
          <w:rFonts w:ascii="Calibri" w:hAnsi="Calibri" w:cs="Calibri"/>
          <w:b w:val="0"/>
          <w:bCs w:val="0"/>
          <w:kern w:val="0"/>
          <w:szCs w:val="21"/>
        </w:rPr>
      </w:pPr>
      <w:bookmarkStart w:id="175" w:name="_Toc199429847"/>
      <w:r>
        <w:rPr>
          <w:rFonts w:ascii="Calibri" w:hAnsi="Calibri" w:cs="Calibri"/>
          <w:b w:val="0"/>
          <w:bCs w:val="0"/>
          <w:kern w:val="0"/>
          <w:szCs w:val="21"/>
        </w:rPr>
        <w:t>9) Other configurations: Configure the receiver sensitivity and transmission power of the transmitter RF.</w:t>
      </w:r>
      <w:bookmarkEnd w:id="175"/>
    </w:p>
    <w:bookmarkEnd w:id="174"/>
    <w:p w14:paraId="6B05BEC1">
      <w:pPr>
        <w:pStyle w:val="4"/>
        <w:spacing w:before="120" w:beforeLines="50" w:after="120" w:afterLines="50"/>
        <w:rPr>
          <w:rFonts w:asciiTheme="minorHAnsi" w:hAnsiTheme="minorHAnsi" w:cstheme="minorHAnsi"/>
        </w:rPr>
      </w:pPr>
      <w:bookmarkStart w:id="176" w:name="_Toc199429848"/>
      <w:r>
        <w:rPr>
          <w:rFonts w:asciiTheme="minorHAnsi" w:hAnsiTheme="minorHAnsi" w:cstheme="minorHAnsi"/>
        </w:rPr>
        <w:t>Basic Information Configuration</w:t>
      </w:r>
      <w:bookmarkEnd w:id="176"/>
    </w:p>
    <w:p w14:paraId="5673D23F">
      <w:pPr>
        <w:pStyle w:val="40"/>
        <w:spacing w:after="240" w:line="240" w:lineRule="auto"/>
        <w:ind w:left="0"/>
        <w:rPr>
          <w:rFonts w:cstheme="minorHAnsi"/>
          <w:sz w:val="21"/>
          <w:szCs w:val="21"/>
        </w:rPr>
      </w:pPr>
      <w:r>
        <w:rPr>
          <w:rFonts w:cstheme="minorHAnsi"/>
          <w:sz w:val="21"/>
          <w:szCs w:val="21"/>
        </w:rPr>
        <w:t>The Basic Information tab allows you to read or modify the basic information of the smart transmitter, including Polling, Message, Description, Long Tag, Date, Assembly, Alarm, Writable, Vendor ID, Manufacturer, Device Type, Device ID, Unique ID, and Reversion, as shown in Figure 9.1. After modifying the information, you can press the "Apply" button to download it to the device. If the transmission is unsuccessful, the device information will be restored to its original content.</w:t>
      </w:r>
    </w:p>
    <w:p w14:paraId="22B41A41">
      <w:pPr>
        <w:pStyle w:val="40"/>
        <w:spacing w:after="240" w:line="240" w:lineRule="auto"/>
        <w:ind w:left="0"/>
        <w:rPr>
          <w:rFonts w:cstheme="minorHAnsi"/>
          <w:sz w:val="21"/>
          <w:szCs w:val="21"/>
        </w:rPr>
      </w:pPr>
      <w:r>
        <w:rPr>
          <w:rFonts w:cstheme="minorHAnsi"/>
          <w:sz w:val="21"/>
          <w:szCs w:val="21"/>
        </w:rPr>
        <w:t>1) The maximum length of a Tag is 8 specified characters;</w:t>
      </w:r>
    </w:p>
    <w:p w14:paraId="726004F4">
      <w:pPr>
        <w:pStyle w:val="40"/>
        <w:spacing w:after="240" w:line="240" w:lineRule="auto"/>
        <w:ind w:left="0"/>
        <w:rPr>
          <w:rFonts w:cstheme="minorHAnsi"/>
          <w:sz w:val="21"/>
          <w:szCs w:val="21"/>
        </w:rPr>
      </w:pPr>
      <w:r>
        <w:rPr>
          <w:rFonts w:cstheme="minorHAnsi"/>
          <w:sz w:val="21"/>
          <w:szCs w:val="21"/>
        </w:rPr>
        <w:t>2) The Description can input up to 16 specified characters;</w:t>
      </w:r>
    </w:p>
    <w:p w14:paraId="68AB0092">
      <w:pPr>
        <w:pStyle w:val="40"/>
        <w:spacing w:after="240" w:line="240" w:lineRule="auto"/>
        <w:ind w:left="0"/>
        <w:rPr>
          <w:rFonts w:cstheme="minorHAnsi"/>
          <w:sz w:val="21"/>
          <w:szCs w:val="21"/>
        </w:rPr>
      </w:pPr>
      <w:r>
        <w:rPr>
          <w:rFonts w:cstheme="minorHAnsi"/>
          <w:sz w:val="21"/>
          <w:szCs w:val="21"/>
        </w:rPr>
        <w:t>3) Messages can be entered with a maximum of 32 characters;</w:t>
      </w:r>
    </w:p>
    <w:p w14:paraId="0341CBAB">
      <w:pPr>
        <w:pStyle w:val="40"/>
        <w:spacing w:after="240" w:line="240" w:lineRule="auto"/>
        <w:ind w:left="0"/>
        <w:rPr>
          <w:rFonts w:cstheme="minorHAnsi"/>
          <w:sz w:val="21"/>
          <w:szCs w:val="21"/>
        </w:rPr>
      </w:pPr>
      <w:r>
        <w:rPr>
          <w:rFonts w:cstheme="minorHAnsi"/>
          <w:sz w:val="21"/>
          <w:szCs w:val="21"/>
        </w:rPr>
        <w:t>4) The range of Polling selection is 0-63;</w:t>
      </w:r>
    </w:p>
    <w:p w14:paraId="089B5873">
      <w:pPr>
        <w:pStyle w:val="40"/>
        <w:spacing w:after="240" w:line="240" w:lineRule="auto"/>
        <w:ind w:left="0"/>
        <w:rPr>
          <w:rFonts w:cstheme="minorHAnsi"/>
          <w:sz w:val="21"/>
          <w:szCs w:val="21"/>
        </w:rPr>
      </w:pPr>
      <w:r>
        <w:rPr>
          <w:rFonts w:cstheme="minorHAnsi"/>
          <w:sz w:val="21"/>
          <w:szCs w:val="21"/>
        </w:rPr>
        <w:t>5) The maximum length of the Assembly is 6 specified characters.</w:t>
      </w:r>
    </w:p>
    <w:p w14:paraId="66DB4E7F">
      <w:pPr>
        <w:pStyle w:val="40"/>
        <w:keepNext/>
        <w:spacing w:after="240" w:line="240" w:lineRule="auto"/>
        <w:ind w:left="0"/>
        <w:jc w:val="center"/>
      </w:pPr>
      <w:r>
        <w:drawing>
          <wp:inline distT="0" distB="0" distL="0" distR="0">
            <wp:extent cx="6193155" cy="3622040"/>
            <wp:effectExtent l="0" t="0" r="4445" b="0"/>
            <wp:docPr id="258538335" name="图片 258538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38335" name="图片 258538335"/>
                    <pic:cNvPicPr>
                      <a:picLocks noChangeAspect="1"/>
                    </pic:cNvPicPr>
                  </pic:nvPicPr>
                  <pic:blipFill>
                    <a:blip r:embed="rId92"/>
                    <a:stretch>
                      <a:fillRect/>
                    </a:stretch>
                  </pic:blipFill>
                  <pic:spPr>
                    <a:xfrm>
                      <a:off x="0" y="0"/>
                      <a:ext cx="6193155" cy="3622040"/>
                    </a:xfrm>
                    <a:prstGeom prst="rect">
                      <a:avLst/>
                    </a:prstGeom>
                  </pic:spPr>
                </pic:pic>
              </a:graphicData>
            </a:graphic>
          </wp:inline>
        </w:drawing>
      </w:r>
    </w:p>
    <w:p w14:paraId="43D182F4">
      <w:pPr>
        <w:pStyle w:val="12"/>
        <w:spacing w:before="120" w:after="120"/>
        <w:rPr>
          <w:rFonts w:ascii="Calibri" w:hAnsi="Calibri"/>
          <w:sz w:val="21"/>
          <w:szCs w:val="21"/>
        </w:rPr>
      </w:pPr>
      <w:r>
        <w:t xml:space="preserve">Figure </w:t>
      </w:r>
      <w:r>
        <w:fldChar w:fldCharType="begin"/>
      </w:r>
      <w:r>
        <w:instrText xml:space="preserve"> STYLEREF 1 \s </w:instrText>
      </w:r>
      <w:r>
        <w:fldChar w:fldCharType="separate"/>
      </w:r>
      <w:r>
        <w:t>9</w:t>
      </w:r>
      <w:r>
        <w:fldChar w:fldCharType="end"/>
      </w:r>
      <w:r>
        <w:t>.</w:t>
      </w:r>
      <w:r>
        <w:fldChar w:fldCharType="begin"/>
      </w:r>
      <w:r>
        <w:instrText xml:space="preserve"> SEQ Figure \* ARABIC \s 1 </w:instrText>
      </w:r>
      <w:r>
        <w:fldChar w:fldCharType="separate"/>
      </w:r>
      <w:r>
        <w:t>1</w:t>
      </w:r>
      <w:r>
        <w:fldChar w:fldCharType="end"/>
      </w:r>
      <w:r>
        <w:t xml:space="preserve"> Basic Information Tab</w:t>
      </w:r>
    </w:p>
    <w:p w14:paraId="3E52FCD2">
      <w:pPr>
        <w:pStyle w:val="4"/>
        <w:spacing w:before="120" w:beforeLines="50" w:after="120" w:afterLines="50"/>
        <w:rPr>
          <w:rFonts w:asciiTheme="minorHAnsi" w:hAnsiTheme="minorHAnsi" w:cstheme="minorHAnsi"/>
        </w:rPr>
      </w:pPr>
      <w:bookmarkStart w:id="177" w:name="_Toc199429849"/>
      <w:r>
        <w:rPr>
          <w:rFonts w:asciiTheme="minorHAnsi" w:hAnsiTheme="minorHAnsi" w:cstheme="minorHAnsi"/>
        </w:rPr>
        <w:t>Configuration Information Configuration</w:t>
      </w:r>
      <w:bookmarkEnd w:id="177"/>
    </w:p>
    <w:p w14:paraId="3075E6F0">
      <w:pPr>
        <w:pStyle w:val="40"/>
        <w:spacing w:after="240" w:line="240" w:lineRule="auto"/>
        <w:ind w:left="0"/>
        <w:rPr>
          <w:rFonts w:cstheme="minorHAnsi"/>
          <w:sz w:val="21"/>
          <w:szCs w:val="21"/>
        </w:rPr>
      </w:pPr>
      <w:r>
        <w:rPr>
          <w:rFonts w:cstheme="minorHAnsi"/>
          <w:sz w:val="21"/>
          <w:szCs w:val="21"/>
        </w:rPr>
        <w:t>The configuration information tab allows you to read or modify the configuration information of the smart transmitter, including the values and units of the main and second variables (pressure and temperature) of the device, current values, percentages, output information of the main variables (damping value, unit, range upper limit, range lower limit, output transfer function), sensor information (serial number, upper limit, lower limit, minimum range, unit), etc., as shown in Figure 9.2.</w:t>
      </w:r>
    </w:p>
    <w:p w14:paraId="36295E6E">
      <w:pPr>
        <w:pStyle w:val="40"/>
        <w:spacing w:after="240" w:line="240" w:lineRule="auto"/>
        <w:ind w:left="0"/>
        <w:rPr>
          <w:rFonts w:cstheme="minorHAnsi"/>
          <w:sz w:val="21"/>
          <w:szCs w:val="21"/>
        </w:rPr>
      </w:pPr>
      <w:r>
        <w:rPr>
          <w:rFonts w:cstheme="minorHAnsi"/>
          <w:sz w:val="21"/>
          <w:szCs w:val="21"/>
        </w:rPr>
        <w:t>1) Main variable unit configuration: Changes in the main variable unit directly affect variables associated with the unit, such as range limits, sensor limits, and minimum range. When modifying units, the upper and lower limits of the main variable range cannot be modified simultaneously.</w:t>
      </w:r>
    </w:p>
    <w:p w14:paraId="6C18623F">
      <w:pPr>
        <w:pStyle w:val="40"/>
        <w:spacing w:after="240" w:line="240" w:lineRule="auto"/>
        <w:ind w:left="0"/>
        <w:rPr>
          <w:rFonts w:cstheme="minorHAnsi"/>
          <w:sz w:val="21"/>
          <w:szCs w:val="21"/>
        </w:rPr>
      </w:pPr>
      <w:r>
        <w:rPr>
          <w:rFonts w:cstheme="minorHAnsi"/>
          <w:sz w:val="21"/>
          <w:szCs w:val="21"/>
        </w:rPr>
        <w:t>2) Damping value configuration: The damping parameter range is 0-32 seconds.</w:t>
      </w:r>
    </w:p>
    <w:p w14:paraId="7E7E053E">
      <w:pPr>
        <w:pStyle w:val="40"/>
        <w:spacing w:after="240" w:line="240" w:lineRule="auto"/>
        <w:ind w:left="0"/>
        <w:rPr>
          <w:rFonts w:cstheme="minorHAnsi"/>
          <w:sz w:val="21"/>
          <w:szCs w:val="21"/>
        </w:rPr>
      </w:pPr>
      <w:r>
        <w:rPr>
          <w:rFonts w:cstheme="minorHAnsi"/>
          <w:sz w:val="21"/>
          <w:szCs w:val="21"/>
        </w:rPr>
        <w:t>3) Set the lower limit of the measuring range: take the current measured value of the main variable as the lower limit of the measuring range, and keep the measuring range unchanged (adjust the upper limit of the measuring range accordingly); If the adjustment of the upper limit of the range exceeds the upper limit of the sensor range, set the upper limit of the sensor range as the adjusted upper limit of the range, and the range will change accordingly.</w:t>
      </w:r>
    </w:p>
    <w:p w14:paraId="439C0D31">
      <w:pPr>
        <w:pStyle w:val="40"/>
        <w:spacing w:after="240" w:line="240" w:lineRule="auto"/>
        <w:ind w:left="0"/>
        <w:rPr>
          <w:rFonts w:cstheme="minorHAnsi"/>
          <w:sz w:val="21"/>
          <w:szCs w:val="21"/>
        </w:rPr>
      </w:pPr>
      <w:r>
        <w:rPr>
          <w:rFonts w:cstheme="minorHAnsi"/>
          <w:sz w:val="21"/>
          <w:szCs w:val="21"/>
        </w:rPr>
        <w:t>4) Set upper range limit: take the current measured main variable value as the upper range limit, keep the lower range limit unchanged, and change the range accordingly; If the adjusted range upper limit exceeds the sensor range upper limit, set the sensor range upper limit to the adjusted range upper limit.</w:t>
      </w:r>
    </w:p>
    <w:p w14:paraId="54B2D968">
      <w:pPr>
        <w:pStyle w:val="40"/>
        <w:spacing w:after="240" w:line="240" w:lineRule="auto"/>
        <w:ind w:left="0"/>
        <w:rPr>
          <w:rFonts w:cstheme="minorHAnsi"/>
          <w:sz w:val="21"/>
          <w:szCs w:val="21"/>
        </w:rPr>
      </w:pPr>
      <w:r>
        <w:rPr>
          <w:rFonts w:cstheme="minorHAnsi"/>
          <w:sz w:val="21"/>
          <w:szCs w:val="21"/>
        </w:rPr>
        <w:t>5) Zero point of the main variable: Correct the offset of the zero point of the main variable caused by the installation position.</w:t>
      </w:r>
    </w:p>
    <w:p w14:paraId="6C4B44FE">
      <w:pPr>
        <w:pStyle w:val="40"/>
        <w:spacing w:after="240" w:line="240" w:lineRule="auto"/>
        <w:ind w:left="0"/>
        <w:rPr>
          <w:rFonts w:cstheme="minorHAnsi"/>
          <w:sz w:val="21"/>
          <w:szCs w:val="21"/>
        </w:rPr>
      </w:pPr>
      <w:r>
        <w:rPr>
          <w:rFonts w:cstheme="minorHAnsi"/>
          <w:sz w:val="21"/>
          <w:szCs w:val="21"/>
        </w:rPr>
        <w:t>6) Calibration range: After range migration, calibrate the upper and lower limits of the range. The calibration process is as follows:</w:t>
      </w:r>
    </w:p>
    <w:p w14:paraId="1EA2B8CA">
      <w:pPr>
        <w:pStyle w:val="40"/>
        <w:spacing w:after="240" w:line="240" w:lineRule="auto"/>
        <w:ind w:left="0" w:firstLine="420" w:firstLineChars="200"/>
        <w:rPr>
          <w:rFonts w:cstheme="minorHAnsi"/>
          <w:sz w:val="21"/>
          <w:szCs w:val="21"/>
        </w:rPr>
      </w:pPr>
      <w:r>
        <w:rPr>
          <w:rFonts w:hint="eastAsia" w:cstheme="minorHAnsi"/>
          <w:sz w:val="21"/>
          <w:szCs w:val="21"/>
        </w:rPr>
        <w:t>a</w:t>
      </w:r>
      <w:r>
        <w:rPr>
          <w:rFonts w:cstheme="minorHAnsi"/>
          <w:sz w:val="21"/>
          <w:szCs w:val="21"/>
        </w:rPr>
        <w:t>.</w:t>
      </w:r>
      <w:r>
        <w:rPr>
          <w:rFonts w:hint="eastAsia" w:cstheme="minorHAnsi"/>
          <w:sz w:val="21"/>
          <w:szCs w:val="21"/>
        </w:rPr>
        <w:t xml:space="preserve"> Add the standard range lower limit pressure to the transmitter. After the pressure stabilizes, click "Read" and the calibration data will be displayed in "Correction Value". Click "Lower Limit Calibration" and the actual pressure value will be the range </w:t>
      </w:r>
      <w:r>
        <w:rPr>
          <w:rFonts w:cstheme="minorHAnsi"/>
          <w:sz w:val="21"/>
          <w:szCs w:val="21"/>
        </w:rPr>
        <w:t>lower limit pressure value.</w:t>
      </w:r>
    </w:p>
    <w:p w14:paraId="244F1992">
      <w:pPr>
        <w:pStyle w:val="40"/>
        <w:spacing w:after="240" w:line="240" w:lineRule="auto"/>
        <w:ind w:left="0" w:firstLine="420" w:firstLineChars="200"/>
        <w:rPr>
          <w:rFonts w:cstheme="minorHAnsi"/>
          <w:sz w:val="21"/>
          <w:szCs w:val="21"/>
        </w:rPr>
      </w:pPr>
      <w:r>
        <w:rPr>
          <w:rFonts w:cstheme="minorHAnsi"/>
          <w:sz w:val="21"/>
          <w:szCs w:val="21"/>
        </w:rPr>
        <w:t>b.</w:t>
      </w:r>
      <w:r>
        <w:rPr>
          <w:rFonts w:hint="eastAsia" w:cstheme="minorHAnsi"/>
          <w:sz w:val="21"/>
          <w:szCs w:val="21"/>
        </w:rPr>
        <w:t>Add the standard range upper limit pressure to the transmitter. After the pressure stabilizes, click "Read" to display the calibration data in "Correction Value". Click "Upper Limit Calibration", and the actual pressure output will be the range upper lim</w:t>
      </w:r>
      <w:r>
        <w:rPr>
          <w:rFonts w:cstheme="minorHAnsi"/>
          <w:sz w:val="21"/>
          <w:szCs w:val="21"/>
        </w:rPr>
        <w:t>it pressure value.</w:t>
      </w:r>
    </w:p>
    <w:p w14:paraId="0A1AB284">
      <w:pPr>
        <w:pStyle w:val="40"/>
        <w:keepNext/>
        <w:spacing w:after="240" w:line="240" w:lineRule="auto"/>
        <w:ind w:left="0"/>
        <w:jc w:val="center"/>
      </w:pPr>
      <w:r>
        <w:drawing>
          <wp:inline distT="0" distB="0" distL="0" distR="0">
            <wp:extent cx="6193155" cy="3653155"/>
            <wp:effectExtent l="0" t="0" r="4445" b="4445"/>
            <wp:docPr id="1542968465" name="图片 1542968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68465" name="图片 1542968465"/>
                    <pic:cNvPicPr>
                      <a:picLocks noChangeAspect="1"/>
                    </pic:cNvPicPr>
                  </pic:nvPicPr>
                  <pic:blipFill>
                    <a:blip r:embed="rId93"/>
                    <a:stretch>
                      <a:fillRect/>
                    </a:stretch>
                  </pic:blipFill>
                  <pic:spPr>
                    <a:xfrm>
                      <a:off x="0" y="0"/>
                      <a:ext cx="6193155" cy="3653155"/>
                    </a:xfrm>
                    <a:prstGeom prst="rect">
                      <a:avLst/>
                    </a:prstGeom>
                  </pic:spPr>
                </pic:pic>
              </a:graphicData>
            </a:graphic>
          </wp:inline>
        </w:drawing>
      </w:r>
    </w:p>
    <w:p w14:paraId="50C91154">
      <w:pPr>
        <w:pStyle w:val="12"/>
        <w:spacing w:before="120" w:after="120"/>
        <w:rPr>
          <w:rFonts w:ascii="Calibri" w:hAnsi="Calibri" w:cs="Calibri"/>
          <w:sz w:val="21"/>
          <w:szCs w:val="21"/>
        </w:rPr>
      </w:pPr>
      <w:r>
        <w:t xml:space="preserve">Figure </w:t>
      </w:r>
      <w:r>
        <w:fldChar w:fldCharType="begin"/>
      </w:r>
      <w:r>
        <w:instrText xml:space="preserve"> STYLEREF 1 \s </w:instrText>
      </w:r>
      <w:r>
        <w:fldChar w:fldCharType="separate"/>
      </w:r>
      <w:r>
        <w:t>9</w:t>
      </w:r>
      <w:r>
        <w:fldChar w:fldCharType="end"/>
      </w:r>
      <w:r>
        <w:t>.</w:t>
      </w:r>
      <w:r>
        <w:fldChar w:fldCharType="begin"/>
      </w:r>
      <w:r>
        <w:instrText xml:space="preserve"> SEQ Figure \* ARABIC \s 1 </w:instrText>
      </w:r>
      <w:r>
        <w:fldChar w:fldCharType="separate"/>
      </w:r>
      <w:r>
        <w:t>2</w:t>
      </w:r>
      <w:r>
        <w:fldChar w:fldCharType="end"/>
      </w:r>
      <w:r>
        <w:t xml:space="preserve"> Configuration Information Tab</w:t>
      </w:r>
    </w:p>
    <w:p w14:paraId="4707AD61">
      <w:pPr>
        <w:pStyle w:val="4"/>
        <w:spacing w:before="120" w:beforeLines="50" w:after="120" w:afterLines="50"/>
        <w:rPr>
          <w:rFonts w:asciiTheme="minorHAnsi" w:hAnsiTheme="minorHAnsi" w:cstheme="minorHAnsi"/>
        </w:rPr>
      </w:pPr>
      <w:bookmarkStart w:id="178" w:name="_Toc199429850"/>
      <w:r>
        <w:rPr>
          <w:rFonts w:asciiTheme="minorHAnsi" w:hAnsiTheme="minorHAnsi" w:cstheme="minorHAnsi"/>
        </w:rPr>
        <w:t>Variable Monitoring</w:t>
      </w:r>
      <w:bookmarkEnd w:id="178"/>
    </w:p>
    <w:p w14:paraId="68DA173B">
      <w:pPr>
        <w:pStyle w:val="40"/>
        <w:spacing w:after="240" w:line="240" w:lineRule="auto"/>
        <w:ind w:left="0"/>
        <w:rPr>
          <w:rFonts w:cstheme="minorHAnsi"/>
          <w:sz w:val="21"/>
          <w:szCs w:val="21"/>
        </w:rPr>
      </w:pPr>
      <w:r>
        <w:rPr>
          <w:rFonts w:cstheme="minorHAnsi"/>
          <w:sz w:val="21"/>
          <w:szCs w:val="21"/>
        </w:rPr>
        <w:t>The variable monitoring tab allows monitoring of the values of the PV (pressure), SV (sensor temperature), TV (battery voltage), and QV (MCU temperature), as shown in Figure 9.3.</w:t>
      </w:r>
    </w:p>
    <w:p w14:paraId="00785ED6">
      <w:pPr>
        <w:pStyle w:val="40"/>
        <w:keepNext/>
        <w:spacing w:after="240"/>
        <w:ind w:left="0"/>
        <w:jc w:val="center"/>
      </w:pPr>
      <w:r>
        <w:drawing>
          <wp:inline distT="0" distB="0" distL="0" distR="0">
            <wp:extent cx="6193155" cy="3653155"/>
            <wp:effectExtent l="0" t="0" r="4445" b="444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94"/>
                    <a:stretch>
                      <a:fillRect/>
                    </a:stretch>
                  </pic:blipFill>
                  <pic:spPr>
                    <a:xfrm>
                      <a:off x="0" y="0"/>
                      <a:ext cx="6193155" cy="3653155"/>
                    </a:xfrm>
                    <a:prstGeom prst="rect">
                      <a:avLst/>
                    </a:prstGeom>
                  </pic:spPr>
                </pic:pic>
              </a:graphicData>
            </a:graphic>
          </wp:inline>
        </w:drawing>
      </w:r>
    </w:p>
    <w:p w14:paraId="07607DD9">
      <w:pPr>
        <w:pStyle w:val="12"/>
        <w:spacing w:before="120" w:after="120"/>
        <w:rPr>
          <w:rFonts w:ascii="Calibri" w:hAnsi="Calibri" w:cs="Calibri"/>
          <w:sz w:val="21"/>
          <w:szCs w:val="21"/>
        </w:rPr>
      </w:pPr>
      <w:r>
        <w:t xml:space="preserve">Figure </w:t>
      </w:r>
      <w:r>
        <w:fldChar w:fldCharType="begin"/>
      </w:r>
      <w:r>
        <w:instrText xml:space="preserve"> STYLEREF 1 \s </w:instrText>
      </w:r>
      <w:r>
        <w:fldChar w:fldCharType="separate"/>
      </w:r>
      <w:r>
        <w:t>9</w:t>
      </w:r>
      <w:r>
        <w:fldChar w:fldCharType="end"/>
      </w:r>
      <w:r>
        <w:t>.</w:t>
      </w:r>
      <w:r>
        <w:fldChar w:fldCharType="begin"/>
      </w:r>
      <w:r>
        <w:instrText xml:space="preserve"> SEQ Figure \* ARABIC \s 1 </w:instrText>
      </w:r>
      <w:r>
        <w:fldChar w:fldCharType="separate"/>
      </w:r>
      <w:r>
        <w:t>3</w:t>
      </w:r>
      <w:r>
        <w:fldChar w:fldCharType="end"/>
      </w:r>
      <w:r>
        <w:t xml:space="preserve"> Variable Monitoring Tab</w:t>
      </w:r>
    </w:p>
    <w:p w14:paraId="7962D691">
      <w:pPr>
        <w:pStyle w:val="4"/>
        <w:spacing w:before="120" w:beforeLines="50" w:after="120" w:afterLines="50"/>
        <w:rPr>
          <w:rFonts w:asciiTheme="minorHAnsi" w:hAnsiTheme="minorHAnsi" w:cstheme="minorHAnsi"/>
        </w:rPr>
      </w:pPr>
      <w:bookmarkStart w:id="179" w:name="_Toc199429851"/>
      <w:r>
        <w:rPr>
          <w:rFonts w:asciiTheme="minorHAnsi" w:hAnsiTheme="minorHAnsi" w:cstheme="minorHAnsi"/>
        </w:rPr>
        <w:t>Special Commands</w:t>
      </w:r>
      <w:bookmarkEnd w:id="179"/>
    </w:p>
    <w:p w14:paraId="5FCE8371">
      <w:pPr>
        <w:pStyle w:val="40"/>
        <w:spacing w:after="240" w:line="240" w:lineRule="auto"/>
        <w:ind w:left="0"/>
        <w:rPr>
          <w:rFonts w:cstheme="minorHAnsi"/>
          <w:sz w:val="21"/>
          <w:szCs w:val="21"/>
        </w:rPr>
      </w:pPr>
      <w:r>
        <w:rPr>
          <w:rFonts w:cstheme="minorHAnsi"/>
          <w:sz w:val="21"/>
          <w:szCs w:val="21"/>
        </w:rPr>
        <w:t>The special command tab allows for reading or modifying functions such as LCD display type, LCD operation mode, small signal cutoff, and saving/restoring related parameters, as shown in Figure 9.4.</w:t>
      </w:r>
    </w:p>
    <w:p w14:paraId="2BA5F11F">
      <w:pPr>
        <w:pStyle w:val="40"/>
        <w:keepNext/>
        <w:spacing w:after="240"/>
        <w:ind w:left="0"/>
        <w:jc w:val="center"/>
      </w:pPr>
      <w:r>
        <w:drawing>
          <wp:inline distT="0" distB="0" distL="0" distR="0">
            <wp:extent cx="6193155" cy="2495550"/>
            <wp:effectExtent l="0" t="0" r="4445" b="635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95"/>
                    <a:stretch>
                      <a:fillRect/>
                    </a:stretch>
                  </pic:blipFill>
                  <pic:spPr>
                    <a:xfrm>
                      <a:off x="0" y="0"/>
                      <a:ext cx="6193155" cy="2495550"/>
                    </a:xfrm>
                    <a:prstGeom prst="rect">
                      <a:avLst/>
                    </a:prstGeom>
                  </pic:spPr>
                </pic:pic>
              </a:graphicData>
            </a:graphic>
          </wp:inline>
        </w:drawing>
      </w:r>
    </w:p>
    <w:p w14:paraId="10956F2E">
      <w:pPr>
        <w:pStyle w:val="12"/>
        <w:spacing w:before="120" w:after="120"/>
      </w:pPr>
      <w:r>
        <w:t xml:space="preserve">Figure </w:t>
      </w:r>
      <w:r>
        <w:fldChar w:fldCharType="begin"/>
      </w:r>
      <w:r>
        <w:instrText xml:space="preserve"> STYLEREF 1 \s </w:instrText>
      </w:r>
      <w:r>
        <w:fldChar w:fldCharType="separate"/>
      </w:r>
      <w:r>
        <w:t>9</w:t>
      </w:r>
      <w:r>
        <w:fldChar w:fldCharType="end"/>
      </w:r>
      <w:r>
        <w:t>.</w:t>
      </w:r>
      <w:r>
        <w:fldChar w:fldCharType="begin"/>
      </w:r>
      <w:r>
        <w:instrText xml:space="preserve"> SEQ Figure \* ARABIC \s 1 </w:instrText>
      </w:r>
      <w:r>
        <w:fldChar w:fldCharType="separate"/>
      </w:r>
      <w:r>
        <w:t>4</w:t>
      </w:r>
      <w:r>
        <w:fldChar w:fldCharType="end"/>
      </w:r>
      <w:r>
        <w:t xml:space="preserve"> Special Command Tab</w:t>
      </w:r>
    </w:p>
    <w:p w14:paraId="2AFBCC70">
      <w:pPr>
        <w:pStyle w:val="40"/>
        <w:spacing w:after="240" w:line="240" w:lineRule="auto"/>
        <w:ind w:left="0"/>
        <w:rPr>
          <w:rFonts w:cstheme="minorHAnsi"/>
          <w:sz w:val="21"/>
          <w:szCs w:val="21"/>
        </w:rPr>
      </w:pPr>
      <w:r>
        <w:rPr>
          <w:rFonts w:cstheme="minorHAnsi"/>
          <w:sz w:val="21"/>
          <w:szCs w:val="21"/>
        </w:rPr>
        <w:t>This tab contains:</w:t>
      </w:r>
    </w:p>
    <w:p w14:paraId="18DEAD4C">
      <w:pPr>
        <w:pStyle w:val="40"/>
        <w:spacing w:after="240" w:line="240" w:lineRule="auto"/>
        <w:ind w:left="0"/>
        <w:rPr>
          <w:rFonts w:cstheme="minorHAnsi"/>
          <w:sz w:val="21"/>
          <w:szCs w:val="21"/>
        </w:rPr>
      </w:pPr>
      <w:r>
        <w:rPr>
          <w:rFonts w:cstheme="minorHAnsi"/>
          <w:sz w:val="21"/>
          <w:szCs w:val="21"/>
        </w:rPr>
        <w:t>1) LCD display type: used to set the main variables displayed on the transmitter LCD head. It can be set to display the main variable value, display the second variable value, display the battery voltage value, display the percentage, and display the main variable and battery voltage value alternately.</w:t>
      </w:r>
    </w:p>
    <w:p w14:paraId="31AAF076">
      <w:pPr>
        <w:pStyle w:val="40"/>
        <w:spacing w:after="240" w:line="240" w:lineRule="auto"/>
        <w:ind w:left="0"/>
        <w:rPr>
          <w:rFonts w:cstheme="minorHAnsi"/>
          <w:sz w:val="21"/>
          <w:szCs w:val="21"/>
        </w:rPr>
      </w:pPr>
      <w:r>
        <w:rPr>
          <w:rFonts w:cstheme="minorHAnsi"/>
          <w:sz w:val="21"/>
          <w:szCs w:val="21"/>
        </w:rPr>
        <w:t>2) Local operation: used to set the display mode of the transmitter LCD head. Can be set as: off, cycle on, on.</w:t>
      </w:r>
    </w:p>
    <w:p w14:paraId="05D7AD05">
      <w:pPr>
        <w:pStyle w:val="40"/>
        <w:spacing w:after="240" w:line="240" w:lineRule="auto"/>
        <w:ind w:left="0"/>
        <w:rPr>
          <w:rFonts w:cstheme="minorHAnsi"/>
          <w:sz w:val="21"/>
          <w:szCs w:val="21"/>
        </w:rPr>
      </w:pPr>
      <w:r>
        <w:rPr>
          <w:rFonts w:cstheme="minorHAnsi"/>
          <w:sz w:val="21"/>
          <w:szCs w:val="21"/>
        </w:rPr>
        <w:t>3) Small signal resection: The percentage range of small signal resection is 0.0~0.005.</w:t>
      </w:r>
    </w:p>
    <w:p w14:paraId="02208C97">
      <w:pPr>
        <w:pStyle w:val="40"/>
        <w:spacing w:after="240" w:line="240" w:lineRule="auto"/>
        <w:ind w:left="0"/>
        <w:rPr>
          <w:rFonts w:cstheme="minorHAnsi"/>
          <w:sz w:val="21"/>
          <w:szCs w:val="21"/>
        </w:rPr>
      </w:pPr>
      <w:r>
        <w:rPr>
          <w:rFonts w:cstheme="minorHAnsi"/>
          <w:sz w:val="21"/>
          <w:szCs w:val="21"/>
        </w:rPr>
        <w:t>4) Data saving and recovery: Restore range calibration and zero calibration data to default values, save current configuration data to factory values or restore previously saved configuration data.</w:t>
      </w:r>
    </w:p>
    <w:p w14:paraId="53B72FDB">
      <w:pPr>
        <w:pStyle w:val="4"/>
        <w:spacing w:before="120" w:beforeLines="50" w:after="120" w:afterLines="50"/>
        <w:rPr>
          <w:rFonts w:asciiTheme="minorHAnsi" w:hAnsiTheme="minorHAnsi" w:cstheme="minorHAnsi"/>
        </w:rPr>
      </w:pPr>
      <w:bookmarkStart w:id="180" w:name="_Toc199429852"/>
      <w:r>
        <w:rPr>
          <w:rFonts w:asciiTheme="minorHAnsi" w:hAnsiTheme="minorHAnsi" w:cstheme="minorHAnsi"/>
        </w:rPr>
        <w:t>Additional Information</w:t>
      </w:r>
      <w:bookmarkEnd w:id="180"/>
    </w:p>
    <w:p w14:paraId="35B3BFD2">
      <w:pPr>
        <w:pStyle w:val="40"/>
        <w:spacing w:after="240" w:line="240" w:lineRule="auto"/>
        <w:ind w:left="0"/>
        <w:rPr>
          <w:rFonts w:cstheme="minorHAnsi"/>
          <w:sz w:val="21"/>
          <w:szCs w:val="21"/>
        </w:rPr>
      </w:pPr>
      <w:r>
        <w:rPr>
          <w:rFonts w:cstheme="minorHAnsi"/>
          <w:sz w:val="21"/>
          <w:szCs w:val="21"/>
        </w:rPr>
        <w:t>The additional information tab allows you to read or modify transmitter related material information and sensor acquisition cycles, as shown in Figure 9.5. The sensor acquisition cycle is set within the range of 1-3600 seconds.</w:t>
      </w:r>
    </w:p>
    <w:p w14:paraId="1C4B5081">
      <w:pPr>
        <w:pStyle w:val="40"/>
        <w:keepNext/>
        <w:spacing w:after="240"/>
        <w:ind w:left="0"/>
        <w:jc w:val="center"/>
      </w:pPr>
      <w:r>
        <w:drawing>
          <wp:inline distT="0" distB="0" distL="0" distR="0">
            <wp:extent cx="6193155" cy="3578860"/>
            <wp:effectExtent l="0" t="0" r="4445" b="254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96"/>
                    <a:stretch>
                      <a:fillRect/>
                    </a:stretch>
                  </pic:blipFill>
                  <pic:spPr>
                    <a:xfrm>
                      <a:off x="0" y="0"/>
                      <a:ext cx="6193155" cy="3578860"/>
                    </a:xfrm>
                    <a:prstGeom prst="rect">
                      <a:avLst/>
                    </a:prstGeom>
                  </pic:spPr>
                </pic:pic>
              </a:graphicData>
            </a:graphic>
          </wp:inline>
        </w:drawing>
      </w:r>
    </w:p>
    <w:p w14:paraId="4BD2BE45">
      <w:pPr>
        <w:pStyle w:val="12"/>
        <w:spacing w:before="120" w:after="120"/>
        <w:rPr>
          <w:rFonts w:ascii="Calibri" w:hAnsi="Calibri"/>
          <w:sz w:val="21"/>
          <w:szCs w:val="21"/>
        </w:rPr>
      </w:pPr>
      <w:r>
        <w:t xml:space="preserve">Figure </w:t>
      </w:r>
      <w:r>
        <w:fldChar w:fldCharType="begin"/>
      </w:r>
      <w:r>
        <w:instrText xml:space="preserve"> STYLEREF 1 \s </w:instrText>
      </w:r>
      <w:r>
        <w:fldChar w:fldCharType="separate"/>
      </w:r>
      <w:r>
        <w:t>9</w:t>
      </w:r>
      <w:r>
        <w:fldChar w:fldCharType="end"/>
      </w:r>
      <w:r>
        <w:t>.</w:t>
      </w:r>
      <w:r>
        <w:fldChar w:fldCharType="begin"/>
      </w:r>
      <w:r>
        <w:instrText xml:space="preserve"> SEQ Figure \* ARABIC \s 1 </w:instrText>
      </w:r>
      <w:r>
        <w:fldChar w:fldCharType="separate"/>
      </w:r>
      <w:r>
        <w:t>5</w:t>
      </w:r>
      <w:r>
        <w:fldChar w:fldCharType="end"/>
      </w:r>
      <w:r>
        <w:t xml:space="preserve"> Additional Information Tab</w:t>
      </w:r>
    </w:p>
    <w:p w14:paraId="442B9772">
      <w:pPr>
        <w:pStyle w:val="4"/>
        <w:spacing w:before="120" w:beforeLines="50" w:after="120" w:afterLines="50"/>
        <w:rPr>
          <w:rFonts w:asciiTheme="minorHAnsi" w:hAnsiTheme="minorHAnsi" w:cstheme="minorHAnsi"/>
        </w:rPr>
      </w:pPr>
      <w:bookmarkStart w:id="181" w:name="_Toc199429853"/>
      <w:r>
        <w:rPr>
          <w:rFonts w:asciiTheme="minorHAnsi" w:hAnsiTheme="minorHAnsi" w:cstheme="minorHAnsi"/>
        </w:rPr>
        <w:t>Network Information Configuration</w:t>
      </w:r>
      <w:bookmarkEnd w:id="181"/>
    </w:p>
    <w:p w14:paraId="660FABAC">
      <w:pPr>
        <w:pStyle w:val="40"/>
        <w:spacing w:after="240" w:line="240" w:lineRule="auto"/>
        <w:ind w:left="0"/>
        <w:rPr>
          <w:rFonts w:cstheme="minorHAnsi"/>
          <w:sz w:val="21"/>
          <w:szCs w:val="21"/>
        </w:rPr>
      </w:pPr>
      <w:r>
        <w:rPr>
          <w:rFonts w:cstheme="minorHAnsi"/>
          <w:sz w:val="21"/>
          <w:szCs w:val="21"/>
        </w:rPr>
        <w:t>The Network Information Configuration tab allows you to read or modify wireless network parameters, including join key, join mode, and network ID, as shown in Figure 9.6. To join a wireless network, the device needs to configure the join mode as Join now, and the join key and network ID should be consistent with the gateway parameters of the network to be joined.</w:t>
      </w:r>
    </w:p>
    <w:p w14:paraId="2D4C6C49">
      <w:pPr>
        <w:pStyle w:val="40"/>
        <w:keepNext/>
        <w:spacing w:after="240"/>
        <w:ind w:left="0"/>
        <w:jc w:val="center"/>
      </w:pPr>
      <w:r>
        <w:drawing>
          <wp:inline distT="0" distB="0" distL="0" distR="0">
            <wp:extent cx="6193155" cy="2383790"/>
            <wp:effectExtent l="0" t="0" r="0" b="0"/>
            <wp:docPr id="133844589" name="图片 13384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4589" name="图片 133844589"/>
                    <pic:cNvPicPr>
                      <a:picLocks noChangeAspect="1"/>
                    </pic:cNvPicPr>
                  </pic:nvPicPr>
                  <pic:blipFill>
                    <a:blip r:embed="rId97"/>
                    <a:stretch>
                      <a:fillRect/>
                    </a:stretch>
                  </pic:blipFill>
                  <pic:spPr>
                    <a:xfrm>
                      <a:off x="0" y="0"/>
                      <a:ext cx="6193155" cy="2383790"/>
                    </a:xfrm>
                    <a:prstGeom prst="rect">
                      <a:avLst/>
                    </a:prstGeom>
                  </pic:spPr>
                </pic:pic>
              </a:graphicData>
            </a:graphic>
          </wp:inline>
        </w:drawing>
      </w:r>
    </w:p>
    <w:p w14:paraId="0239E398">
      <w:pPr>
        <w:pStyle w:val="12"/>
        <w:spacing w:before="120" w:after="120"/>
        <w:rPr>
          <w:rFonts w:ascii="Calibri" w:hAnsi="Calibri"/>
          <w:sz w:val="21"/>
          <w:szCs w:val="21"/>
        </w:rPr>
      </w:pPr>
      <w:r>
        <w:t xml:space="preserve">Figure </w:t>
      </w:r>
      <w:r>
        <w:fldChar w:fldCharType="begin"/>
      </w:r>
      <w:r>
        <w:instrText xml:space="preserve"> STYLEREF 1 \s </w:instrText>
      </w:r>
      <w:r>
        <w:fldChar w:fldCharType="separate"/>
      </w:r>
      <w:r>
        <w:t>9</w:t>
      </w:r>
      <w:r>
        <w:fldChar w:fldCharType="end"/>
      </w:r>
      <w:r>
        <w:t>.</w:t>
      </w:r>
      <w:r>
        <w:fldChar w:fldCharType="begin"/>
      </w:r>
      <w:r>
        <w:instrText xml:space="preserve"> SEQ Figure \* ARABIC \s 1 </w:instrText>
      </w:r>
      <w:r>
        <w:fldChar w:fldCharType="separate"/>
      </w:r>
      <w:r>
        <w:t>6</w:t>
      </w:r>
      <w:r>
        <w:fldChar w:fldCharType="end"/>
      </w:r>
      <w:r>
        <w:t xml:space="preserve"> Network Information Configuration Tab</w:t>
      </w:r>
    </w:p>
    <w:p w14:paraId="12793F21">
      <w:pPr>
        <w:pStyle w:val="4"/>
        <w:spacing w:before="120" w:beforeLines="50" w:after="120" w:afterLines="50"/>
        <w:rPr>
          <w:rFonts w:asciiTheme="minorHAnsi" w:hAnsiTheme="minorHAnsi" w:cstheme="minorHAnsi"/>
        </w:rPr>
      </w:pPr>
      <w:bookmarkStart w:id="182" w:name="_Toc5622"/>
      <w:bookmarkStart w:id="183" w:name="_Toc199429854"/>
      <w:r>
        <w:rPr>
          <w:rFonts w:asciiTheme="minorHAnsi" w:hAnsiTheme="minorHAnsi" w:cstheme="minorHAnsi"/>
        </w:rPr>
        <w:t>Burst</w:t>
      </w:r>
      <w:bookmarkEnd w:id="182"/>
      <w:r>
        <w:rPr>
          <w:rFonts w:asciiTheme="minorHAnsi" w:hAnsiTheme="minorHAnsi" w:cstheme="minorHAnsi"/>
        </w:rPr>
        <w:t xml:space="preserve"> Configuration</w:t>
      </w:r>
      <w:bookmarkEnd w:id="183"/>
    </w:p>
    <w:p w14:paraId="5077895C">
      <w:pPr>
        <w:pStyle w:val="40"/>
        <w:spacing w:after="240" w:line="240" w:lineRule="auto"/>
        <w:ind w:left="0"/>
        <w:rPr>
          <w:rFonts w:cstheme="minorHAnsi"/>
          <w:sz w:val="21"/>
          <w:szCs w:val="21"/>
        </w:rPr>
      </w:pPr>
      <w:r>
        <w:rPr>
          <w:rFonts w:cstheme="minorHAnsi"/>
          <w:sz w:val="21"/>
          <w:szCs w:val="21"/>
        </w:rPr>
        <w:t>The Burst configuration tab allows you to read or modify Burst parameters, including Burst messages, Burst cycles, device variables, Burst commands, and Burst modes, as shown in Figure 9.7.</w:t>
      </w:r>
    </w:p>
    <w:p w14:paraId="7493ED5F">
      <w:pPr>
        <w:pStyle w:val="40"/>
        <w:keepNext/>
        <w:spacing w:after="240"/>
        <w:ind w:left="0"/>
        <w:jc w:val="center"/>
      </w:pPr>
      <w:r>
        <w:drawing>
          <wp:inline distT="0" distB="0" distL="0" distR="0">
            <wp:extent cx="6193155" cy="3049905"/>
            <wp:effectExtent l="0" t="0" r="0" b="0"/>
            <wp:docPr id="637021236" name="图片 63702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21236" name="图片 637021236"/>
                    <pic:cNvPicPr>
                      <a:picLocks noChangeAspect="1"/>
                    </pic:cNvPicPr>
                  </pic:nvPicPr>
                  <pic:blipFill>
                    <a:blip r:embed="rId98"/>
                    <a:stretch>
                      <a:fillRect/>
                    </a:stretch>
                  </pic:blipFill>
                  <pic:spPr>
                    <a:xfrm>
                      <a:off x="0" y="0"/>
                      <a:ext cx="6193155" cy="3049905"/>
                    </a:xfrm>
                    <a:prstGeom prst="rect">
                      <a:avLst/>
                    </a:prstGeom>
                  </pic:spPr>
                </pic:pic>
              </a:graphicData>
            </a:graphic>
          </wp:inline>
        </w:drawing>
      </w:r>
    </w:p>
    <w:p w14:paraId="14DD5F5E">
      <w:pPr>
        <w:pStyle w:val="12"/>
        <w:spacing w:before="120" w:after="120"/>
        <w:rPr>
          <w:rFonts w:ascii="Calibri" w:hAnsi="Calibri"/>
          <w:sz w:val="21"/>
          <w:szCs w:val="21"/>
        </w:rPr>
      </w:pPr>
      <w:r>
        <w:t xml:space="preserve">Figure </w:t>
      </w:r>
      <w:r>
        <w:fldChar w:fldCharType="begin"/>
      </w:r>
      <w:r>
        <w:instrText xml:space="preserve"> STYLEREF 1 \s </w:instrText>
      </w:r>
      <w:r>
        <w:fldChar w:fldCharType="separate"/>
      </w:r>
      <w:r>
        <w:t>9</w:t>
      </w:r>
      <w:r>
        <w:fldChar w:fldCharType="end"/>
      </w:r>
      <w:r>
        <w:t>.</w:t>
      </w:r>
      <w:r>
        <w:fldChar w:fldCharType="begin"/>
      </w:r>
      <w:r>
        <w:instrText xml:space="preserve"> SEQ Figure \* ARABIC \s 1 </w:instrText>
      </w:r>
      <w:r>
        <w:fldChar w:fldCharType="separate"/>
      </w:r>
      <w:r>
        <w:t>7</w:t>
      </w:r>
      <w:r>
        <w:fldChar w:fldCharType="end"/>
      </w:r>
      <w:r>
        <w:rPr>
          <w:rFonts w:hint="eastAsia"/>
        </w:rPr>
        <w:t xml:space="preserve"> Burst</w:t>
      </w:r>
      <w:r>
        <w:t xml:space="preserve"> Configuration Tab</w:t>
      </w:r>
    </w:p>
    <w:p w14:paraId="07EAB98A">
      <w:pPr>
        <w:pStyle w:val="40"/>
        <w:numPr>
          <w:ilvl w:val="0"/>
          <w:numId w:val="26"/>
        </w:numPr>
        <w:spacing w:after="0" w:afterLines="0"/>
        <w:rPr>
          <w:rFonts w:ascii="Calibri" w:hAnsi="Calibri" w:cs="Calibri"/>
          <w:sz w:val="21"/>
          <w:szCs w:val="21"/>
        </w:rPr>
      </w:pPr>
      <w:r>
        <w:rPr>
          <w:rFonts w:ascii="Calibri" w:hAnsi="Calibri" w:cs="Calibri"/>
          <w:sz w:val="21"/>
          <w:szCs w:val="21"/>
        </w:rPr>
        <w:t>Burst messages support 4 types of messages from 0 to 3, and the 4 message modes are independent of each other.</w:t>
      </w:r>
    </w:p>
    <w:p w14:paraId="52DCAA9D">
      <w:pPr>
        <w:pStyle w:val="40"/>
        <w:numPr>
          <w:ilvl w:val="0"/>
          <w:numId w:val="26"/>
        </w:numPr>
        <w:spacing w:after="0" w:afterLines="0"/>
        <w:rPr>
          <w:rFonts w:ascii="Calibri" w:hAnsi="Calibri" w:cs="Calibri"/>
          <w:sz w:val="21"/>
          <w:szCs w:val="21"/>
        </w:rPr>
      </w:pPr>
      <w:r>
        <w:rPr>
          <w:rFonts w:ascii="Calibri" w:hAnsi="Calibri" w:cs="Calibri"/>
          <w:sz w:val="21"/>
          <w:szCs w:val="21"/>
        </w:rPr>
        <w:t>The Burst cycle supports 1s, 2s, 4s, 8s, 16s, 32s, 60s~3600s.</w:t>
      </w:r>
    </w:p>
    <w:p w14:paraId="768A2DD0">
      <w:pPr>
        <w:pStyle w:val="40"/>
        <w:numPr>
          <w:ilvl w:val="0"/>
          <w:numId w:val="26"/>
        </w:numPr>
        <w:spacing w:after="0" w:afterLines="0"/>
        <w:rPr>
          <w:rFonts w:ascii="Calibri" w:hAnsi="Calibri" w:cs="Calibri"/>
          <w:sz w:val="21"/>
          <w:szCs w:val="21"/>
        </w:rPr>
      </w:pPr>
      <w:r>
        <w:rPr>
          <w:rFonts w:ascii="Calibri" w:hAnsi="Calibri" w:cs="Calibri"/>
          <w:sz w:val="21"/>
          <w:szCs w:val="21"/>
        </w:rPr>
        <w:t>The device variable is only activated when the Burst command is set to 9, and the variable transmitted by Burst can be modified. The command code supports six types of commands: 1, 2, 3, 9, 33, and 48.</w:t>
      </w:r>
    </w:p>
    <w:p w14:paraId="1058F00E">
      <w:pPr>
        <w:pStyle w:val="40"/>
        <w:numPr>
          <w:ilvl w:val="0"/>
          <w:numId w:val="26"/>
        </w:numPr>
        <w:spacing w:after="0" w:afterLines="0"/>
        <w:rPr>
          <w:rFonts w:ascii="Calibri" w:hAnsi="Calibri" w:cs="Calibri"/>
          <w:sz w:val="21"/>
          <w:szCs w:val="21"/>
        </w:rPr>
      </w:pPr>
      <w:r>
        <w:rPr>
          <w:rFonts w:ascii="Calibri" w:hAnsi="Calibri" w:cs="Calibri"/>
          <w:sz w:val="21"/>
          <w:szCs w:val="21"/>
        </w:rPr>
        <w:t>Burst mode is ON/OFF. After the device is connected to the network, it needs to wait for a certain delay in startup time to enable Burst mode.</w:t>
      </w:r>
    </w:p>
    <w:p w14:paraId="3EFDF3B8">
      <w:pPr>
        <w:pStyle w:val="4"/>
        <w:spacing w:before="120" w:beforeLines="50" w:after="120" w:afterLines="50"/>
        <w:rPr>
          <w:rFonts w:asciiTheme="minorHAnsi" w:hAnsiTheme="minorHAnsi" w:cstheme="minorHAnsi"/>
        </w:rPr>
      </w:pPr>
      <w:bookmarkStart w:id="184" w:name="_Toc199429855"/>
      <w:r>
        <w:rPr>
          <w:rFonts w:asciiTheme="minorHAnsi" w:hAnsiTheme="minorHAnsi" w:cstheme="minorHAnsi"/>
        </w:rPr>
        <w:t>Network Monitor</w:t>
      </w:r>
      <w:bookmarkEnd w:id="184"/>
    </w:p>
    <w:p w14:paraId="2F7BC13F">
      <w:pPr>
        <w:pStyle w:val="40"/>
        <w:spacing w:after="240" w:line="240" w:lineRule="auto"/>
        <w:ind w:left="0"/>
        <w:rPr>
          <w:rFonts w:cstheme="minorHAnsi"/>
          <w:sz w:val="21"/>
          <w:szCs w:val="21"/>
        </w:rPr>
      </w:pPr>
      <w:r>
        <w:rPr>
          <w:rFonts w:cstheme="minorHAnsi"/>
          <w:sz w:val="21"/>
          <w:szCs w:val="21"/>
        </w:rPr>
        <w:t>The network monitor tab allows you to view the device's network access status, as shown in Figure 9.8.</w:t>
      </w:r>
    </w:p>
    <w:p w14:paraId="64648807">
      <w:pPr>
        <w:pStyle w:val="40"/>
        <w:keepNext/>
        <w:spacing w:after="240"/>
        <w:ind w:left="0"/>
        <w:jc w:val="center"/>
      </w:pPr>
      <w:r>
        <w:drawing>
          <wp:inline distT="0" distB="0" distL="0" distR="0">
            <wp:extent cx="5939155" cy="3115310"/>
            <wp:effectExtent l="0" t="0" r="4445" b="0"/>
            <wp:docPr id="955642683" name="图片 95564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42683" name="图片 955642683"/>
                    <pic:cNvPicPr>
                      <a:picLocks noChangeAspect="1"/>
                    </pic:cNvPicPr>
                  </pic:nvPicPr>
                  <pic:blipFill>
                    <a:blip r:embed="rId99"/>
                    <a:stretch>
                      <a:fillRect/>
                    </a:stretch>
                  </pic:blipFill>
                  <pic:spPr>
                    <a:xfrm>
                      <a:off x="0" y="0"/>
                      <a:ext cx="5947978" cy="3120051"/>
                    </a:xfrm>
                    <a:prstGeom prst="rect">
                      <a:avLst/>
                    </a:prstGeom>
                  </pic:spPr>
                </pic:pic>
              </a:graphicData>
            </a:graphic>
          </wp:inline>
        </w:drawing>
      </w:r>
    </w:p>
    <w:p w14:paraId="39B15AD7">
      <w:pPr>
        <w:pStyle w:val="12"/>
        <w:spacing w:before="120" w:after="120"/>
        <w:rPr>
          <w:rFonts w:ascii="Calibri" w:hAnsi="Calibri"/>
          <w:sz w:val="21"/>
          <w:szCs w:val="21"/>
        </w:rPr>
      </w:pPr>
      <w:r>
        <w:t xml:space="preserve">Figure </w:t>
      </w:r>
      <w:r>
        <w:fldChar w:fldCharType="begin"/>
      </w:r>
      <w:r>
        <w:instrText xml:space="preserve"> STYLEREF 1 \s </w:instrText>
      </w:r>
      <w:r>
        <w:fldChar w:fldCharType="separate"/>
      </w:r>
      <w:r>
        <w:t>9</w:t>
      </w:r>
      <w:r>
        <w:fldChar w:fldCharType="end"/>
      </w:r>
      <w:r>
        <w:t>.</w:t>
      </w:r>
      <w:r>
        <w:fldChar w:fldCharType="begin"/>
      </w:r>
      <w:r>
        <w:instrText xml:space="preserve"> SEQ Figure \* ARABIC \s 1 </w:instrText>
      </w:r>
      <w:r>
        <w:fldChar w:fldCharType="separate"/>
      </w:r>
      <w:r>
        <w:t>8</w:t>
      </w:r>
      <w:r>
        <w:fldChar w:fldCharType="end"/>
      </w:r>
      <w:r>
        <w:t xml:space="preserve"> Network Monitor Tab</w:t>
      </w:r>
    </w:p>
    <w:p w14:paraId="0A2A2AB9">
      <w:pPr>
        <w:pStyle w:val="40"/>
        <w:spacing w:after="240" w:line="240" w:lineRule="auto"/>
        <w:ind w:left="0"/>
        <w:rPr>
          <w:rFonts w:cstheme="minorHAnsi"/>
          <w:sz w:val="21"/>
          <w:szCs w:val="21"/>
        </w:rPr>
      </w:pPr>
      <w:r>
        <w:rPr>
          <w:rFonts w:cstheme="minorHAnsi"/>
          <w:sz w:val="21"/>
          <w:szCs w:val="21"/>
        </w:rPr>
        <w:t>The normal network access process takes 2-5 minutes, and the duration of network access depends on the number of network devices in the same network and the distance between the devices and the gateway. When the wireless mode in the status parameter bar displays "Operational", the device has successfully connected to the network. At this time, entering the gateway page, you can see that the device has already connected to the network.</w:t>
      </w:r>
    </w:p>
    <w:p w14:paraId="0EB5AF5C">
      <w:pPr>
        <w:pStyle w:val="4"/>
        <w:spacing w:before="120" w:beforeLines="50" w:after="120" w:afterLines="50"/>
        <w:rPr>
          <w:rFonts w:asciiTheme="minorHAnsi" w:hAnsiTheme="minorHAnsi" w:cstheme="minorHAnsi"/>
        </w:rPr>
      </w:pPr>
      <w:bookmarkStart w:id="185" w:name="_Toc199429856"/>
      <w:r>
        <w:rPr>
          <w:rFonts w:hint="eastAsia" w:asciiTheme="minorHAnsi" w:hAnsiTheme="minorHAnsi" w:cstheme="minorHAnsi"/>
        </w:rPr>
        <w:t>O</w:t>
      </w:r>
      <w:r>
        <w:rPr>
          <w:rFonts w:asciiTheme="minorHAnsi" w:hAnsiTheme="minorHAnsi" w:cstheme="minorHAnsi"/>
        </w:rPr>
        <w:t>ther Configuration</w:t>
      </w:r>
      <w:bookmarkEnd w:id="185"/>
    </w:p>
    <w:p w14:paraId="6B152014">
      <w:pPr>
        <w:pStyle w:val="40"/>
        <w:spacing w:after="240"/>
        <w:ind w:left="0"/>
        <w:rPr>
          <w:rFonts w:cstheme="minorHAnsi"/>
          <w:sz w:val="21"/>
          <w:szCs w:val="21"/>
        </w:rPr>
      </w:pPr>
      <w:r>
        <w:rPr>
          <w:rFonts w:cstheme="minorHAnsi"/>
          <w:sz w:val="21"/>
          <w:szCs w:val="21"/>
        </w:rPr>
        <w:t>The RF receiver sensitivity and transmission power can be read or modified through other configuration tab, as shown in Figure 9.9.</w:t>
      </w:r>
    </w:p>
    <w:p w14:paraId="6CD844B7">
      <w:pPr>
        <w:pStyle w:val="40"/>
        <w:keepNext/>
        <w:spacing w:after="240"/>
        <w:ind w:left="0"/>
        <w:jc w:val="center"/>
      </w:pPr>
      <w:r>
        <w:drawing>
          <wp:inline distT="0" distB="0" distL="0" distR="0">
            <wp:extent cx="5819775" cy="1314450"/>
            <wp:effectExtent l="0" t="0" r="0" b="6350"/>
            <wp:docPr id="291832273" name="图片 29183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32273" name="图片 291832273"/>
                    <pic:cNvPicPr>
                      <a:picLocks noChangeAspect="1"/>
                    </pic:cNvPicPr>
                  </pic:nvPicPr>
                  <pic:blipFill>
                    <a:blip r:embed="rId100"/>
                    <a:stretch>
                      <a:fillRect/>
                    </a:stretch>
                  </pic:blipFill>
                  <pic:spPr>
                    <a:xfrm>
                      <a:off x="0" y="0"/>
                      <a:ext cx="5837017" cy="1318461"/>
                    </a:xfrm>
                    <a:prstGeom prst="rect">
                      <a:avLst/>
                    </a:prstGeom>
                  </pic:spPr>
                </pic:pic>
              </a:graphicData>
            </a:graphic>
          </wp:inline>
        </w:drawing>
      </w:r>
    </w:p>
    <w:p w14:paraId="247CA04B">
      <w:pPr>
        <w:pStyle w:val="12"/>
        <w:spacing w:before="120" w:after="120"/>
        <w:rPr>
          <w:rFonts w:ascii="Calibri" w:hAnsi="Calibri"/>
          <w:sz w:val="21"/>
          <w:szCs w:val="21"/>
        </w:rPr>
      </w:pPr>
      <w:r>
        <w:t xml:space="preserve">Figure </w:t>
      </w:r>
      <w:r>
        <w:fldChar w:fldCharType="begin"/>
      </w:r>
      <w:r>
        <w:instrText xml:space="preserve"> STYLEREF 1 \s </w:instrText>
      </w:r>
      <w:r>
        <w:fldChar w:fldCharType="separate"/>
      </w:r>
      <w:r>
        <w:t>9</w:t>
      </w:r>
      <w:r>
        <w:fldChar w:fldCharType="end"/>
      </w:r>
      <w:r>
        <w:t>.</w:t>
      </w:r>
      <w:r>
        <w:fldChar w:fldCharType="begin"/>
      </w:r>
      <w:r>
        <w:instrText xml:space="preserve"> SEQ Figure \* ARABIC \s 1 </w:instrText>
      </w:r>
      <w:r>
        <w:fldChar w:fldCharType="separate"/>
      </w:r>
      <w:r>
        <w:t>9</w:t>
      </w:r>
      <w:r>
        <w:fldChar w:fldCharType="end"/>
      </w:r>
      <w:r>
        <w:t xml:space="preserve"> </w:t>
      </w:r>
      <w:r>
        <w:rPr>
          <w:rFonts w:asciiTheme="minorHAnsi" w:hAnsiTheme="minorHAnsi" w:cstheme="minorHAnsi"/>
          <w:sz w:val="21"/>
          <w:szCs w:val="21"/>
        </w:rPr>
        <w:t>Other Configuration Tab</w:t>
      </w:r>
    </w:p>
    <w:p w14:paraId="41F5E6BC">
      <w:pPr>
        <w:pStyle w:val="40"/>
        <w:numPr>
          <w:ilvl w:val="0"/>
          <w:numId w:val="27"/>
        </w:numPr>
        <w:spacing w:after="0" w:afterLines="0"/>
        <w:rPr>
          <w:rFonts w:ascii="Calibri" w:hAnsi="Calibri" w:cs="Calibri"/>
          <w:sz w:val="21"/>
          <w:szCs w:val="21"/>
        </w:rPr>
      </w:pPr>
      <w:r>
        <w:rPr>
          <w:rFonts w:ascii="Calibri" w:hAnsi="Calibri" w:cs="Calibri"/>
          <w:sz w:val="21"/>
          <w:szCs w:val="21"/>
        </w:rPr>
        <w:t>Receiving sensitivity. When the distance between the gateway and the transmitter is too far or the RF signal is poor, the receiving sensitivity can be turned on to improve the RF receiving capability of the transmitter.</w:t>
      </w:r>
    </w:p>
    <w:p w14:paraId="11A193FD">
      <w:pPr>
        <w:pStyle w:val="40"/>
        <w:numPr>
          <w:ilvl w:val="0"/>
          <w:numId w:val="27"/>
        </w:numPr>
        <w:spacing w:after="0" w:afterLines="0"/>
        <w:rPr>
          <w:rFonts w:ascii="Calibri" w:hAnsi="Calibri" w:cs="Calibri"/>
          <w:sz w:val="21"/>
          <w:szCs w:val="21"/>
        </w:rPr>
      </w:pPr>
      <w:r>
        <w:rPr>
          <w:rFonts w:ascii="Calibri" w:hAnsi="Calibri" w:cs="Calibri"/>
          <w:sz w:val="21"/>
          <w:szCs w:val="21"/>
        </w:rPr>
        <w:t>Transmission power. The default transmission power of the transmitter is 10dBm, which can be modified to a maximum of 13dBm to enhance the transmitter's RF transmission capability.</w:t>
      </w:r>
    </w:p>
    <w:p w14:paraId="2F0E45CF">
      <w:pPr>
        <w:pStyle w:val="40"/>
        <w:spacing w:after="240"/>
        <w:ind w:left="0"/>
        <w:rPr>
          <w:rFonts w:ascii="Calibri" w:hAnsi="Calibri" w:cs="Calibri"/>
          <w:sz w:val="21"/>
          <w:szCs w:val="21"/>
        </w:rPr>
      </w:pPr>
      <w:r>
        <w:rPr>
          <w:rFonts w:ascii="Calibri" w:hAnsi="Calibri" w:cs="Calibri"/>
          <w:sz w:val="21"/>
          <w:szCs w:val="21"/>
        </w:rPr>
        <w:t>Note: The above operation will result in additional energy consumption.</w:t>
      </w:r>
    </w:p>
    <w:p w14:paraId="5198E27A">
      <w:pPr>
        <w:pStyle w:val="3"/>
        <w:spacing w:before="120" w:beforeLines="50" w:after="120" w:afterLines="50" w:line="240" w:lineRule="auto"/>
        <w:ind w:left="578" w:hanging="578"/>
        <w:rPr>
          <w:rFonts w:asciiTheme="minorHAnsi" w:hAnsiTheme="minorHAnsi" w:cstheme="minorHAnsi"/>
        </w:rPr>
      </w:pPr>
      <w:bookmarkStart w:id="186" w:name="_Toc25613"/>
      <w:bookmarkStart w:id="187" w:name="_Toc199429857"/>
      <w:r>
        <w:rPr>
          <w:rFonts w:asciiTheme="minorHAnsi" w:hAnsiTheme="minorHAnsi" w:cstheme="minorHAnsi"/>
        </w:rPr>
        <w:t>DD</w:t>
      </w:r>
      <w:bookmarkEnd w:id="186"/>
      <w:r>
        <w:rPr>
          <w:rFonts w:asciiTheme="minorHAnsi" w:hAnsiTheme="minorHAnsi" w:cstheme="minorHAnsi"/>
        </w:rPr>
        <w:t xml:space="preserve"> Menu Tree</w:t>
      </w:r>
      <w:bookmarkEnd w:id="187"/>
    </w:p>
    <w:p w14:paraId="402DA7E8">
      <w:pPr>
        <w:pStyle w:val="40"/>
        <w:keepNext/>
        <w:spacing w:after="240"/>
        <w:ind w:left="0"/>
        <w:jc w:val="center"/>
      </w:pPr>
      <w:r>
        <w:object>
          <v:shape id="_x0000_i1042" o:spt="75" type="#_x0000_t75" style="height:359.35pt;width:479.35pt;" o:ole="t" filled="f" o:preferrelative="t" stroked="f" coordsize="21600,21600">
            <v:path/>
            <v:fill on="f" focussize="0,0"/>
            <v:stroke on="f" joinstyle="miter"/>
            <v:imagedata r:id="rId102" o:title=""/>
            <o:lock v:ext="edit" aspectratio="t"/>
            <w10:wrap type="none"/>
            <w10:anchorlock/>
          </v:shape>
          <o:OLEObject Type="Embed" ProgID="Visio.Drawing.15" ShapeID="_x0000_i1042" DrawAspect="Content" ObjectID="_1468075742" r:id="rId101">
            <o:LockedField>false</o:LockedField>
          </o:OLEObject>
        </w:object>
      </w:r>
    </w:p>
    <w:p w14:paraId="21CD8884">
      <w:pPr>
        <w:pStyle w:val="12"/>
        <w:spacing w:before="120" w:after="120"/>
      </w:pPr>
      <w:r>
        <w:t xml:space="preserve">Figure </w:t>
      </w:r>
      <w:r>
        <w:fldChar w:fldCharType="begin"/>
      </w:r>
      <w:r>
        <w:instrText xml:space="preserve"> STYLEREF 1 \s </w:instrText>
      </w:r>
      <w:r>
        <w:fldChar w:fldCharType="separate"/>
      </w:r>
      <w:r>
        <w:t>9</w:t>
      </w:r>
      <w:r>
        <w:fldChar w:fldCharType="end"/>
      </w:r>
      <w:r>
        <w:t>.</w:t>
      </w:r>
      <w:r>
        <w:fldChar w:fldCharType="begin"/>
      </w:r>
      <w:r>
        <w:instrText xml:space="preserve"> SEQ Figure \* ARABIC \s 1 </w:instrText>
      </w:r>
      <w:r>
        <w:fldChar w:fldCharType="separate"/>
      </w:r>
      <w:r>
        <w:t>10</w:t>
      </w:r>
      <w:r>
        <w:fldChar w:fldCharType="end"/>
      </w:r>
      <w:r>
        <w:t xml:space="preserve"> DD</w:t>
      </w:r>
      <w:r>
        <w:rPr>
          <w:rFonts w:hint="eastAsia"/>
        </w:rPr>
        <w:t xml:space="preserve"> </w:t>
      </w:r>
      <w:r>
        <w:t>Menu Tree-overview</w:t>
      </w:r>
    </w:p>
    <w:p w14:paraId="6AEC36F9">
      <w:pPr>
        <w:pStyle w:val="40"/>
        <w:keepNext/>
        <w:spacing w:after="240"/>
        <w:ind w:left="0"/>
        <w:jc w:val="center"/>
      </w:pPr>
      <w:r>
        <w:object>
          <v:shape id="_x0000_i1043" o:spt="75" type="#_x0000_t75" style="height:284.65pt;width:487.35pt;" o:ole="t" filled="f" o:preferrelative="t" stroked="f" coordsize="21600,21600">
            <v:path/>
            <v:fill on="f" focussize="0,0"/>
            <v:stroke on="f" joinstyle="miter"/>
            <v:imagedata r:id="rId104" o:title=""/>
            <o:lock v:ext="edit" aspectratio="t"/>
            <w10:wrap type="none"/>
            <w10:anchorlock/>
          </v:shape>
          <o:OLEObject Type="Embed" ProgID="Visio.Drawing.15" ShapeID="_x0000_i1043" DrawAspect="Content" ObjectID="_1468075743" r:id="rId103">
            <o:LockedField>false</o:LockedField>
          </o:OLEObject>
        </w:object>
      </w:r>
    </w:p>
    <w:p w14:paraId="0D4C0714">
      <w:pPr>
        <w:pStyle w:val="12"/>
        <w:spacing w:before="120" w:after="120"/>
      </w:pPr>
      <w:r>
        <w:t xml:space="preserve">Figure </w:t>
      </w:r>
      <w:r>
        <w:fldChar w:fldCharType="begin"/>
      </w:r>
      <w:r>
        <w:instrText xml:space="preserve"> STYLEREF 1 \s </w:instrText>
      </w:r>
      <w:r>
        <w:fldChar w:fldCharType="separate"/>
      </w:r>
      <w:r>
        <w:t>9</w:t>
      </w:r>
      <w:r>
        <w:fldChar w:fldCharType="end"/>
      </w:r>
      <w:r>
        <w:t>.</w:t>
      </w:r>
      <w:r>
        <w:fldChar w:fldCharType="begin"/>
      </w:r>
      <w:r>
        <w:instrText xml:space="preserve"> SEQ Figure \* ARABIC \s 1 </w:instrText>
      </w:r>
      <w:r>
        <w:fldChar w:fldCharType="separate"/>
      </w:r>
      <w:r>
        <w:t>11</w:t>
      </w:r>
      <w:r>
        <w:fldChar w:fldCharType="end"/>
      </w:r>
      <w:r>
        <w:t xml:space="preserve"> </w:t>
      </w:r>
      <w:r>
        <w:rPr>
          <w:rFonts w:hint="eastAsia"/>
        </w:rPr>
        <w:t>D</w:t>
      </w:r>
      <w:r>
        <w:t>D Menu Tree-details</w:t>
      </w:r>
    </w:p>
    <w:p w14:paraId="26FF04DA">
      <w:pPr>
        <w:pStyle w:val="2"/>
      </w:pPr>
      <w:r>
        <w:t xml:space="preserve"> </w:t>
      </w:r>
      <w:bookmarkStart w:id="188" w:name="_Toc199429858"/>
      <w:r>
        <w:t>Maintainence</w:t>
      </w:r>
      <w:bookmarkEnd w:id="171"/>
      <w:bookmarkEnd w:id="172"/>
      <w:bookmarkEnd w:id="188"/>
    </w:p>
    <w:p w14:paraId="2069F7D6">
      <w:pPr>
        <w:numPr>
          <w:ilvl w:val="0"/>
          <w:numId w:val="11"/>
        </w:numPr>
        <w:spacing w:after="240"/>
        <w:rPr>
          <w:rFonts w:cstheme="minorHAnsi"/>
        </w:rPr>
      </w:pPr>
      <w:r>
        <w:rPr>
          <w:rFonts w:cstheme="minorHAnsi"/>
        </w:rPr>
        <w:t>Simple maintenance</w:t>
      </w:r>
    </w:p>
    <w:tbl>
      <w:tblPr>
        <w:tblStyle w:val="30"/>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2024"/>
        <w:gridCol w:w="2694"/>
        <w:gridCol w:w="2746"/>
      </w:tblGrid>
      <w:tr w14:paraId="3913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shd w:val="clear" w:color="auto" w:fill="CCCCCC"/>
            <w:vAlign w:val="center"/>
          </w:tcPr>
          <w:p w14:paraId="1C55A203">
            <w:pPr>
              <w:spacing w:after="240"/>
              <w:jc w:val="center"/>
              <w:rPr>
                <w:rFonts w:cstheme="minorHAnsi"/>
                <w:sz w:val="18"/>
                <w:szCs w:val="18"/>
              </w:rPr>
            </w:pPr>
            <w:r>
              <w:rPr>
                <w:rFonts w:cstheme="minorHAnsi"/>
                <w:sz w:val="18"/>
                <w:szCs w:val="18"/>
              </w:rPr>
              <w:t>Number</w:t>
            </w:r>
          </w:p>
        </w:tc>
        <w:tc>
          <w:tcPr>
            <w:tcW w:w="2024" w:type="dxa"/>
            <w:shd w:val="clear" w:color="auto" w:fill="CCCCCC"/>
            <w:vAlign w:val="center"/>
          </w:tcPr>
          <w:p w14:paraId="1C351BB1">
            <w:pPr>
              <w:spacing w:after="240"/>
              <w:jc w:val="center"/>
              <w:rPr>
                <w:rFonts w:cstheme="minorHAnsi"/>
                <w:sz w:val="18"/>
                <w:szCs w:val="18"/>
              </w:rPr>
            </w:pPr>
            <w:r>
              <w:rPr>
                <w:rFonts w:cstheme="minorHAnsi"/>
                <w:sz w:val="18"/>
                <w:szCs w:val="18"/>
              </w:rPr>
              <w:t>Display</w:t>
            </w:r>
          </w:p>
        </w:tc>
        <w:tc>
          <w:tcPr>
            <w:tcW w:w="2694" w:type="dxa"/>
            <w:shd w:val="clear" w:color="auto" w:fill="CCCCCC"/>
            <w:vAlign w:val="center"/>
          </w:tcPr>
          <w:p w14:paraId="3C741D88">
            <w:pPr>
              <w:spacing w:after="240"/>
              <w:jc w:val="center"/>
              <w:rPr>
                <w:rFonts w:cstheme="minorHAnsi"/>
                <w:sz w:val="18"/>
                <w:szCs w:val="18"/>
              </w:rPr>
            </w:pPr>
            <w:r>
              <w:rPr>
                <w:rFonts w:cstheme="minorHAnsi"/>
                <w:sz w:val="18"/>
                <w:szCs w:val="18"/>
              </w:rPr>
              <w:t>Reason</w:t>
            </w:r>
          </w:p>
        </w:tc>
        <w:tc>
          <w:tcPr>
            <w:tcW w:w="2746" w:type="dxa"/>
            <w:shd w:val="clear" w:color="auto" w:fill="CCCCCC"/>
            <w:vAlign w:val="center"/>
          </w:tcPr>
          <w:p w14:paraId="4D9DC824">
            <w:pPr>
              <w:spacing w:after="240"/>
              <w:jc w:val="center"/>
              <w:rPr>
                <w:rFonts w:cstheme="minorHAnsi"/>
                <w:sz w:val="18"/>
                <w:szCs w:val="18"/>
              </w:rPr>
            </w:pPr>
            <w:r>
              <w:rPr>
                <w:rFonts w:cstheme="minorHAnsi"/>
                <w:sz w:val="18"/>
                <w:szCs w:val="18"/>
              </w:rPr>
              <w:t>Methods</w:t>
            </w:r>
          </w:p>
        </w:tc>
      </w:tr>
      <w:tr w14:paraId="2CEA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05" w:type="dxa"/>
            <w:vAlign w:val="center"/>
          </w:tcPr>
          <w:p w14:paraId="4CE4A7A7">
            <w:pPr>
              <w:spacing w:after="240"/>
              <w:jc w:val="center"/>
              <w:rPr>
                <w:rFonts w:cstheme="minorHAnsi"/>
                <w:sz w:val="18"/>
                <w:szCs w:val="18"/>
              </w:rPr>
            </w:pPr>
            <w:r>
              <w:rPr>
                <w:rFonts w:cstheme="minorHAnsi"/>
                <w:sz w:val="18"/>
                <w:szCs w:val="18"/>
              </w:rPr>
              <w:t>1</w:t>
            </w:r>
          </w:p>
        </w:tc>
        <w:tc>
          <w:tcPr>
            <w:tcW w:w="2024" w:type="dxa"/>
            <w:vAlign w:val="center"/>
          </w:tcPr>
          <w:p w14:paraId="7B00935F">
            <w:pPr>
              <w:spacing w:after="240"/>
              <w:rPr>
                <w:rFonts w:cstheme="minorHAnsi"/>
                <w:sz w:val="18"/>
                <w:szCs w:val="18"/>
              </w:rPr>
            </w:pPr>
            <w:r>
              <w:rPr>
                <w:rFonts w:cstheme="minorHAnsi"/>
                <w:sz w:val="18"/>
                <w:szCs w:val="18"/>
              </w:rPr>
              <w:t>Output current value is 0</w:t>
            </w:r>
          </w:p>
        </w:tc>
        <w:tc>
          <w:tcPr>
            <w:tcW w:w="2694" w:type="dxa"/>
            <w:vAlign w:val="center"/>
          </w:tcPr>
          <w:p w14:paraId="60229E51">
            <w:pPr>
              <w:spacing w:after="240"/>
              <w:rPr>
                <w:rFonts w:cstheme="minorHAnsi"/>
                <w:sz w:val="18"/>
                <w:szCs w:val="18"/>
              </w:rPr>
            </w:pPr>
            <w:r>
              <w:rPr>
                <w:rFonts w:cstheme="minorHAnsi"/>
                <w:sz w:val="18"/>
                <w:szCs w:val="18"/>
              </w:rPr>
              <w:t>a. power failure</w:t>
            </w:r>
          </w:p>
          <w:p w14:paraId="2B207E8A">
            <w:pPr>
              <w:spacing w:after="240"/>
              <w:rPr>
                <w:rFonts w:cstheme="minorHAnsi"/>
                <w:sz w:val="18"/>
                <w:szCs w:val="18"/>
              </w:rPr>
            </w:pPr>
            <w:r>
              <w:rPr>
                <w:rFonts w:cstheme="minorHAnsi"/>
                <w:sz w:val="18"/>
                <w:szCs w:val="18"/>
              </w:rPr>
              <w:t>b. wire cutting</w:t>
            </w:r>
          </w:p>
        </w:tc>
        <w:tc>
          <w:tcPr>
            <w:tcW w:w="2746" w:type="dxa"/>
            <w:vAlign w:val="center"/>
          </w:tcPr>
          <w:p w14:paraId="18A34A4E">
            <w:pPr>
              <w:spacing w:after="240"/>
              <w:rPr>
                <w:rFonts w:cstheme="minorHAnsi"/>
                <w:sz w:val="18"/>
                <w:szCs w:val="18"/>
              </w:rPr>
            </w:pPr>
            <w:r>
              <w:rPr>
                <w:rFonts w:cstheme="minorHAnsi"/>
                <w:sz w:val="18"/>
                <w:szCs w:val="18"/>
              </w:rPr>
              <w:t>a. modify power</w:t>
            </w:r>
          </w:p>
          <w:p w14:paraId="4B664177">
            <w:pPr>
              <w:spacing w:after="240"/>
              <w:rPr>
                <w:rFonts w:cstheme="minorHAnsi"/>
                <w:sz w:val="18"/>
                <w:szCs w:val="18"/>
              </w:rPr>
            </w:pPr>
            <w:r>
              <w:rPr>
                <w:rFonts w:cstheme="minorHAnsi"/>
                <w:sz w:val="18"/>
                <w:szCs w:val="18"/>
              </w:rPr>
              <w:t>b. check wire</w:t>
            </w:r>
          </w:p>
        </w:tc>
      </w:tr>
      <w:tr w14:paraId="43E5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905" w:type="dxa"/>
            <w:vAlign w:val="center"/>
          </w:tcPr>
          <w:p w14:paraId="34E7EF87">
            <w:pPr>
              <w:spacing w:after="240"/>
              <w:jc w:val="center"/>
              <w:rPr>
                <w:rFonts w:cstheme="minorHAnsi"/>
                <w:sz w:val="18"/>
                <w:szCs w:val="18"/>
              </w:rPr>
            </w:pPr>
            <w:r>
              <w:rPr>
                <w:rFonts w:cstheme="minorHAnsi"/>
                <w:sz w:val="18"/>
                <w:szCs w:val="18"/>
              </w:rPr>
              <w:t>2</w:t>
            </w:r>
          </w:p>
        </w:tc>
        <w:tc>
          <w:tcPr>
            <w:tcW w:w="2024" w:type="dxa"/>
            <w:vAlign w:val="center"/>
          </w:tcPr>
          <w:p w14:paraId="40DCECE7">
            <w:pPr>
              <w:spacing w:after="240"/>
              <w:rPr>
                <w:rFonts w:cstheme="minorHAnsi"/>
                <w:sz w:val="18"/>
                <w:szCs w:val="18"/>
              </w:rPr>
            </w:pPr>
            <w:r>
              <w:rPr>
                <w:rFonts w:cstheme="minorHAnsi"/>
                <w:sz w:val="18"/>
                <w:szCs w:val="18"/>
              </w:rPr>
              <w:t>HART intelligent transmitter output current value exceeds limit</w:t>
            </w:r>
          </w:p>
        </w:tc>
        <w:tc>
          <w:tcPr>
            <w:tcW w:w="2694" w:type="dxa"/>
            <w:vAlign w:val="center"/>
          </w:tcPr>
          <w:p w14:paraId="7679321B">
            <w:pPr>
              <w:spacing w:after="240"/>
              <w:rPr>
                <w:rFonts w:cstheme="minorHAnsi"/>
                <w:sz w:val="18"/>
                <w:szCs w:val="18"/>
              </w:rPr>
            </w:pPr>
            <w:r>
              <w:rPr>
                <w:rFonts w:cstheme="minorHAnsi"/>
                <w:sz w:val="18"/>
                <w:szCs w:val="18"/>
              </w:rPr>
              <w:t>Failure connection between the sensor and the circuit board.</w:t>
            </w:r>
          </w:p>
        </w:tc>
        <w:tc>
          <w:tcPr>
            <w:tcW w:w="2746" w:type="dxa"/>
            <w:vAlign w:val="center"/>
          </w:tcPr>
          <w:p w14:paraId="22842DFF">
            <w:pPr>
              <w:spacing w:after="240"/>
              <w:rPr>
                <w:rFonts w:cstheme="minorHAnsi"/>
                <w:sz w:val="18"/>
                <w:szCs w:val="18"/>
              </w:rPr>
            </w:pPr>
            <w:r>
              <w:rPr>
                <w:rFonts w:cstheme="minorHAnsi"/>
                <w:sz w:val="18"/>
                <w:szCs w:val="18"/>
              </w:rPr>
              <w:t>Check the connection.</w:t>
            </w:r>
          </w:p>
        </w:tc>
      </w:tr>
      <w:tr w14:paraId="25FA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905" w:type="dxa"/>
            <w:vAlign w:val="center"/>
          </w:tcPr>
          <w:p w14:paraId="4F51E9ED">
            <w:pPr>
              <w:spacing w:after="240"/>
              <w:jc w:val="center"/>
              <w:rPr>
                <w:rFonts w:cstheme="minorHAnsi"/>
                <w:sz w:val="18"/>
                <w:szCs w:val="18"/>
              </w:rPr>
            </w:pPr>
            <w:r>
              <w:rPr>
                <w:rFonts w:cstheme="minorHAnsi"/>
                <w:sz w:val="18"/>
                <w:szCs w:val="18"/>
              </w:rPr>
              <w:t>3</w:t>
            </w:r>
          </w:p>
        </w:tc>
        <w:tc>
          <w:tcPr>
            <w:tcW w:w="2024" w:type="dxa"/>
            <w:vAlign w:val="center"/>
          </w:tcPr>
          <w:p w14:paraId="14881BF7">
            <w:pPr>
              <w:spacing w:after="240"/>
              <w:rPr>
                <w:rFonts w:cstheme="minorHAnsi"/>
                <w:sz w:val="18"/>
                <w:szCs w:val="18"/>
              </w:rPr>
            </w:pPr>
            <w:r>
              <w:rPr>
                <w:rFonts w:cstheme="minorHAnsi"/>
                <w:sz w:val="18"/>
                <w:szCs w:val="18"/>
              </w:rPr>
              <w:t>HART intelligent transmitter current fixed on 4mA，add pressure the output has no change.</w:t>
            </w:r>
          </w:p>
        </w:tc>
        <w:tc>
          <w:tcPr>
            <w:tcW w:w="2694" w:type="dxa"/>
            <w:vAlign w:val="center"/>
          </w:tcPr>
          <w:p w14:paraId="44A597AA">
            <w:pPr>
              <w:spacing w:after="240"/>
              <w:rPr>
                <w:rFonts w:cstheme="minorHAnsi"/>
                <w:sz w:val="18"/>
                <w:szCs w:val="18"/>
              </w:rPr>
            </w:pPr>
            <w:r>
              <w:rPr>
                <w:rFonts w:cstheme="minorHAnsi"/>
                <w:sz w:val="18"/>
                <w:szCs w:val="18"/>
              </w:rPr>
              <w:t>a. instrument in multi-point mode</w:t>
            </w:r>
          </w:p>
          <w:p w14:paraId="1FB832CC">
            <w:pPr>
              <w:spacing w:after="240"/>
              <w:rPr>
                <w:rFonts w:cstheme="minorHAnsi"/>
                <w:sz w:val="18"/>
                <w:szCs w:val="18"/>
              </w:rPr>
            </w:pPr>
            <w:r>
              <w:rPr>
                <w:rFonts w:cstheme="minorHAnsi"/>
                <w:sz w:val="18"/>
                <w:szCs w:val="18"/>
              </w:rPr>
              <w:t>b. leakage</w:t>
            </w:r>
          </w:p>
        </w:tc>
        <w:tc>
          <w:tcPr>
            <w:tcW w:w="2746" w:type="dxa"/>
            <w:vAlign w:val="center"/>
          </w:tcPr>
          <w:p w14:paraId="78816E02">
            <w:pPr>
              <w:spacing w:after="240"/>
              <w:rPr>
                <w:rFonts w:cstheme="minorHAnsi"/>
                <w:sz w:val="18"/>
                <w:szCs w:val="18"/>
              </w:rPr>
            </w:pPr>
            <w:r>
              <w:rPr>
                <w:rFonts w:cstheme="minorHAnsi"/>
                <w:sz w:val="18"/>
                <w:szCs w:val="18"/>
              </w:rPr>
              <w:t>a. modify slaves address in single mode</w:t>
            </w:r>
          </w:p>
          <w:p w14:paraId="186641E2">
            <w:pPr>
              <w:spacing w:after="240"/>
              <w:rPr>
                <w:rFonts w:cstheme="minorHAnsi"/>
                <w:sz w:val="18"/>
                <w:szCs w:val="18"/>
              </w:rPr>
            </w:pPr>
            <w:r>
              <w:rPr>
                <w:rFonts w:cstheme="minorHAnsi"/>
                <w:sz w:val="18"/>
                <w:szCs w:val="18"/>
              </w:rPr>
              <w:t>b. check the connection of gas pipe</w:t>
            </w:r>
          </w:p>
        </w:tc>
      </w:tr>
      <w:tr w14:paraId="09D3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905" w:type="dxa"/>
            <w:vAlign w:val="center"/>
          </w:tcPr>
          <w:p w14:paraId="0B43E525">
            <w:pPr>
              <w:spacing w:after="240"/>
              <w:jc w:val="center"/>
              <w:rPr>
                <w:rFonts w:cstheme="minorHAnsi"/>
                <w:sz w:val="18"/>
                <w:szCs w:val="18"/>
              </w:rPr>
            </w:pPr>
            <w:r>
              <w:rPr>
                <w:rFonts w:cstheme="minorHAnsi"/>
                <w:sz w:val="18"/>
                <w:szCs w:val="18"/>
              </w:rPr>
              <w:t>4</w:t>
            </w:r>
          </w:p>
        </w:tc>
        <w:tc>
          <w:tcPr>
            <w:tcW w:w="2024" w:type="dxa"/>
            <w:vAlign w:val="center"/>
          </w:tcPr>
          <w:p w14:paraId="46BA814D">
            <w:pPr>
              <w:spacing w:after="240"/>
              <w:rPr>
                <w:rFonts w:cstheme="minorHAnsi"/>
                <w:sz w:val="18"/>
                <w:szCs w:val="18"/>
              </w:rPr>
            </w:pPr>
            <w:r>
              <w:rPr>
                <w:rFonts w:cstheme="minorHAnsi"/>
                <w:sz w:val="18"/>
                <w:szCs w:val="18"/>
              </w:rPr>
              <w:t>Intelligent transmitter communication failure</w:t>
            </w:r>
          </w:p>
        </w:tc>
        <w:tc>
          <w:tcPr>
            <w:tcW w:w="2694" w:type="dxa"/>
            <w:vAlign w:val="center"/>
          </w:tcPr>
          <w:p w14:paraId="7BFF3E09">
            <w:pPr>
              <w:spacing w:after="240"/>
              <w:rPr>
                <w:rFonts w:cstheme="minorHAnsi"/>
                <w:sz w:val="18"/>
                <w:szCs w:val="18"/>
              </w:rPr>
            </w:pPr>
            <w:r>
              <w:rPr>
                <w:rFonts w:cstheme="minorHAnsi"/>
                <w:sz w:val="18"/>
                <w:szCs w:val="18"/>
              </w:rPr>
              <w:t>a. connection failure</w:t>
            </w:r>
          </w:p>
          <w:p w14:paraId="09FBE206">
            <w:pPr>
              <w:spacing w:after="240"/>
              <w:rPr>
                <w:rFonts w:cstheme="minorHAnsi"/>
                <w:sz w:val="18"/>
                <w:szCs w:val="18"/>
              </w:rPr>
            </w:pPr>
            <w:r>
              <w:rPr>
                <w:rFonts w:cstheme="minorHAnsi"/>
                <w:sz w:val="18"/>
                <w:szCs w:val="18"/>
              </w:rPr>
              <w:t>b. multi-mode</w:t>
            </w:r>
          </w:p>
        </w:tc>
        <w:tc>
          <w:tcPr>
            <w:tcW w:w="2746" w:type="dxa"/>
            <w:vAlign w:val="center"/>
          </w:tcPr>
          <w:p w14:paraId="1F1AB24F">
            <w:pPr>
              <w:spacing w:after="240"/>
              <w:rPr>
                <w:rFonts w:cstheme="minorHAnsi"/>
                <w:sz w:val="18"/>
                <w:szCs w:val="18"/>
              </w:rPr>
            </w:pPr>
            <w:r>
              <w:rPr>
                <w:rFonts w:cstheme="minorHAnsi"/>
                <w:sz w:val="18"/>
                <w:szCs w:val="18"/>
              </w:rPr>
              <w:t>a. check the wire loop</w:t>
            </w:r>
          </w:p>
          <w:p w14:paraId="5E374808">
            <w:pPr>
              <w:spacing w:after="240"/>
              <w:rPr>
                <w:rFonts w:cstheme="minorHAnsi"/>
                <w:sz w:val="18"/>
                <w:szCs w:val="18"/>
              </w:rPr>
            </w:pPr>
            <w:r>
              <w:rPr>
                <w:rFonts w:cstheme="minorHAnsi"/>
                <w:sz w:val="18"/>
                <w:szCs w:val="18"/>
              </w:rPr>
              <w:t>b. check net</w:t>
            </w:r>
          </w:p>
        </w:tc>
      </w:tr>
    </w:tbl>
    <w:p w14:paraId="06285A3C">
      <w:pPr>
        <w:numPr>
          <w:ilvl w:val="0"/>
          <w:numId w:val="11"/>
        </w:numPr>
        <w:spacing w:after="240"/>
        <w:rPr>
          <w:rFonts w:cstheme="minorHAnsi"/>
        </w:rPr>
      </w:pPr>
      <w:r>
        <w:rPr>
          <w:rFonts w:cstheme="minorHAnsi"/>
        </w:rPr>
        <w:t>Daily maintenance：Only clean.</w:t>
      </w:r>
    </w:p>
    <w:p w14:paraId="551A6E36">
      <w:pPr>
        <w:numPr>
          <w:ilvl w:val="0"/>
          <w:numId w:val="11"/>
        </w:numPr>
        <w:spacing w:after="240"/>
        <w:rPr>
          <w:rFonts w:cstheme="minorHAnsi"/>
        </w:rPr>
      </w:pPr>
      <w:r>
        <w:rPr>
          <w:rFonts w:cstheme="minorHAnsi"/>
        </w:rPr>
        <w:t>Failing repair：Please return it back.</w:t>
      </w:r>
    </w:p>
    <w:p w14:paraId="7202F338">
      <w:pPr>
        <w:numPr>
          <w:ilvl w:val="0"/>
          <w:numId w:val="11"/>
        </w:numPr>
        <w:spacing w:after="240"/>
        <w:rPr>
          <w:rFonts w:cstheme="minorHAnsi"/>
        </w:rPr>
        <w:sectPr>
          <w:pgSz w:w="11907" w:h="16840"/>
          <w:pgMar w:top="1554" w:right="1077" w:bottom="1134" w:left="1077" w:header="680" w:footer="680" w:gutter="0"/>
          <w:cols w:space="425" w:num="1"/>
          <w:docGrid w:linePitch="312" w:charSpace="48128"/>
        </w:sectPr>
      </w:pPr>
      <w:r>
        <w:rPr>
          <w:rFonts w:cstheme="minorHAnsi"/>
        </w:rPr>
        <w:t>Note: Products that have passed the explosion-proof inspection are not allowed to arbitrarily replace and modify the components and structures that affect the explosion-proof performance.</w:t>
      </w:r>
    </w:p>
    <w:p w14:paraId="763990DE">
      <w:pPr>
        <w:pStyle w:val="2"/>
      </w:pPr>
      <w:bookmarkStart w:id="189" w:name="_Toc99099405"/>
      <w:bookmarkStart w:id="190" w:name="_Toc199429859"/>
      <w:bookmarkStart w:id="191" w:name="_Toc440269444"/>
      <w:r>
        <w:t>Technical Specifications</w:t>
      </w:r>
      <w:bookmarkEnd w:id="189"/>
      <w:bookmarkEnd w:id="190"/>
      <w:bookmarkEnd w:id="191"/>
      <w:r>
        <w:t xml:space="preserve"> </w:t>
      </w:r>
    </w:p>
    <w:p w14:paraId="197799A6">
      <w:pPr>
        <w:pStyle w:val="3"/>
        <w:spacing w:before="120" w:beforeLines="50" w:after="120" w:afterLines="50" w:line="240" w:lineRule="auto"/>
        <w:ind w:left="578" w:hanging="578"/>
        <w:rPr>
          <w:rFonts w:asciiTheme="minorHAnsi" w:hAnsiTheme="minorHAnsi" w:cstheme="minorHAnsi"/>
        </w:rPr>
      </w:pPr>
      <w:bookmarkStart w:id="192" w:name="_Toc166471643"/>
      <w:bookmarkStart w:id="193" w:name="_Toc99099406"/>
      <w:bookmarkStart w:id="194" w:name="_Toc165172511"/>
      <w:bookmarkStart w:id="195" w:name="_Toc165177473"/>
      <w:bookmarkStart w:id="196" w:name="_Toc183334328"/>
      <w:bookmarkStart w:id="197" w:name="_Toc183427080"/>
      <w:bookmarkStart w:id="198" w:name="_Toc440269445"/>
      <w:bookmarkStart w:id="199" w:name="_Toc199429860"/>
      <w:r>
        <w:rPr>
          <w:rFonts w:asciiTheme="minorHAnsi" w:hAnsiTheme="minorHAnsi" w:cstheme="minorHAnsi"/>
        </w:rPr>
        <w:t>Basic Parameter</w:t>
      </w:r>
      <w:bookmarkEnd w:id="192"/>
      <w:bookmarkEnd w:id="193"/>
      <w:bookmarkEnd w:id="194"/>
      <w:bookmarkEnd w:id="195"/>
      <w:bookmarkEnd w:id="196"/>
      <w:bookmarkEnd w:id="197"/>
      <w:bookmarkEnd w:id="198"/>
      <w:bookmarkEnd w:id="199"/>
      <w:bookmarkStart w:id="200" w:name="_Toc165172512"/>
      <w:bookmarkStart w:id="201" w:name="_Toc166471644"/>
      <w:bookmarkStart w:id="202" w:name="_Toc165177474"/>
    </w:p>
    <w:tbl>
      <w:tblPr>
        <w:tblStyle w:val="30"/>
        <w:tblW w:w="4742"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485"/>
        <w:gridCol w:w="1240"/>
        <w:gridCol w:w="5730"/>
      </w:tblGrid>
      <w:tr w14:paraId="6AD5EA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8" w:hRule="atLeast"/>
          <w:jc w:val="center"/>
        </w:trPr>
        <w:tc>
          <w:tcPr>
            <w:tcW w:w="1050" w:type="pct"/>
            <w:shd w:val="clear" w:color="auto" w:fill="CCCCCC"/>
            <w:vAlign w:val="center"/>
          </w:tcPr>
          <w:p w14:paraId="1C4E38AB">
            <w:pPr>
              <w:spacing w:after="240"/>
              <w:rPr>
                <w:rFonts w:cstheme="minorHAnsi"/>
                <w:sz w:val="18"/>
                <w:szCs w:val="18"/>
              </w:rPr>
            </w:pPr>
            <w:r>
              <w:rPr>
                <w:rFonts w:cstheme="minorHAnsi"/>
                <w:sz w:val="18"/>
                <w:szCs w:val="18"/>
              </w:rPr>
              <w:t>Measure object</w:t>
            </w:r>
          </w:p>
        </w:tc>
        <w:tc>
          <w:tcPr>
            <w:tcW w:w="3950" w:type="pct"/>
            <w:gridSpan w:val="2"/>
            <w:tcBorders>
              <w:bottom w:val="single" w:color="auto" w:sz="8" w:space="0"/>
            </w:tcBorders>
            <w:vAlign w:val="center"/>
          </w:tcPr>
          <w:p w14:paraId="7FE0B6E8">
            <w:pPr>
              <w:spacing w:after="240"/>
              <w:rPr>
                <w:rFonts w:cstheme="minorHAnsi"/>
                <w:sz w:val="18"/>
                <w:szCs w:val="18"/>
              </w:rPr>
            </w:pPr>
            <w:r>
              <w:rPr>
                <w:rFonts w:cstheme="minorHAnsi"/>
                <w:sz w:val="18"/>
                <w:szCs w:val="18"/>
              </w:rPr>
              <w:t>liquid、gas、stream</w:t>
            </w:r>
          </w:p>
        </w:tc>
      </w:tr>
      <w:tr w14:paraId="5F415E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1" w:hRule="atLeast"/>
          <w:jc w:val="center"/>
        </w:trPr>
        <w:tc>
          <w:tcPr>
            <w:tcW w:w="1050" w:type="pct"/>
            <w:vMerge w:val="restart"/>
            <w:tcBorders>
              <w:right w:val="single" w:color="auto" w:sz="8" w:space="0"/>
            </w:tcBorders>
            <w:shd w:val="clear" w:color="auto" w:fill="CCCCCC"/>
            <w:vAlign w:val="center"/>
          </w:tcPr>
          <w:p w14:paraId="2B9AB292">
            <w:pPr>
              <w:spacing w:after="240"/>
              <w:rPr>
                <w:rFonts w:cstheme="minorHAnsi"/>
                <w:sz w:val="18"/>
                <w:szCs w:val="18"/>
              </w:rPr>
            </w:pPr>
            <w:r>
              <w:rPr>
                <w:rFonts w:cstheme="minorHAnsi"/>
                <w:sz w:val="18"/>
                <w:szCs w:val="18"/>
              </w:rPr>
              <w:t xml:space="preserve">Power </w:t>
            </w:r>
          </w:p>
        </w:tc>
        <w:tc>
          <w:tcPr>
            <w:tcW w:w="672" w:type="pct"/>
            <w:tcBorders>
              <w:top w:val="single" w:color="auto" w:sz="8" w:space="0"/>
              <w:left w:val="single" w:color="auto" w:sz="8" w:space="0"/>
              <w:bottom w:val="single" w:color="auto" w:sz="8" w:space="0"/>
              <w:right w:val="single" w:color="auto" w:sz="8" w:space="0"/>
            </w:tcBorders>
            <w:vAlign w:val="center"/>
          </w:tcPr>
          <w:p w14:paraId="68C14C26">
            <w:pPr>
              <w:spacing w:after="240"/>
              <w:rPr>
                <w:rFonts w:cstheme="minorHAnsi"/>
                <w:sz w:val="18"/>
                <w:szCs w:val="18"/>
              </w:rPr>
            </w:pPr>
            <w:r>
              <w:rPr>
                <w:rFonts w:cstheme="minorHAnsi"/>
                <w:sz w:val="18"/>
                <w:szCs w:val="18"/>
              </w:rPr>
              <w:t>FF/PA</w:t>
            </w:r>
          </w:p>
        </w:tc>
        <w:tc>
          <w:tcPr>
            <w:tcW w:w="3278" w:type="pct"/>
            <w:tcBorders>
              <w:top w:val="single" w:color="auto" w:sz="8" w:space="0"/>
              <w:left w:val="single" w:color="auto" w:sz="8" w:space="0"/>
              <w:bottom w:val="single" w:color="auto" w:sz="8" w:space="0"/>
              <w:right w:val="single" w:color="auto" w:sz="8" w:space="0"/>
            </w:tcBorders>
            <w:vAlign w:val="center"/>
          </w:tcPr>
          <w:p w14:paraId="5A934816">
            <w:pPr>
              <w:spacing w:after="240"/>
              <w:rPr>
                <w:rFonts w:cstheme="minorHAnsi"/>
                <w:sz w:val="18"/>
                <w:szCs w:val="18"/>
              </w:rPr>
            </w:pPr>
            <w:r>
              <w:rPr>
                <w:rFonts w:cstheme="minorHAnsi"/>
                <w:sz w:val="18"/>
                <w:szCs w:val="18"/>
              </w:rPr>
              <w:t>(9～32) VDC/(9～17.5)VDC (Intrinsically Safe)</w:t>
            </w:r>
          </w:p>
        </w:tc>
      </w:tr>
      <w:tr w14:paraId="14D1FF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9" w:hRule="atLeast"/>
          <w:jc w:val="center"/>
        </w:trPr>
        <w:tc>
          <w:tcPr>
            <w:tcW w:w="1050" w:type="pct"/>
            <w:vMerge w:val="continue"/>
            <w:tcBorders>
              <w:right w:val="single" w:color="auto" w:sz="8" w:space="0"/>
            </w:tcBorders>
            <w:shd w:val="clear" w:color="auto" w:fill="CCCCCC"/>
            <w:vAlign w:val="center"/>
          </w:tcPr>
          <w:p w14:paraId="69D79914">
            <w:pPr>
              <w:spacing w:after="240"/>
              <w:rPr>
                <w:rFonts w:cstheme="minorHAnsi"/>
                <w:sz w:val="18"/>
                <w:szCs w:val="18"/>
              </w:rPr>
            </w:pPr>
          </w:p>
        </w:tc>
        <w:tc>
          <w:tcPr>
            <w:tcW w:w="672" w:type="pct"/>
            <w:tcBorders>
              <w:top w:val="single" w:color="auto" w:sz="8" w:space="0"/>
              <w:left w:val="single" w:color="auto" w:sz="8" w:space="0"/>
              <w:bottom w:val="single" w:color="auto" w:sz="8" w:space="0"/>
              <w:right w:val="single" w:color="auto" w:sz="8" w:space="0"/>
            </w:tcBorders>
            <w:vAlign w:val="center"/>
          </w:tcPr>
          <w:p w14:paraId="0F1891A0">
            <w:pPr>
              <w:spacing w:after="240"/>
              <w:rPr>
                <w:rFonts w:cstheme="minorHAnsi"/>
                <w:sz w:val="18"/>
                <w:szCs w:val="18"/>
              </w:rPr>
            </w:pPr>
            <w:r>
              <w:rPr>
                <w:rFonts w:cstheme="minorHAnsi"/>
                <w:sz w:val="18"/>
                <w:szCs w:val="18"/>
              </w:rPr>
              <w:t>HART</w:t>
            </w:r>
          </w:p>
        </w:tc>
        <w:tc>
          <w:tcPr>
            <w:tcW w:w="3278" w:type="pct"/>
            <w:tcBorders>
              <w:top w:val="single" w:color="auto" w:sz="8" w:space="0"/>
              <w:left w:val="single" w:color="auto" w:sz="8" w:space="0"/>
              <w:bottom w:val="single" w:color="auto" w:sz="8" w:space="0"/>
              <w:right w:val="single" w:color="auto" w:sz="8" w:space="0"/>
            </w:tcBorders>
            <w:vAlign w:val="center"/>
          </w:tcPr>
          <w:p w14:paraId="3C97562E">
            <w:pPr>
              <w:spacing w:after="240"/>
              <w:rPr>
                <w:rFonts w:cstheme="minorHAnsi"/>
                <w:sz w:val="18"/>
                <w:szCs w:val="18"/>
              </w:rPr>
            </w:pPr>
            <w:r>
              <w:rPr>
                <w:rFonts w:cstheme="minorHAnsi"/>
                <w:sz w:val="18"/>
                <w:szCs w:val="18"/>
              </w:rPr>
              <w:t>(11.9～42)VDC/(11.9～30)VDC (Intrinsically Safe)</w:t>
            </w:r>
          </w:p>
        </w:tc>
      </w:tr>
      <w:tr w14:paraId="1B1E82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9" w:hRule="atLeast"/>
          <w:jc w:val="center"/>
        </w:trPr>
        <w:tc>
          <w:tcPr>
            <w:tcW w:w="1050" w:type="pct"/>
            <w:vMerge w:val="continue"/>
            <w:tcBorders>
              <w:right w:val="single" w:color="auto" w:sz="8" w:space="0"/>
            </w:tcBorders>
            <w:shd w:val="clear" w:color="auto" w:fill="CCCCCC"/>
            <w:vAlign w:val="center"/>
          </w:tcPr>
          <w:p w14:paraId="5739FA3D">
            <w:pPr>
              <w:spacing w:after="240"/>
              <w:rPr>
                <w:rFonts w:cstheme="minorHAnsi"/>
                <w:sz w:val="18"/>
                <w:szCs w:val="18"/>
              </w:rPr>
            </w:pPr>
          </w:p>
        </w:tc>
        <w:tc>
          <w:tcPr>
            <w:tcW w:w="672" w:type="pct"/>
            <w:tcBorders>
              <w:top w:val="single" w:color="auto" w:sz="8" w:space="0"/>
              <w:left w:val="single" w:color="auto" w:sz="8" w:space="0"/>
              <w:bottom w:val="single" w:color="auto" w:sz="8" w:space="0"/>
              <w:right w:val="single" w:color="auto" w:sz="8" w:space="0"/>
            </w:tcBorders>
            <w:vAlign w:val="center"/>
          </w:tcPr>
          <w:p w14:paraId="6641D4A5">
            <w:pPr>
              <w:spacing w:after="240"/>
              <w:rPr>
                <w:rFonts w:cstheme="minorHAnsi"/>
                <w:sz w:val="18"/>
                <w:szCs w:val="18"/>
              </w:rPr>
            </w:pPr>
            <w:r>
              <w:rPr>
                <w:rFonts w:cstheme="minorHAnsi"/>
                <w:sz w:val="18"/>
                <w:szCs w:val="18"/>
              </w:rPr>
              <w:t>DP</w:t>
            </w:r>
          </w:p>
        </w:tc>
        <w:tc>
          <w:tcPr>
            <w:tcW w:w="3278" w:type="pct"/>
            <w:tcBorders>
              <w:top w:val="single" w:color="auto" w:sz="8" w:space="0"/>
              <w:left w:val="single" w:color="auto" w:sz="8" w:space="0"/>
              <w:bottom w:val="single" w:color="auto" w:sz="8" w:space="0"/>
              <w:right w:val="single" w:color="auto" w:sz="8" w:space="0"/>
            </w:tcBorders>
            <w:vAlign w:val="center"/>
          </w:tcPr>
          <w:p w14:paraId="068799A8">
            <w:pPr>
              <w:spacing w:after="240"/>
              <w:rPr>
                <w:rFonts w:cstheme="minorHAnsi"/>
                <w:sz w:val="18"/>
                <w:szCs w:val="18"/>
              </w:rPr>
            </w:pPr>
            <w:r>
              <w:rPr>
                <w:rFonts w:cstheme="minorHAnsi"/>
                <w:sz w:val="18"/>
                <w:szCs w:val="18"/>
              </w:rPr>
              <w:t>10～30VDC</w:t>
            </w:r>
          </w:p>
        </w:tc>
      </w:tr>
      <w:tr w14:paraId="263FB6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9" w:hRule="atLeast"/>
          <w:jc w:val="center"/>
        </w:trPr>
        <w:tc>
          <w:tcPr>
            <w:tcW w:w="1050" w:type="pct"/>
            <w:vMerge w:val="continue"/>
            <w:tcBorders>
              <w:right w:val="single" w:color="auto" w:sz="8" w:space="0"/>
            </w:tcBorders>
            <w:shd w:val="clear" w:color="auto" w:fill="CCCCCC"/>
            <w:vAlign w:val="center"/>
          </w:tcPr>
          <w:p w14:paraId="7A156208">
            <w:pPr>
              <w:spacing w:after="240"/>
              <w:rPr>
                <w:rFonts w:cstheme="minorHAnsi"/>
                <w:sz w:val="18"/>
                <w:szCs w:val="18"/>
              </w:rPr>
            </w:pPr>
          </w:p>
        </w:tc>
        <w:tc>
          <w:tcPr>
            <w:tcW w:w="672" w:type="pct"/>
            <w:tcBorders>
              <w:top w:val="single" w:color="auto" w:sz="8" w:space="0"/>
              <w:left w:val="single" w:color="auto" w:sz="8" w:space="0"/>
              <w:bottom w:val="single" w:color="auto" w:sz="8" w:space="0"/>
              <w:right w:val="single" w:color="auto" w:sz="8" w:space="0"/>
            </w:tcBorders>
            <w:vAlign w:val="center"/>
          </w:tcPr>
          <w:p w14:paraId="215ED38E">
            <w:pPr>
              <w:spacing w:after="240"/>
              <w:rPr>
                <w:rFonts w:cstheme="minorHAnsi"/>
                <w:sz w:val="18"/>
                <w:szCs w:val="18"/>
              </w:rPr>
            </w:pPr>
            <w:r>
              <w:rPr>
                <w:rFonts w:ascii="Calibri" w:hAnsi="Calibri" w:cs="Calibri"/>
                <w:sz w:val="18"/>
                <w:szCs w:val="18"/>
              </w:rPr>
              <w:t>WirelessHART</w:t>
            </w:r>
          </w:p>
        </w:tc>
        <w:tc>
          <w:tcPr>
            <w:tcW w:w="3278" w:type="pct"/>
            <w:tcBorders>
              <w:top w:val="single" w:color="auto" w:sz="8" w:space="0"/>
              <w:left w:val="single" w:color="auto" w:sz="8" w:space="0"/>
              <w:bottom w:val="single" w:color="auto" w:sz="8" w:space="0"/>
              <w:right w:val="single" w:color="auto" w:sz="8" w:space="0"/>
            </w:tcBorders>
            <w:vAlign w:val="center"/>
          </w:tcPr>
          <w:p w14:paraId="4DE6B1CC">
            <w:pPr>
              <w:spacing w:after="240"/>
              <w:rPr>
                <w:rFonts w:cstheme="minorHAnsi"/>
                <w:sz w:val="18"/>
                <w:szCs w:val="18"/>
              </w:rPr>
            </w:pPr>
            <w:r>
              <w:rPr>
                <w:rFonts w:hint="eastAsia" w:ascii="Calibri" w:hAnsi="Calibri" w:cs="Calibri"/>
                <w:sz w:val="18"/>
                <w:szCs w:val="18"/>
              </w:rPr>
              <w:t>3</w:t>
            </w:r>
            <w:r>
              <w:rPr>
                <w:rFonts w:ascii="Calibri" w:hAnsi="Calibri" w:cs="Calibri"/>
                <w:sz w:val="18"/>
                <w:szCs w:val="18"/>
              </w:rPr>
              <w:t>.6VDC</w:t>
            </w:r>
          </w:p>
        </w:tc>
      </w:tr>
      <w:tr w14:paraId="45CDB9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 w:hRule="atLeast"/>
          <w:jc w:val="center"/>
        </w:trPr>
        <w:tc>
          <w:tcPr>
            <w:tcW w:w="1050" w:type="pct"/>
            <w:shd w:val="clear" w:color="auto" w:fill="CCCCCC"/>
            <w:vAlign w:val="center"/>
          </w:tcPr>
          <w:p w14:paraId="7C71B82B">
            <w:pPr>
              <w:spacing w:after="240"/>
              <w:rPr>
                <w:rFonts w:cstheme="minorHAnsi"/>
                <w:sz w:val="18"/>
                <w:szCs w:val="18"/>
              </w:rPr>
            </w:pPr>
            <w:r>
              <w:rPr>
                <w:rFonts w:cstheme="minorHAnsi"/>
                <w:sz w:val="18"/>
                <w:szCs w:val="18"/>
              </w:rPr>
              <w:t>Fieldbus protocol</w:t>
            </w:r>
          </w:p>
        </w:tc>
        <w:tc>
          <w:tcPr>
            <w:tcW w:w="3950" w:type="pct"/>
            <w:gridSpan w:val="2"/>
            <w:tcBorders>
              <w:top w:val="single" w:color="auto" w:sz="8" w:space="0"/>
            </w:tcBorders>
            <w:vAlign w:val="center"/>
          </w:tcPr>
          <w:p w14:paraId="31B34794">
            <w:pPr>
              <w:spacing w:after="240"/>
              <w:rPr>
                <w:rFonts w:cstheme="minorHAnsi"/>
                <w:sz w:val="18"/>
                <w:szCs w:val="18"/>
              </w:rPr>
            </w:pPr>
            <w:r>
              <w:rPr>
                <w:rFonts w:cstheme="minorHAnsi"/>
                <w:sz w:val="18"/>
                <w:szCs w:val="18"/>
              </w:rPr>
              <w:t xml:space="preserve">2-wire, (4～20)mA+HART, FF, PA </w:t>
            </w:r>
            <w:r>
              <w:rPr>
                <w:rFonts w:ascii="Calibri" w:hAnsi="Calibri" w:cs="Calibri"/>
                <w:sz w:val="18"/>
                <w:szCs w:val="18"/>
              </w:rPr>
              <w:t>WirelessHART</w:t>
            </w:r>
          </w:p>
        </w:tc>
      </w:tr>
      <w:tr w14:paraId="559D4F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 w:hRule="atLeast"/>
          <w:jc w:val="center"/>
        </w:trPr>
        <w:tc>
          <w:tcPr>
            <w:tcW w:w="1050" w:type="pct"/>
            <w:shd w:val="clear" w:color="auto" w:fill="CCCCCC"/>
            <w:vAlign w:val="center"/>
          </w:tcPr>
          <w:p w14:paraId="0049C1B2">
            <w:pPr>
              <w:spacing w:after="240"/>
              <w:rPr>
                <w:rFonts w:cstheme="minorHAnsi"/>
                <w:sz w:val="18"/>
                <w:szCs w:val="18"/>
              </w:rPr>
            </w:pPr>
            <w:r>
              <w:rPr>
                <w:rFonts w:cstheme="minorHAnsi"/>
                <w:sz w:val="18"/>
                <w:szCs w:val="18"/>
              </w:rPr>
              <w:t>Load resistant</w:t>
            </w:r>
          </w:p>
        </w:tc>
        <w:tc>
          <w:tcPr>
            <w:tcW w:w="3950" w:type="pct"/>
            <w:gridSpan w:val="2"/>
            <w:vAlign w:val="center"/>
          </w:tcPr>
          <w:p w14:paraId="28988888">
            <w:pPr>
              <w:spacing w:after="240"/>
              <w:rPr>
                <w:rFonts w:cstheme="minorHAnsi"/>
                <w:sz w:val="18"/>
                <w:szCs w:val="18"/>
              </w:rPr>
            </w:pPr>
            <w:r>
              <w:rPr>
                <w:rFonts w:cstheme="minorHAnsi"/>
                <w:sz w:val="18"/>
                <w:szCs w:val="18"/>
              </w:rPr>
              <w:t>(0～1500)Ω (common)</w:t>
            </w:r>
          </w:p>
          <w:p w14:paraId="7EBA8C17">
            <w:pPr>
              <w:spacing w:after="240"/>
              <w:rPr>
                <w:rFonts w:cstheme="minorHAnsi"/>
                <w:sz w:val="18"/>
                <w:szCs w:val="18"/>
              </w:rPr>
            </w:pPr>
            <w:r>
              <w:rPr>
                <w:rFonts w:cstheme="minorHAnsi"/>
                <w:sz w:val="18"/>
                <w:szCs w:val="18"/>
              </w:rPr>
              <w:t>(230～1100)Ω (with HART)</w:t>
            </w:r>
          </w:p>
        </w:tc>
      </w:tr>
      <w:tr w14:paraId="052089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3" w:hRule="atLeast"/>
          <w:jc w:val="center"/>
        </w:trPr>
        <w:tc>
          <w:tcPr>
            <w:tcW w:w="1050" w:type="pct"/>
            <w:shd w:val="clear" w:color="auto" w:fill="CCCCCC"/>
            <w:vAlign w:val="center"/>
          </w:tcPr>
          <w:p w14:paraId="0F0F535F">
            <w:pPr>
              <w:spacing w:after="240"/>
              <w:rPr>
                <w:rFonts w:cstheme="minorHAnsi"/>
                <w:sz w:val="18"/>
                <w:szCs w:val="18"/>
              </w:rPr>
            </w:pPr>
            <w:r>
              <w:rPr>
                <w:rFonts w:cstheme="minorHAnsi"/>
                <w:sz w:val="18"/>
                <w:szCs w:val="18"/>
              </w:rPr>
              <w:t>Insulating strength</w:t>
            </w:r>
          </w:p>
        </w:tc>
        <w:tc>
          <w:tcPr>
            <w:tcW w:w="3950" w:type="pct"/>
            <w:gridSpan w:val="2"/>
            <w:vAlign w:val="center"/>
          </w:tcPr>
          <w:p w14:paraId="59FE200D">
            <w:pPr>
              <w:spacing w:after="240"/>
              <w:rPr>
                <w:rFonts w:cstheme="minorHAnsi"/>
                <w:sz w:val="18"/>
                <w:szCs w:val="18"/>
              </w:rPr>
            </w:pPr>
            <w:r>
              <w:rPr>
                <w:rFonts w:cstheme="minorHAnsi"/>
                <w:sz w:val="18"/>
                <w:szCs w:val="18"/>
              </w:rPr>
              <w:t>Between the terminal and the housing: 500 Vrms</w:t>
            </w:r>
          </w:p>
        </w:tc>
      </w:tr>
      <w:tr w14:paraId="0C2AA9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0" w:hRule="atLeast"/>
          <w:jc w:val="center"/>
        </w:trPr>
        <w:tc>
          <w:tcPr>
            <w:tcW w:w="1050" w:type="pct"/>
            <w:shd w:val="clear" w:color="auto" w:fill="CCCCCC"/>
            <w:vAlign w:val="center"/>
          </w:tcPr>
          <w:p w14:paraId="4C586F4A">
            <w:pPr>
              <w:spacing w:after="240"/>
              <w:rPr>
                <w:rFonts w:cstheme="minorHAnsi"/>
                <w:sz w:val="18"/>
                <w:szCs w:val="18"/>
              </w:rPr>
            </w:pPr>
            <w:r>
              <w:rPr>
                <w:rFonts w:cstheme="minorHAnsi"/>
                <w:sz w:val="18"/>
                <w:szCs w:val="18"/>
              </w:rPr>
              <w:t>Display</w:t>
            </w:r>
          </w:p>
        </w:tc>
        <w:tc>
          <w:tcPr>
            <w:tcW w:w="3950" w:type="pct"/>
            <w:gridSpan w:val="2"/>
            <w:vAlign w:val="center"/>
          </w:tcPr>
          <w:p w14:paraId="77B23F13">
            <w:pPr>
              <w:spacing w:after="240"/>
              <w:rPr>
                <w:rFonts w:cstheme="minorHAnsi"/>
                <w:sz w:val="18"/>
                <w:szCs w:val="18"/>
              </w:rPr>
            </w:pPr>
            <w:r>
              <w:rPr>
                <w:rFonts w:cstheme="minorHAnsi"/>
                <w:sz w:val="18"/>
                <w:szCs w:val="18"/>
              </w:rPr>
              <w:t>Optional 6 bits digital number or 5 bits characters LCD display</w:t>
            </w:r>
          </w:p>
        </w:tc>
      </w:tr>
      <w:tr w14:paraId="2A1CCC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4" w:hRule="atLeast"/>
          <w:jc w:val="center"/>
        </w:trPr>
        <w:tc>
          <w:tcPr>
            <w:tcW w:w="1050" w:type="pct"/>
            <w:shd w:val="clear" w:color="auto" w:fill="CCCCCC"/>
            <w:vAlign w:val="center"/>
          </w:tcPr>
          <w:p w14:paraId="5BC4A8E8">
            <w:pPr>
              <w:spacing w:after="240"/>
              <w:rPr>
                <w:rFonts w:cstheme="minorHAnsi"/>
                <w:sz w:val="18"/>
                <w:szCs w:val="18"/>
              </w:rPr>
            </w:pPr>
            <w:r>
              <w:rPr>
                <w:rFonts w:cstheme="minorHAnsi"/>
                <w:sz w:val="18"/>
                <w:szCs w:val="18"/>
              </w:rPr>
              <w:t>Temperature scale</w:t>
            </w:r>
          </w:p>
        </w:tc>
        <w:tc>
          <w:tcPr>
            <w:tcW w:w="3950" w:type="pct"/>
            <w:gridSpan w:val="2"/>
            <w:vAlign w:val="center"/>
          </w:tcPr>
          <w:p w14:paraId="2290A9A5">
            <w:pPr>
              <w:spacing w:after="240"/>
              <w:rPr>
                <w:rFonts w:cstheme="minorHAnsi"/>
                <w:sz w:val="18"/>
                <w:szCs w:val="18"/>
              </w:rPr>
            </w:pPr>
            <w:r>
              <w:rPr>
                <w:rFonts w:cstheme="minorHAnsi"/>
                <w:sz w:val="18"/>
                <w:szCs w:val="18"/>
              </w:rPr>
              <w:t xml:space="preserve">Work temperature: </w:t>
            </w:r>
          </w:p>
          <w:p w14:paraId="22C8DEDB">
            <w:pPr>
              <w:spacing w:after="240"/>
              <w:ind w:firstLine="720" w:firstLineChars="400"/>
              <w:rPr>
                <w:rFonts w:cstheme="minorHAnsi"/>
                <w:sz w:val="18"/>
                <w:szCs w:val="18"/>
              </w:rPr>
            </w:pPr>
            <w:r>
              <w:rPr>
                <w:rFonts w:cstheme="minorHAnsi"/>
                <w:sz w:val="18"/>
                <w:szCs w:val="18"/>
              </w:rPr>
              <w:t xml:space="preserve">(-40～85) </w:t>
            </w:r>
            <w:r>
              <w:rPr>
                <w:rFonts w:ascii="Cambria Math" w:hAnsi="Cambria Math" w:cs="Cambria Math"/>
                <w:sz w:val="18"/>
                <w:szCs w:val="18"/>
              </w:rPr>
              <w:t>℃</w:t>
            </w:r>
            <w:r>
              <w:rPr>
                <w:rFonts w:cstheme="minorHAnsi"/>
                <w:sz w:val="18"/>
                <w:szCs w:val="18"/>
              </w:rPr>
              <w:t xml:space="preserve"> (None explosion-proof, no display)</w:t>
            </w:r>
          </w:p>
          <w:p w14:paraId="0F1A4F14">
            <w:pPr>
              <w:spacing w:after="240"/>
              <w:ind w:firstLine="720" w:firstLineChars="400"/>
              <w:rPr>
                <w:rFonts w:cstheme="minorHAnsi"/>
                <w:sz w:val="18"/>
                <w:szCs w:val="18"/>
              </w:rPr>
            </w:pPr>
            <w:r>
              <w:rPr>
                <w:rFonts w:cstheme="minorHAnsi"/>
                <w:sz w:val="18"/>
                <w:szCs w:val="18"/>
              </w:rPr>
              <w:t xml:space="preserve">(-30～70) </w:t>
            </w:r>
            <w:r>
              <w:rPr>
                <w:rFonts w:ascii="Cambria Math" w:hAnsi="Cambria Math" w:cs="Cambria Math"/>
                <w:sz w:val="18"/>
                <w:szCs w:val="18"/>
              </w:rPr>
              <w:t>℃</w:t>
            </w:r>
            <w:r>
              <w:rPr>
                <w:rFonts w:cstheme="minorHAnsi"/>
                <w:sz w:val="18"/>
                <w:szCs w:val="18"/>
              </w:rPr>
              <w:t xml:space="preserve"> (None explosion-proof, display)</w:t>
            </w:r>
          </w:p>
          <w:p w14:paraId="7F586BBB">
            <w:pPr>
              <w:spacing w:after="240"/>
              <w:ind w:firstLine="720" w:firstLineChars="400"/>
              <w:rPr>
                <w:rFonts w:cstheme="minorHAnsi"/>
                <w:kern w:val="0"/>
                <w:sz w:val="18"/>
                <w:szCs w:val="18"/>
              </w:rPr>
            </w:pPr>
            <w:r>
              <w:rPr>
                <w:rFonts w:cstheme="minorHAnsi"/>
                <w:kern w:val="0"/>
                <w:sz w:val="18"/>
                <w:szCs w:val="18"/>
              </w:rPr>
              <w:t xml:space="preserve">(-30～60) </w:t>
            </w:r>
            <w:r>
              <w:rPr>
                <w:rFonts w:ascii="Cambria Math" w:hAnsi="Cambria Math" w:cs="Cambria Math"/>
                <w:kern w:val="0"/>
                <w:sz w:val="18"/>
                <w:szCs w:val="18"/>
              </w:rPr>
              <w:t>℃</w:t>
            </w:r>
            <w:r>
              <w:rPr>
                <w:rFonts w:cstheme="minorHAnsi"/>
                <w:kern w:val="0"/>
                <w:sz w:val="18"/>
                <w:szCs w:val="18"/>
              </w:rPr>
              <w:t xml:space="preserve"> </w:t>
            </w:r>
            <w:r>
              <w:rPr>
                <w:rFonts w:cstheme="minorHAnsi"/>
                <w:sz w:val="18"/>
                <w:szCs w:val="18"/>
              </w:rPr>
              <w:t>(Explosion-proof grade Ex ia IIC T4 Ga)</w:t>
            </w:r>
          </w:p>
          <w:p w14:paraId="7E29F159">
            <w:pPr>
              <w:spacing w:after="240"/>
              <w:ind w:firstLine="720" w:firstLineChars="400"/>
              <w:rPr>
                <w:rFonts w:cstheme="minorHAnsi"/>
                <w:kern w:val="0"/>
                <w:sz w:val="18"/>
                <w:szCs w:val="18"/>
              </w:rPr>
            </w:pPr>
            <w:r>
              <w:rPr>
                <w:rFonts w:cstheme="minorHAnsi"/>
                <w:kern w:val="0"/>
                <w:sz w:val="18"/>
                <w:szCs w:val="18"/>
              </w:rPr>
              <w:t xml:space="preserve">(-40～60) </w:t>
            </w:r>
            <w:r>
              <w:rPr>
                <w:rFonts w:ascii="Cambria Math" w:hAnsi="Cambria Math" w:cs="Cambria Math"/>
                <w:kern w:val="0"/>
                <w:sz w:val="18"/>
                <w:szCs w:val="18"/>
              </w:rPr>
              <w:t>℃</w:t>
            </w:r>
            <w:r>
              <w:rPr>
                <w:rFonts w:cstheme="minorHAnsi"/>
                <w:kern w:val="0"/>
                <w:sz w:val="18"/>
                <w:szCs w:val="18"/>
              </w:rPr>
              <w:t xml:space="preserve"> </w:t>
            </w:r>
            <w:r>
              <w:rPr>
                <w:rFonts w:cstheme="minorHAnsi"/>
                <w:sz w:val="18"/>
                <w:szCs w:val="18"/>
              </w:rPr>
              <w:t>(Explosion-proof grade Ex d IIC T4/T6 Gb</w:t>
            </w:r>
            <w:r>
              <w:rPr>
                <w:rFonts w:cstheme="minorHAnsi"/>
                <w:kern w:val="0"/>
                <w:sz w:val="18"/>
                <w:szCs w:val="18"/>
              </w:rPr>
              <w:t>)</w:t>
            </w:r>
          </w:p>
        </w:tc>
      </w:tr>
      <w:tr w14:paraId="1D8B22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8" w:hRule="atLeast"/>
          <w:jc w:val="center"/>
        </w:trPr>
        <w:tc>
          <w:tcPr>
            <w:tcW w:w="1050" w:type="pct"/>
            <w:shd w:val="clear" w:color="auto" w:fill="CCCCCC"/>
            <w:vAlign w:val="center"/>
          </w:tcPr>
          <w:p w14:paraId="2DDC785A">
            <w:pPr>
              <w:spacing w:after="240"/>
              <w:rPr>
                <w:rFonts w:cstheme="minorHAnsi"/>
                <w:sz w:val="18"/>
                <w:szCs w:val="18"/>
              </w:rPr>
            </w:pPr>
            <w:r>
              <w:rPr>
                <w:rFonts w:cstheme="minorHAnsi"/>
                <w:sz w:val="18"/>
                <w:szCs w:val="18"/>
              </w:rPr>
              <w:t>Media temperature</w:t>
            </w:r>
          </w:p>
        </w:tc>
        <w:tc>
          <w:tcPr>
            <w:tcW w:w="3950" w:type="pct"/>
            <w:gridSpan w:val="2"/>
            <w:vAlign w:val="center"/>
          </w:tcPr>
          <w:p w14:paraId="45670DD9">
            <w:pPr>
              <w:spacing w:after="240"/>
              <w:rPr>
                <w:rFonts w:cstheme="minorHAnsi"/>
                <w:sz w:val="18"/>
                <w:szCs w:val="18"/>
              </w:rPr>
            </w:pPr>
            <w:r>
              <w:rPr>
                <w:rFonts w:cstheme="minorHAnsi"/>
                <w:sz w:val="18"/>
                <w:szCs w:val="18"/>
              </w:rPr>
              <w:t xml:space="preserve">(-40～120) </w:t>
            </w:r>
            <w:r>
              <w:rPr>
                <w:rFonts w:ascii="Cambria Math" w:hAnsi="Cambria Math" w:cs="Cambria Math"/>
                <w:sz w:val="18"/>
                <w:szCs w:val="18"/>
              </w:rPr>
              <w:t>℃</w:t>
            </w:r>
            <w:r>
              <w:rPr>
                <w:rFonts w:cstheme="minorHAnsi"/>
                <w:sz w:val="18"/>
                <w:szCs w:val="18"/>
              </w:rPr>
              <w:t xml:space="preserve"> (silicone oil)</w:t>
            </w:r>
          </w:p>
        </w:tc>
      </w:tr>
      <w:tr w14:paraId="0F4570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9" w:hRule="atLeast"/>
          <w:jc w:val="center"/>
        </w:trPr>
        <w:tc>
          <w:tcPr>
            <w:tcW w:w="1050" w:type="pct"/>
            <w:shd w:val="clear" w:color="auto" w:fill="CCCCCC"/>
            <w:vAlign w:val="center"/>
          </w:tcPr>
          <w:p w14:paraId="7DC16003">
            <w:pPr>
              <w:spacing w:after="240"/>
              <w:rPr>
                <w:rFonts w:cstheme="minorHAnsi"/>
                <w:sz w:val="18"/>
                <w:szCs w:val="18"/>
              </w:rPr>
            </w:pPr>
            <w:r>
              <w:rPr>
                <w:rFonts w:cstheme="minorHAnsi"/>
                <w:sz w:val="18"/>
                <w:szCs w:val="18"/>
              </w:rPr>
              <w:t>Humidity range</w:t>
            </w:r>
          </w:p>
        </w:tc>
        <w:tc>
          <w:tcPr>
            <w:tcW w:w="3950" w:type="pct"/>
            <w:gridSpan w:val="2"/>
            <w:vAlign w:val="center"/>
          </w:tcPr>
          <w:p w14:paraId="7E8D56BC">
            <w:pPr>
              <w:spacing w:after="240"/>
              <w:rPr>
                <w:rFonts w:cstheme="minorHAnsi"/>
                <w:sz w:val="18"/>
                <w:szCs w:val="18"/>
              </w:rPr>
            </w:pPr>
            <w:r>
              <w:rPr>
                <w:rFonts w:cstheme="minorHAnsi"/>
                <w:sz w:val="18"/>
                <w:szCs w:val="18"/>
              </w:rPr>
              <w:t>(5～95)%RH</w:t>
            </w:r>
          </w:p>
        </w:tc>
      </w:tr>
      <w:tr w14:paraId="5205BB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 w:hRule="atLeast"/>
          <w:jc w:val="center"/>
        </w:trPr>
        <w:tc>
          <w:tcPr>
            <w:tcW w:w="1050" w:type="pct"/>
            <w:shd w:val="clear" w:color="auto" w:fill="CCCCCC"/>
            <w:vAlign w:val="center"/>
          </w:tcPr>
          <w:p w14:paraId="75E838AC">
            <w:pPr>
              <w:spacing w:after="240"/>
              <w:rPr>
                <w:rFonts w:cstheme="minorHAnsi"/>
                <w:sz w:val="18"/>
                <w:szCs w:val="18"/>
              </w:rPr>
            </w:pPr>
            <w:r>
              <w:rPr>
                <w:rFonts w:cstheme="minorHAnsi"/>
                <w:sz w:val="18"/>
                <w:szCs w:val="18"/>
              </w:rPr>
              <w:t>Start time*</w:t>
            </w:r>
          </w:p>
        </w:tc>
        <w:tc>
          <w:tcPr>
            <w:tcW w:w="3950" w:type="pct"/>
            <w:gridSpan w:val="2"/>
            <w:vAlign w:val="center"/>
          </w:tcPr>
          <w:p w14:paraId="68D32727">
            <w:pPr>
              <w:spacing w:after="240"/>
              <w:rPr>
                <w:rFonts w:cstheme="minorHAnsi"/>
                <w:sz w:val="18"/>
                <w:szCs w:val="18"/>
              </w:rPr>
            </w:pPr>
            <w:r>
              <w:rPr>
                <w:rFonts w:cstheme="minorHAnsi"/>
                <w:sz w:val="18"/>
                <w:szCs w:val="18"/>
              </w:rPr>
              <w:t>≤8s (HART</w:t>
            </w:r>
            <w:r>
              <w:rPr>
                <w:rFonts w:ascii="Calibri" w:hAnsi="Calibri" w:cs="Calibri"/>
                <w:sz w:val="18"/>
                <w:szCs w:val="18"/>
              </w:rPr>
              <w:t>、WirelessHART</w:t>
            </w:r>
            <w:r>
              <w:rPr>
                <w:rFonts w:cstheme="minorHAnsi"/>
                <w:sz w:val="18"/>
                <w:szCs w:val="18"/>
              </w:rPr>
              <w:t>)</w:t>
            </w:r>
          </w:p>
          <w:p w14:paraId="0791E900">
            <w:pPr>
              <w:spacing w:after="240"/>
              <w:rPr>
                <w:rFonts w:cstheme="minorHAnsi"/>
                <w:sz w:val="18"/>
                <w:szCs w:val="18"/>
              </w:rPr>
            </w:pPr>
            <w:r>
              <w:rPr>
                <w:rFonts w:cstheme="minorHAnsi"/>
                <w:sz w:val="18"/>
                <w:szCs w:val="18"/>
              </w:rPr>
              <w:t>≤12s (PA、DP)</w:t>
            </w:r>
          </w:p>
          <w:p w14:paraId="03A452B6">
            <w:pPr>
              <w:spacing w:after="240"/>
              <w:rPr>
                <w:rFonts w:cstheme="minorHAnsi"/>
                <w:sz w:val="18"/>
                <w:szCs w:val="18"/>
              </w:rPr>
            </w:pPr>
            <w:r>
              <w:rPr>
                <w:rFonts w:cstheme="minorHAnsi"/>
                <w:sz w:val="18"/>
                <w:szCs w:val="18"/>
              </w:rPr>
              <w:t>≤13s (FF)</w:t>
            </w:r>
          </w:p>
        </w:tc>
      </w:tr>
      <w:tr w14:paraId="76F8D8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 w:hRule="atLeast"/>
          <w:jc w:val="center"/>
        </w:trPr>
        <w:tc>
          <w:tcPr>
            <w:tcW w:w="1050" w:type="pct"/>
            <w:shd w:val="clear" w:color="auto" w:fill="CCCCCC"/>
            <w:vAlign w:val="center"/>
          </w:tcPr>
          <w:p w14:paraId="41083D15">
            <w:pPr>
              <w:spacing w:after="240"/>
              <w:rPr>
                <w:rFonts w:cstheme="minorHAnsi"/>
                <w:sz w:val="18"/>
                <w:szCs w:val="18"/>
              </w:rPr>
            </w:pPr>
            <w:r>
              <w:rPr>
                <w:rFonts w:cstheme="minorHAnsi"/>
                <w:sz w:val="18"/>
                <w:szCs w:val="18"/>
              </w:rPr>
              <w:t>Quiescent current (FF、PA)*</w:t>
            </w:r>
          </w:p>
        </w:tc>
        <w:tc>
          <w:tcPr>
            <w:tcW w:w="3950" w:type="pct"/>
            <w:gridSpan w:val="2"/>
            <w:vAlign w:val="center"/>
          </w:tcPr>
          <w:p w14:paraId="741C265E">
            <w:pPr>
              <w:spacing w:after="240"/>
              <w:rPr>
                <w:rFonts w:cstheme="minorHAnsi"/>
                <w:sz w:val="18"/>
                <w:szCs w:val="18"/>
              </w:rPr>
            </w:pPr>
            <w:r>
              <w:rPr>
                <w:rFonts w:cstheme="minorHAnsi"/>
                <w:sz w:val="18"/>
                <w:szCs w:val="18"/>
              </w:rPr>
              <w:t>≤14mA</w:t>
            </w:r>
          </w:p>
        </w:tc>
      </w:tr>
      <w:tr w14:paraId="6ACDE4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42" w:hRule="atLeast"/>
          <w:jc w:val="center"/>
        </w:trPr>
        <w:tc>
          <w:tcPr>
            <w:tcW w:w="1050" w:type="pct"/>
            <w:shd w:val="clear" w:color="auto" w:fill="CCCCCC"/>
            <w:vAlign w:val="center"/>
          </w:tcPr>
          <w:p w14:paraId="06CC3FC7">
            <w:pPr>
              <w:spacing w:after="240"/>
              <w:rPr>
                <w:rFonts w:cstheme="minorHAnsi"/>
                <w:sz w:val="18"/>
                <w:szCs w:val="18"/>
              </w:rPr>
            </w:pPr>
            <w:r>
              <w:rPr>
                <w:rFonts w:hint="eastAsia" w:ascii="Calibri" w:hAnsi="Calibri" w:cs="Calibri"/>
                <w:sz w:val="18"/>
                <w:szCs w:val="18"/>
              </w:rPr>
              <w:t>B</w:t>
            </w:r>
            <w:r>
              <w:rPr>
                <w:rFonts w:ascii="Calibri" w:hAnsi="Calibri" w:cs="Calibri"/>
                <w:sz w:val="18"/>
                <w:szCs w:val="18"/>
              </w:rPr>
              <w:t>attery characteristics</w:t>
            </w:r>
            <w:r>
              <w:rPr>
                <w:rFonts w:hint="eastAsia" w:ascii="Calibri" w:hAnsi="Calibri" w:cs="Calibri"/>
                <w:sz w:val="18"/>
                <w:szCs w:val="18"/>
              </w:rPr>
              <w:t>(W</w:t>
            </w:r>
            <w:r>
              <w:rPr>
                <w:rFonts w:ascii="Calibri" w:hAnsi="Calibri" w:cs="Calibri"/>
                <w:sz w:val="18"/>
                <w:szCs w:val="18"/>
              </w:rPr>
              <w:t>irelessHART</w:t>
            </w:r>
            <w:r>
              <w:rPr>
                <w:rFonts w:hint="eastAsia" w:ascii="Calibri" w:hAnsi="Calibri" w:cs="Calibri"/>
                <w:sz w:val="18"/>
                <w:szCs w:val="18"/>
              </w:rPr>
              <w:t>)</w:t>
            </w:r>
            <w:r>
              <w:rPr>
                <w:rFonts w:ascii="Calibri" w:hAnsi="Calibri" w:cs="Calibri"/>
                <w:sz w:val="18"/>
                <w:szCs w:val="18"/>
              </w:rPr>
              <w:t>*</w:t>
            </w:r>
          </w:p>
        </w:tc>
        <w:tc>
          <w:tcPr>
            <w:tcW w:w="3950" w:type="pct"/>
            <w:gridSpan w:val="2"/>
            <w:vAlign w:val="center"/>
          </w:tcPr>
          <w:p w14:paraId="09333376">
            <w:pPr>
              <w:spacing w:after="240"/>
              <w:rPr>
                <w:rFonts w:ascii="Calibri" w:hAnsi="Calibri" w:cs="Calibri"/>
                <w:sz w:val="18"/>
                <w:szCs w:val="18"/>
              </w:rPr>
            </w:pPr>
            <w:r>
              <w:rPr>
                <w:rFonts w:ascii="Calibri" w:hAnsi="Calibri" w:cs="Calibri"/>
                <w:sz w:val="18"/>
                <w:szCs w:val="18"/>
              </w:rPr>
              <w:t>2 * 19mAh/3.6V D-type battery</w:t>
            </w:r>
          </w:p>
          <w:p w14:paraId="64B765EB">
            <w:pPr>
              <w:spacing w:after="240"/>
              <w:rPr>
                <w:rFonts w:cstheme="minorHAnsi"/>
                <w:sz w:val="18"/>
                <w:szCs w:val="18"/>
              </w:rPr>
            </w:pPr>
            <w:r>
              <w:rPr>
                <w:rFonts w:hint="eastAsia" w:ascii="Calibri" w:hAnsi="Calibri" w:cs="Calibri"/>
                <w:sz w:val="18"/>
                <w:szCs w:val="18"/>
              </w:rPr>
              <w:t xml:space="preserve">21 </w:t>
            </w:r>
            <w:r>
              <w:rPr>
                <w:rFonts w:ascii="Cambria Math" w:hAnsi="Cambria Math" w:cs="Cambria Math"/>
                <w:kern w:val="0"/>
                <w:sz w:val="18"/>
                <w:szCs w:val="18"/>
              </w:rPr>
              <w:t>℃</w:t>
            </w:r>
            <w:r>
              <w:rPr>
                <w:rFonts w:hint="eastAsia" w:ascii="Calibri" w:hAnsi="Calibri" w:cs="Calibri"/>
                <w:sz w:val="18"/>
                <w:szCs w:val="18"/>
              </w:rPr>
              <w:t>, LCD off, 3 years @ 60 seconds</w:t>
            </w:r>
          </w:p>
        </w:tc>
      </w:tr>
      <w:tr w14:paraId="6D91C5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7" w:hRule="atLeast"/>
          <w:jc w:val="center"/>
        </w:trPr>
        <w:tc>
          <w:tcPr>
            <w:tcW w:w="1050" w:type="pct"/>
            <w:shd w:val="clear" w:color="auto" w:fill="CCCCCC"/>
            <w:vAlign w:val="center"/>
          </w:tcPr>
          <w:p w14:paraId="43A5564E">
            <w:pPr>
              <w:spacing w:after="240"/>
              <w:rPr>
                <w:rFonts w:cstheme="minorHAnsi"/>
                <w:sz w:val="18"/>
                <w:szCs w:val="18"/>
              </w:rPr>
            </w:pPr>
            <w:r>
              <w:rPr>
                <w:rFonts w:cstheme="minorHAnsi"/>
                <w:sz w:val="18"/>
                <w:szCs w:val="18"/>
              </w:rPr>
              <w:t>Refresh time</w:t>
            </w:r>
          </w:p>
        </w:tc>
        <w:tc>
          <w:tcPr>
            <w:tcW w:w="3950" w:type="pct"/>
            <w:gridSpan w:val="2"/>
            <w:vAlign w:val="center"/>
          </w:tcPr>
          <w:p w14:paraId="38ECC015">
            <w:pPr>
              <w:spacing w:after="240"/>
              <w:rPr>
                <w:rFonts w:cstheme="minorHAnsi"/>
                <w:sz w:val="18"/>
                <w:szCs w:val="18"/>
              </w:rPr>
            </w:pPr>
            <w:r>
              <w:rPr>
                <w:rFonts w:cstheme="minorHAnsi"/>
                <w:sz w:val="18"/>
                <w:szCs w:val="18"/>
              </w:rPr>
              <w:t>0.35s</w:t>
            </w:r>
          </w:p>
        </w:tc>
      </w:tr>
      <w:tr w14:paraId="6675DA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3" w:hRule="atLeast"/>
          <w:jc w:val="center"/>
        </w:trPr>
        <w:tc>
          <w:tcPr>
            <w:tcW w:w="1050" w:type="pct"/>
            <w:shd w:val="clear" w:color="auto" w:fill="CCCCCC"/>
            <w:vAlign w:val="center"/>
          </w:tcPr>
          <w:p w14:paraId="0C654505">
            <w:pPr>
              <w:spacing w:after="240"/>
              <w:rPr>
                <w:rFonts w:cstheme="minorHAnsi"/>
                <w:sz w:val="18"/>
                <w:szCs w:val="18"/>
              </w:rPr>
            </w:pPr>
            <w:r>
              <w:rPr>
                <w:rFonts w:cstheme="minorHAnsi"/>
                <w:sz w:val="18"/>
                <w:szCs w:val="18"/>
              </w:rPr>
              <w:t>Dump adjusting</w:t>
            </w:r>
          </w:p>
        </w:tc>
        <w:tc>
          <w:tcPr>
            <w:tcW w:w="3950" w:type="pct"/>
            <w:gridSpan w:val="2"/>
            <w:vAlign w:val="center"/>
          </w:tcPr>
          <w:p w14:paraId="241576A8">
            <w:pPr>
              <w:spacing w:after="240"/>
              <w:rPr>
                <w:rFonts w:cstheme="minorHAnsi"/>
                <w:sz w:val="18"/>
                <w:szCs w:val="18"/>
              </w:rPr>
            </w:pPr>
            <w:r>
              <w:rPr>
                <w:rFonts w:cstheme="minorHAnsi"/>
                <w:sz w:val="18"/>
                <w:szCs w:val="18"/>
              </w:rPr>
              <w:t>Time constant 0～32 seconds</w:t>
            </w:r>
          </w:p>
        </w:tc>
      </w:tr>
      <w:tr w14:paraId="3EA65F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2" w:hRule="atLeast"/>
          <w:jc w:val="center"/>
        </w:trPr>
        <w:tc>
          <w:tcPr>
            <w:tcW w:w="1050" w:type="pct"/>
            <w:tcBorders>
              <w:bottom w:val="single" w:color="auto" w:sz="8" w:space="0"/>
            </w:tcBorders>
            <w:shd w:val="clear" w:color="auto" w:fill="CCCCCC"/>
            <w:vAlign w:val="center"/>
          </w:tcPr>
          <w:p w14:paraId="524A82A9">
            <w:pPr>
              <w:spacing w:after="240"/>
              <w:rPr>
                <w:rFonts w:cstheme="minorHAnsi"/>
                <w:sz w:val="18"/>
                <w:szCs w:val="18"/>
              </w:rPr>
            </w:pPr>
            <w:r>
              <w:rPr>
                <w:rFonts w:cstheme="minorHAnsi"/>
                <w:sz w:val="18"/>
                <w:szCs w:val="18"/>
              </w:rPr>
              <w:t>Change of cavity</w:t>
            </w:r>
          </w:p>
        </w:tc>
        <w:tc>
          <w:tcPr>
            <w:tcW w:w="3950" w:type="pct"/>
            <w:gridSpan w:val="2"/>
            <w:vAlign w:val="center"/>
          </w:tcPr>
          <w:p w14:paraId="0F83642A">
            <w:pPr>
              <w:spacing w:after="240"/>
              <w:rPr>
                <w:rFonts w:cstheme="minorHAnsi"/>
                <w:sz w:val="18"/>
                <w:szCs w:val="18"/>
              </w:rPr>
            </w:pPr>
            <w:r>
              <w:rPr>
                <w:rFonts w:cstheme="minorHAnsi"/>
                <w:sz w:val="18"/>
                <w:szCs w:val="18"/>
              </w:rPr>
              <w:t>&lt; 0.16 cm</w:t>
            </w:r>
            <w:r>
              <w:rPr>
                <w:rFonts w:cstheme="minorHAnsi"/>
                <w:sz w:val="18"/>
                <w:szCs w:val="18"/>
                <w:vertAlign w:val="superscript"/>
              </w:rPr>
              <w:t>3</w:t>
            </w:r>
          </w:p>
        </w:tc>
      </w:tr>
      <w:tr w14:paraId="3EE23C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0" w:hRule="atLeast"/>
          <w:jc w:val="center"/>
        </w:trPr>
        <w:tc>
          <w:tcPr>
            <w:tcW w:w="1050" w:type="pct"/>
            <w:shd w:val="clear" w:color="auto" w:fill="CCCCCC"/>
            <w:vAlign w:val="center"/>
          </w:tcPr>
          <w:p w14:paraId="0FB4F178">
            <w:pPr>
              <w:spacing w:after="240"/>
              <w:rPr>
                <w:rFonts w:cstheme="minorHAnsi"/>
                <w:sz w:val="18"/>
                <w:szCs w:val="18"/>
              </w:rPr>
            </w:pPr>
            <w:r>
              <w:rPr>
                <w:rFonts w:cstheme="minorHAnsi"/>
                <w:bCs/>
                <w:sz w:val="18"/>
                <w:szCs w:val="18"/>
              </w:rPr>
              <w:t>Ex type</w:t>
            </w:r>
          </w:p>
        </w:tc>
        <w:tc>
          <w:tcPr>
            <w:tcW w:w="3950" w:type="pct"/>
            <w:gridSpan w:val="2"/>
            <w:vAlign w:val="center"/>
          </w:tcPr>
          <w:p w14:paraId="2BA04776">
            <w:pPr>
              <w:spacing w:after="240"/>
              <w:rPr>
                <w:rFonts w:cstheme="minorHAnsi"/>
                <w:sz w:val="18"/>
                <w:szCs w:val="18"/>
              </w:rPr>
            </w:pPr>
            <w:r>
              <w:rPr>
                <w:rFonts w:hint="eastAsia" w:cstheme="minorHAnsi"/>
                <w:sz w:val="18"/>
                <w:szCs w:val="18"/>
              </w:rPr>
              <w:t>E</w:t>
            </w:r>
            <w:r>
              <w:rPr>
                <w:rFonts w:cstheme="minorHAnsi"/>
                <w:sz w:val="18"/>
                <w:szCs w:val="18"/>
              </w:rPr>
              <w:t>x ia, Ex d</w:t>
            </w:r>
          </w:p>
        </w:tc>
      </w:tr>
      <w:tr w14:paraId="611077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3" w:hRule="atLeast"/>
          <w:jc w:val="center"/>
        </w:trPr>
        <w:tc>
          <w:tcPr>
            <w:tcW w:w="1050" w:type="pct"/>
            <w:shd w:val="clear" w:color="auto" w:fill="CCCCCC"/>
            <w:vAlign w:val="center"/>
          </w:tcPr>
          <w:p w14:paraId="0839E064">
            <w:pPr>
              <w:spacing w:after="240"/>
              <w:rPr>
                <w:rFonts w:cstheme="minorHAnsi"/>
                <w:bCs/>
                <w:sz w:val="18"/>
                <w:szCs w:val="18"/>
              </w:rPr>
            </w:pPr>
            <w:r>
              <w:rPr>
                <w:rFonts w:cstheme="minorHAnsi"/>
                <w:bCs/>
                <w:sz w:val="18"/>
                <w:szCs w:val="18"/>
              </w:rPr>
              <w:t>Protection grade</w:t>
            </w:r>
          </w:p>
        </w:tc>
        <w:tc>
          <w:tcPr>
            <w:tcW w:w="3950" w:type="pct"/>
            <w:gridSpan w:val="2"/>
            <w:vAlign w:val="center"/>
          </w:tcPr>
          <w:p w14:paraId="2F6216C6">
            <w:pPr>
              <w:spacing w:after="240"/>
              <w:rPr>
                <w:rFonts w:cstheme="minorHAnsi"/>
                <w:sz w:val="18"/>
                <w:szCs w:val="18"/>
              </w:rPr>
            </w:pPr>
            <w:r>
              <w:rPr>
                <w:rFonts w:cstheme="minorHAnsi"/>
                <w:sz w:val="18"/>
                <w:szCs w:val="18"/>
              </w:rPr>
              <w:t>IP65/IP67</w:t>
            </w:r>
          </w:p>
        </w:tc>
      </w:tr>
      <w:tr w14:paraId="0DCDC1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3" w:hRule="atLeast"/>
          <w:jc w:val="center"/>
        </w:trPr>
        <w:tc>
          <w:tcPr>
            <w:tcW w:w="1050" w:type="pct"/>
            <w:shd w:val="clear" w:color="auto" w:fill="CCCCCC"/>
            <w:vAlign w:val="center"/>
          </w:tcPr>
          <w:p w14:paraId="4FC48372">
            <w:pPr>
              <w:spacing w:after="240"/>
              <w:rPr>
                <w:rFonts w:cstheme="minorHAnsi"/>
                <w:sz w:val="18"/>
                <w:szCs w:val="18"/>
              </w:rPr>
            </w:pPr>
            <w:r>
              <w:rPr>
                <w:rFonts w:cstheme="minorHAnsi"/>
                <w:sz w:val="18"/>
                <w:szCs w:val="18"/>
              </w:rPr>
              <w:t>Explosion-proof performance</w:t>
            </w:r>
          </w:p>
        </w:tc>
        <w:tc>
          <w:tcPr>
            <w:tcW w:w="3950" w:type="pct"/>
            <w:gridSpan w:val="2"/>
          </w:tcPr>
          <w:p w14:paraId="40F39D7B">
            <w:pPr>
              <w:autoSpaceDE w:val="0"/>
              <w:autoSpaceDN w:val="0"/>
              <w:adjustRightInd w:val="0"/>
              <w:spacing w:after="240"/>
              <w:rPr>
                <w:rFonts w:cstheme="minorHAnsi"/>
                <w:kern w:val="0"/>
                <w:sz w:val="18"/>
                <w:szCs w:val="18"/>
                <w:lang w:val="de-DE"/>
              </w:rPr>
            </w:pPr>
            <w:r>
              <w:rPr>
                <w:rFonts w:cstheme="minorHAnsi"/>
                <w:kern w:val="0"/>
                <w:sz w:val="18"/>
                <w:szCs w:val="18"/>
                <w:lang w:val="de-DE"/>
              </w:rPr>
              <w:t xml:space="preserve">DA：Ex d IIC T6 Gb </w:t>
            </w:r>
          </w:p>
          <w:p w14:paraId="5CED5531">
            <w:pPr>
              <w:autoSpaceDE w:val="0"/>
              <w:autoSpaceDN w:val="0"/>
              <w:adjustRightInd w:val="0"/>
              <w:spacing w:after="240"/>
              <w:rPr>
                <w:rFonts w:cstheme="minorHAnsi"/>
                <w:kern w:val="0"/>
                <w:sz w:val="18"/>
                <w:szCs w:val="18"/>
                <w:lang w:val="de-DE"/>
              </w:rPr>
            </w:pPr>
            <w:r>
              <w:rPr>
                <w:rFonts w:cstheme="minorHAnsi"/>
                <w:kern w:val="0"/>
                <w:sz w:val="18"/>
                <w:szCs w:val="18"/>
                <w:lang w:val="de-DE"/>
              </w:rPr>
              <w:t xml:space="preserve">DC：Ex d IIC T4 Gb </w:t>
            </w:r>
          </w:p>
          <w:p w14:paraId="17EA2D04">
            <w:pPr>
              <w:spacing w:after="240"/>
              <w:rPr>
                <w:rFonts w:cstheme="minorHAnsi"/>
                <w:sz w:val="18"/>
                <w:szCs w:val="18"/>
                <w:lang w:val="pt-BR"/>
              </w:rPr>
            </w:pPr>
            <w:r>
              <w:rPr>
                <w:rFonts w:cstheme="minorHAnsi"/>
                <w:kern w:val="0"/>
                <w:sz w:val="18"/>
                <w:szCs w:val="18"/>
                <w:lang w:val="pt-BR"/>
              </w:rPr>
              <w:t>IC：Ex ia IIC T4 Ga</w:t>
            </w:r>
          </w:p>
        </w:tc>
      </w:tr>
      <w:tr w14:paraId="4C9050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3" w:hRule="atLeast"/>
          <w:jc w:val="center"/>
        </w:trPr>
        <w:tc>
          <w:tcPr>
            <w:tcW w:w="1050" w:type="pct"/>
            <w:shd w:val="clear" w:color="auto" w:fill="CCCCCC"/>
            <w:vAlign w:val="center"/>
          </w:tcPr>
          <w:p w14:paraId="298DDD28">
            <w:pPr>
              <w:spacing w:after="240"/>
              <w:rPr>
                <w:rFonts w:cstheme="minorHAnsi"/>
                <w:sz w:val="18"/>
                <w:szCs w:val="18"/>
              </w:rPr>
            </w:pPr>
            <w:r>
              <w:rPr>
                <w:rFonts w:cstheme="minorHAnsi"/>
                <w:sz w:val="18"/>
                <w:szCs w:val="18"/>
              </w:rPr>
              <w:t>Protection class</w:t>
            </w:r>
          </w:p>
        </w:tc>
        <w:tc>
          <w:tcPr>
            <w:tcW w:w="3950" w:type="pct"/>
            <w:gridSpan w:val="2"/>
          </w:tcPr>
          <w:p w14:paraId="426A002D">
            <w:pPr>
              <w:pStyle w:val="58"/>
              <w:ind w:firstLine="0" w:firstLineChars="0"/>
              <w:rPr>
                <w:rFonts w:asciiTheme="minorHAnsi" w:hAnsiTheme="minorHAnsi" w:cstheme="minorHAnsi"/>
                <w:sz w:val="18"/>
                <w:szCs w:val="18"/>
              </w:rPr>
            </w:pPr>
            <w:r>
              <w:rPr>
                <w:rFonts w:asciiTheme="minorHAnsi" w:hAnsiTheme="minorHAnsi" w:cstheme="minorHAnsi"/>
                <w:sz w:val="18"/>
                <w:szCs w:val="18"/>
              </w:rPr>
              <w:t>No explosion-proof type: the enclosure protection grade reaches IP65;</w:t>
            </w:r>
          </w:p>
          <w:p w14:paraId="7795A479">
            <w:pPr>
              <w:pStyle w:val="58"/>
              <w:ind w:firstLine="0" w:firstLineChars="0"/>
              <w:rPr>
                <w:rFonts w:asciiTheme="minorHAnsi" w:hAnsiTheme="minorHAnsi" w:cstheme="minorHAnsi"/>
                <w:sz w:val="18"/>
                <w:szCs w:val="18"/>
              </w:rPr>
            </w:pPr>
            <w:r>
              <w:rPr>
                <w:rFonts w:asciiTheme="minorHAnsi" w:hAnsiTheme="minorHAnsi" w:cstheme="minorHAnsi"/>
                <w:sz w:val="18"/>
                <w:szCs w:val="18"/>
              </w:rPr>
              <w:t>Explosion-proof type: the enclosure protection grade reaches IP67;</w:t>
            </w:r>
          </w:p>
          <w:p w14:paraId="42D3A5E6">
            <w:pPr>
              <w:spacing w:after="240"/>
              <w:rPr>
                <w:rFonts w:cstheme="minorHAnsi"/>
                <w:sz w:val="18"/>
                <w:szCs w:val="18"/>
              </w:rPr>
            </w:pPr>
            <w:r>
              <w:rPr>
                <w:rFonts w:cstheme="minorHAnsi"/>
                <w:sz w:val="18"/>
                <w:szCs w:val="18"/>
              </w:rPr>
              <w:t>Intrinsically safe: the enclosure protection level reaches IP65.</w:t>
            </w:r>
          </w:p>
        </w:tc>
      </w:tr>
      <w:tr w14:paraId="1C92AD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3" w:hRule="atLeast"/>
          <w:jc w:val="center"/>
        </w:trPr>
        <w:tc>
          <w:tcPr>
            <w:tcW w:w="1050" w:type="pct"/>
            <w:shd w:val="clear" w:color="auto" w:fill="CCCCCC"/>
            <w:vAlign w:val="center"/>
          </w:tcPr>
          <w:p w14:paraId="5777D588">
            <w:pPr>
              <w:spacing w:after="240"/>
              <w:rPr>
                <w:rFonts w:cstheme="minorHAnsi"/>
                <w:sz w:val="18"/>
                <w:szCs w:val="18"/>
              </w:rPr>
            </w:pPr>
            <w:r>
              <w:rPr>
                <w:rFonts w:cstheme="minorHAnsi"/>
                <w:sz w:val="18"/>
                <w:szCs w:val="18"/>
              </w:rPr>
              <w:t>Electromagnetic compatibility</w:t>
            </w:r>
          </w:p>
        </w:tc>
        <w:tc>
          <w:tcPr>
            <w:tcW w:w="3950" w:type="pct"/>
            <w:gridSpan w:val="2"/>
          </w:tcPr>
          <w:p w14:paraId="2B47AA2F">
            <w:pPr>
              <w:autoSpaceDE w:val="0"/>
              <w:autoSpaceDN w:val="0"/>
              <w:adjustRightInd w:val="0"/>
              <w:spacing w:after="240"/>
              <w:jc w:val="left"/>
              <w:rPr>
                <w:rFonts w:cstheme="minorHAnsi"/>
                <w:kern w:val="0"/>
                <w:sz w:val="18"/>
                <w:szCs w:val="18"/>
              </w:rPr>
            </w:pPr>
            <w:r>
              <w:rPr>
                <w:rFonts w:cstheme="minorHAnsi"/>
                <w:kern w:val="0"/>
                <w:sz w:val="18"/>
                <w:szCs w:val="18"/>
              </w:rPr>
              <w:t>Comply with the immunity requirements of industrial places in GB/T 18268.1</w:t>
            </w:r>
          </w:p>
          <w:p w14:paraId="77589680">
            <w:pPr>
              <w:spacing w:after="240"/>
              <w:rPr>
                <w:rFonts w:cstheme="minorHAnsi"/>
                <w:sz w:val="18"/>
                <w:szCs w:val="18"/>
              </w:rPr>
            </w:pPr>
            <w:r>
              <w:rPr>
                <w:rFonts w:cstheme="minorHAnsi"/>
                <w:kern w:val="0"/>
                <w:sz w:val="18"/>
                <w:szCs w:val="18"/>
              </w:rPr>
              <w:t>Comply with the harassment requirements for Class A equipment in GB 9254</w:t>
            </w:r>
          </w:p>
        </w:tc>
      </w:tr>
    </w:tbl>
    <w:p w14:paraId="4203C69F">
      <w:pPr>
        <w:pStyle w:val="40"/>
        <w:spacing w:before="120" w:beforeLines="50" w:after="240" w:line="240" w:lineRule="auto"/>
        <w:ind w:left="0"/>
        <w:rPr>
          <w:rFonts w:cstheme="minorHAnsi"/>
          <w:sz w:val="21"/>
          <w:szCs w:val="21"/>
        </w:rPr>
      </w:pPr>
      <w:bookmarkStart w:id="203" w:name="_Toc183334329"/>
      <w:bookmarkStart w:id="204" w:name="_Toc183427081"/>
      <w:bookmarkStart w:id="205" w:name="_Toc440269446"/>
      <w:r>
        <w:rPr>
          <w:rFonts w:cstheme="minorHAnsi"/>
          <w:sz w:val="21"/>
          <w:szCs w:val="21"/>
        </w:rPr>
        <w:t>*</w:t>
      </w:r>
      <w:r>
        <w:rPr>
          <w:rFonts w:cstheme="minorHAnsi"/>
        </w:rPr>
        <w:t xml:space="preserve"> </w:t>
      </w:r>
      <w:r>
        <w:rPr>
          <w:rFonts w:cstheme="minorHAnsi"/>
          <w:sz w:val="21"/>
          <w:szCs w:val="21"/>
        </w:rPr>
        <w:t>Start time: The current is updated to the main variable pressure value (HART</w:t>
      </w:r>
      <w:r>
        <w:rPr>
          <w:rFonts w:ascii="Calibri" w:hAnsi="Calibri" w:cs="Calibri"/>
          <w:sz w:val="21"/>
          <w:szCs w:val="21"/>
        </w:rPr>
        <w:t>、WirelessHART</w:t>
      </w:r>
      <w:r>
        <w:rPr>
          <w:rFonts w:cstheme="minorHAnsi"/>
          <w:sz w:val="21"/>
          <w:szCs w:val="21"/>
        </w:rPr>
        <w:t>), and the liquid crystal displays the main variable pressure value (FF, PA, DP).</w:t>
      </w:r>
    </w:p>
    <w:p w14:paraId="25E791A3">
      <w:pPr>
        <w:pStyle w:val="40"/>
        <w:spacing w:after="240" w:line="240" w:lineRule="auto"/>
        <w:ind w:left="0"/>
        <w:rPr>
          <w:rFonts w:cstheme="minorHAnsi"/>
          <w:sz w:val="21"/>
          <w:szCs w:val="21"/>
        </w:rPr>
      </w:pPr>
      <w:r>
        <w:rPr>
          <w:rFonts w:cstheme="minorHAnsi"/>
          <w:sz w:val="21"/>
          <w:szCs w:val="21"/>
        </w:rPr>
        <w:t>**</w:t>
      </w:r>
      <w:r>
        <w:rPr>
          <w:rFonts w:cstheme="minorHAnsi"/>
        </w:rPr>
        <w:t xml:space="preserve"> </w:t>
      </w:r>
      <w:r>
        <w:rPr>
          <w:rFonts w:cstheme="minorHAnsi"/>
          <w:sz w:val="21"/>
          <w:szCs w:val="21"/>
        </w:rPr>
        <w:t>Quiescent current accuracy is 1%.</w:t>
      </w:r>
    </w:p>
    <w:p w14:paraId="3FCAE5D1">
      <w:pPr>
        <w:pStyle w:val="40"/>
        <w:spacing w:before="120" w:beforeLines="50" w:after="240" w:line="240" w:lineRule="auto"/>
        <w:ind w:left="0"/>
        <w:rPr>
          <w:rFonts w:cstheme="minorHAnsi"/>
          <w:sz w:val="21"/>
          <w:szCs w:val="21"/>
        </w:rPr>
      </w:pPr>
      <w:r>
        <w:rPr>
          <w:rFonts w:cstheme="minorHAnsi"/>
          <w:sz w:val="21"/>
          <w:szCs w:val="21"/>
        </w:rPr>
        <w:t>* For IP67 protection, when the electrical interface is NPT threaded, it is necessary to use sealant or tape for sealing.</w:t>
      </w:r>
    </w:p>
    <w:p w14:paraId="65DF6754">
      <w:pPr>
        <w:pStyle w:val="3"/>
        <w:spacing w:before="120" w:beforeLines="50" w:after="120" w:afterLines="50" w:line="240" w:lineRule="auto"/>
        <w:ind w:left="578" w:hanging="578"/>
        <w:rPr>
          <w:rFonts w:asciiTheme="minorHAnsi" w:hAnsiTheme="minorHAnsi" w:cstheme="minorHAnsi"/>
        </w:rPr>
      </w:pPr>
      <w:bookmarkStart w:id="206" w:name="_Toc99099407"/>
      <w:bookmarkStart w:id="207" w:name="_Toc199429861"/>
      <w:r>
        <w:rPr>
          <w:rFonts w:asciiTheme="minorHAnsi" w:hAnsiTheme="minorHAnsi" w:cstheme="minorHAnsi"/>
        </w:rPr>
        <w:t>Performance Index</w:t>
      </w:r>
      <w:bookmarkEnd w:id="200"/>
      <w:bookmarkEnd w:id="201"/>
      <w:bookmarkEnd w:id="202"/>
      <w:bookmarkEnd w:id="203"/>
      <w:bookmarkEnd w:id="204"/>
      <w:bookmarkEnd w:id="205"/>
      <w:bookmarkEnd w:id="206"/>
      <w:bookmarkEnd w:id="207"/>
    </w:p>
    <w:p w14:paraId="192DDA63">
      <w:pPr>
        <w:pStyle w:val="4"/>
        <w:spacing w:before="120" w:beforeLines="50" w:after="120" w:afterLines="50"/>
        <w:rPr>
          <w:rFonts w:asciiTheme="minorHAnsi" w:hAnsiTheme="minorHAnsi" w:cstheme="minorHAnsi"/>
        </w:rPr>
      </w:pPr>
      <w:bookmarkStart w:id="208" w:name="_Toc99099410"/>
      <w:bookmarkStart w:id="209" w:name="_Toc199429862"/>
      <w:r>
        <w:rPr>
          <w:rFonts w:asciiTheme="minorHAnsi" w:hAnsiTheme="minorHAnsi" w:cstheme="minorHAnsi"/>
        </w:rPr>
        <w:t>NCS-PT105IIM</w:t>
      </w:r>
      <w:bookmarkEnd w:id="208"/>
      <w:r>
        <w:rPr>
          <w:rFonts w:asciiTheme="minorHAnsi" w:hAnsiTheme="minorHAnsi" w:cstheme="minorHAnsi"/>
        </w:rPr>
        <w:t xml:space="preserve"> differential pressure transmitter performance index</w:t>
      </w:r>
      <w:bookmarkEnd w:id="209"/>
    </w:p>
    <w:p w14:paraId="0F1FBD04">
      <w:pPr>
        <w:numPr>
          <w:ilvl w:val="0"/>
          <w:numId w:val="28"/>
        </w:numPr>
        <w:spacing w:after="120" w:afterLines="50"/>
        <w:rPr>
          <w:rFonts w:cstheme="minorHAnsi"/>
          <w:b/>
        </w:rPr>
      </w:pPr>
      <w:r>
        <w:rPr>
          <w:rFonts w:cstheme="minorHAnsi"/>
          <w:b/>
        </w:rPr>
        <w:t>Range and range limit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417"/>
        <w:gridCol w:w="1380"/>
        <w:gridCol w:w="1218"/>
        <w:gridCol w:w="1218"/>
        <w:gridCol w:w="1219"/>
        <w:gridCol w:w="1219"/>
      </w:tblGrid>
      <w:tr w14:paraId="100E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88" w:type="dxa"/>
            <w:shd w:val="clear" w:color="auto" w:fill="BEBEBE" w:themeFill="background1" w:themeFillShade="BF"/>
            <w:vAlign w:val="center"/>
          </w:tcPr>
          <w:p w14:paraId="4FA30D02">
            <w:pPr>
              <w:spacing w:after="240"/>
              <w:rPr>
                <w:rFonts w:cstheme="minorHAnsi"/>
                <w:sz w:val="18"/>
                <w:szCs w:val="18"/>
              </w:rPr>
            </w:pPr>
            <w:r>
              <w:rPr>
                <w:rFonts w:cstheme="minorHAnsi"/>
                <w:sz w:val="18"/>
                <w:szCs w:val="18"/>
              </w:rPr>
              <w:t>Nominal range</w:t>
            </w:r>
          </w:p>
        </w:tc>
        <w:tc>
          <w:tcPr>
            <w:tcW w:w="1417" w:type="dxa"/>
            <w:shd w:val="clear" w:color="auto" w:fill="BEBEBE" w:themeFill="background1" w:themeFillShade="BF"/>
            <w:vAlign w:val="center"/>
          </w:tcPr>
          <w:p w14:paraId="3D36D54D">
            <w:pPr>
              <w:spacing w:after="240"/>
              <w:rPr>
                <w:rFonts w:cstheme="minorHAnsi"/>
                <w:sz w:val="18"/>
                <w:szCs w:val="18"/>
              </w:rPr>
            </w:pPr>
            <w:r>
              <w:rPr>
                <w:rFonts w:cstheme="minorHAnsi"/>
                <w:sz w:val="18"/>
                <w:szCs w:val="18"/>
              </w:rPr>
              <w:t>Range of measurement</w:t>
            </w:r>
          </w:p>
        </w:tc>
        <w:tc>
          <w:tcPr>
            <w:tcW w:w="1380" w:type="dxa"/>
            <w:shd w:val="clear" w:color="auto" w:fill="BEBEBE" w:themeFill="background1" w:themeFillShade="BF"/>
            <w:vAlign w:val="center"/>
          </w:tcPr>
          <w:p w14:paraId="7BA1C110">
            <w:pPr>
              <w:spacing w:after="240"/>
              <w:rPr>
                <w:rFonts w:cstheme="minorHAnsi"/>
                <w:sz w:val="18"/>
                <w:szCs w:val="18"/>
              </w:rPr>
            </w:pPr>
            <w:r>
              <w:rPr>
                <w:rFonts w:cstheme="minorHAnsi"/>
                <w:sz w:val="18"/>
                <w:szCs w:val="18"/>
              </w:rPr>
              <w:t>Lower range limit</w:t>
            </w:r>
          </w:p>
        </w:tc>
        <w:tc>
          <w:tcPr>
            <w:tcW w:w="1218" w:type="dxa"/>
            <w:shd w:val="clear" w:color="auto" w:fill="BEBEBE" w:themeFill="background1" w:themeFillShade="BF"/>
            <w:vAlign w:val="center"/>
          </w:tcPr>
          <w:p w14:paraId="077877B4">
            <w:pPr>
              <w:spacing w:after="240"/>
              <w:rPr>
                <w:rFonts w:cstheme="minorHAnsi"/>
                <w:sz w:val="18"/>
                <w:szCs w:val="18"/>
              </w:rPr>
            </w:pPr>
            <w:r>
              <w:rPr>
                <w:rFonts w:cstheme="minorHAnsi"/>
                <w:sz w:val="18"/>
                <w:szCs w:val="18"/>
              </w:rPr>
              <w:t>Upper range limit</w:t>
            </w:r>
          </w:p>
        </w:tc>
        <w:tc>
          <w:tcPr>
            <w:tcW w:w="1218" w:type="dxa"/>
            <w:shd w:val="clear" w:color="auto" w:fill="BEBEBE" w:themeFill="background1" w:themeFillShade="BF"/>
            <w:vAlign w:val="center"/>
          </w:tcPr>
          <w:p w14:paraId="3394F5A7">
            <w:pPr>
              <w:spacing w:after="240"/>
              <w:rPr>
                <w:rFonts w:cstheme="minorHAnsi"/>
                <w:sz w:val="18"/>
                <w:szCs w:val="18"/>
              </w:rPr>
            </w:pPr>
            <w:r>
              <w:rPr>
                <w:rFonts w:cstheme="minorHAnsi"/>
                <w:sz w:val="18"/>
                <w:szCs w:val="18"/>
              </w:rPr>
              <w:t>Static pressure range</w:t>
            </w:r>
          </w:p>
        </w:tc>
        <w:tc>
          <w:tcPr>
            <w:tcW w:w="1219" w:type="dxa"/>
            <w:shd w:val="clear" w:color="auto" w:fill="BEBEBE" w:themeFill="background1" w:themeFillShade="BF"/>
            <w:vAlign w:val="center"/>
          </w:tcPr>
          <w:p w14:paraId="74A0E985">
            <w:pPr>
              <w:spacing w:after="240"/>
              <w:rPr>
                <w:rFonts w:cstheme="minorHAnsi"/>
                <w:sz w:val="18"/>
                <w:szCs w:val="18"/>
              </w:rPr>
            </w:pPr>
            <w:r>
              <w:rPr>
                <w:rFonts w:cstheme="minorHAnsi"/>
                <w:sz w:val="18"/>
                <w:szCs w:val="18"/>
              </w:rPr>
              <w:t>One-way high-voltage end overload</w:t>
            </w:r>
          </w:p>
        </w:tc>
        <w:tc>
          <w:tcPr>
            <w:tcW w:w="1219" w:type="dxa"/>
            <w:shd w:val="clear" w:color="auto" w:fill="BEBEBE" w:themeFill="background1" w:themeFillShade="BF"/>
            <w:vAlign w:val="center"/>
          </w:tcPr>
          <w:p w14:paraId="5C2B9C0F">
            <w:pPr>
              <w:spacing w:after="240"/>
              <w:rPr>
                <w:rFonts w:cstheme="minorHAnsi"/>
                <w:sz w:val="18"/>
                <w:szCs w:val="18"/>
              </w:rPr>
            </w:pPr>
            <w:r>
              <w:rPr>
                <w:rFonts w:cstheme="minorHAnsi"/>
                <w:sz w:val="18"/>
                <w:szCs w:val="18"/>
              </w:rPr>
              <w:t>One-way low-voltage end overload</w:t>
            </w:r>
          </w:p>
        </w:tc>
      </w:tr>
      <w:tr w14:paraId="36B1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14:paraId="248D98B5">
            <w:pPr>
              <w:spacing w:after="240"/>
              <w:jc w:val="center"/>
              <w:rPr>
                <w:rFonts w:ascii="Calibri" w:hAnsi="Calibri" w:cs="Calibri"/>
                <w:sz w:val="18"/>
                <w:szCs w:val="18"/>
              </w:rPr>
            </w:pPr>
            <w:r>
              <w:rPr>
                <w:rFonts w:hint="eastAsia" w:ascii="Calibri" w:hAnsi="Calibri" w:cs="Calibri"/>
                <w:sz w:val="18"/>
                <w:szCs w:val="18"/>
              </w:rPr>
              <w:t>3</w:t>
            </w:r>
            <w:r>
              <w:rPr>
                <w:rFonts w:ascii="Calibri" w:hAnsi="Calibri" w:cs="Calibri"/>
                <w:sz w:val="18"/>
                <w:szCs w:val="18"/>
              </w:rPr>
              <w:t>kPa</w:t>
            </w:r>
          </w:p>
        </w:tc>
        <w:tc>
          <w:tcPr>
            <w:tcW w:w="1417" w:type="dxa"/>
          </w:tcPr>
          <w:p w14:paraId="67282634">
            <w:pPr>
              <w:spacing w:after="240"/>
              <w:jc w:val="center"/>
              <w:rPr>
                <w:rFonts w:ascii="Calibri" w:hAnsi="Calibri" w:cs="Calibri"/>
                <w:sz w:val="18"/>
                <w:szCs w:val="18"/>
              </w:rPr>
            </w:pPr>
            <w:r>
              <w:rPr>
                <w:rFonts w:hint="eastAsia" w:ascii="Calibri" w:hAnsi="Calibri" w:cs="Calibri"/>
                <w:sz w:val="18"/>
                <w:szCs w:val="18"/>
              </w:rPr>
              <w:t>100Pa~3</w:t>
            </w:r>
            <w:r>
              <w:rPr>
                <w:rFonts w:ascii="Calibri" w:hAnsi="Calibri" w:cs="Calibri"/>
                <w:sz w:val="18"/>
                <w:szCs w:val="18"/>
              </w:rPr>
              <w:t>kPa</w:t>
            </w:r>
          </w:p>
        </w:tc>
        <w:tc>
          <w:tcPr>
            <w:tcW w:w="1380" w:type="dxa"/>
          </w:tcPr>
          <w:p w14:paraId="0A4E798D">
            <w:pPr>
              <w:spacing w:after="240"/>
              <w:jc w:val="center"/>
              <w:rPr>
                <w:rFonts w:ascii="Calibri" w:hAnsi="Calibri" w:cs="Calibri"/>
                <w:sz w:val="18"/>
                <w:szCs w:val="18"/>
              </w:rPr>
            </w:pPr>
            <w:r>
              <w:rPr>
                <w:rFonts w:ascii="Calibri" w:hAnsi="Calibri" w:cs="Calibri"/>
                <w:sz w:val="18"/>
                <w:szCs w:val="18"/>
              </w:rPr>
              <w:t>-</w:t>
            </w:r>
            <w:r>
              <w:rPr>
                <w:rFonts w:hint="eastAsia" w:ascii="Calibri" w:hAnsi="Calibri" w:cs="Calibri"/>
                <w:sz w:val="18"/>
                <w:szCs w:val="18"/>
              </w:rPr>
              <w:t>3</w:t>
            </w:r>
            <w:r>
              <w:rPr>
                <w:rFonts w:ascii="Calibri" w:hAnsi="Calibri" w:cs="Calibri"/>
                <w:sz w:val="18"/>
                <w:szCs w:val="18"/>
              </w:rPr>
              <w:t>Kpa</w:t>
            </w:r>
          </w:p>
        </w:tc>
        <w:tc>
          <w:tcPr>
            <w:tcW w:w="1218" w:type="dxa"/>
          </w:tcPr>
          <w:p w14:paraId="7F99D5D5">
            <w:pPr>
              <w:spacing w:after="240"/>
              <w:jc w:val="center"/>
              <w:rPr>
                <w:rFonts w:ascii="Calibri" w:hAnsi="Calibri" w:cs="Calibri"/>
                <w:sz w:val="18"/>
                <w:szCs w:val="18"/>
              </w:rPr>
            </w:pPr>
            <w:r>
              <w:rPr>
                <w:rFonts w:hint="eastAsia" w:ascii="Calibri" w:hAnsi="Calibri" w:cs="Calibri"/>
                <w:sz w:val="18"/>
                <w:szCs w:val="18"/>
              </w:rPr>
              <w:t>3</w:t>
            </w:r>
            <w:r>
              <w:rPr>
                <w:rFonts w:ascii="Calibri" w:hAnsi="Calibri" w:cs="Calibri"/>
                <w:sz w:val="18"/>
                <w:szCs w:val="18"/>
              </w:rPr>
              <w:t>kPa</w:t>
            </w:r>
          </w:p>
        </w:tc>
        <w:tc>
          <w:tcPr>
            <w:tcW w:w="1218" w:type="dxa"/>
          </w:tcPr>
          <w:p w14:paraId="4BAD54BF">
            <w:pPr>
              <w:spacing w:after="240"/>
              <w:jc w:val="center"/>
              <w:rPr>
                <w:rFonts w:ascii="Calibri" w:hAnsi="Calibri" w:cs="Calibri"/>
                <w:sz w:val="18"/>
                <w:szCs w:val="18"/>
              </w:rPr>
            </w:pPr>
            <w:r>
              <w:rPr>
                <w:rFonts w:hint="eastAsia" w:ascii="Calibri" w:hAnsi="Calibri" w:cs="Calibri"/>
                <w:sz w:val="18"/>
                <w:szCs w:val="18"/>
              </w:rPr>
              <w:t>4MPa</w:t>
            </w:r>
          </w:p>
        </w:tc>
        <w:tc>
          <w:tcPr>
            <w:tcW w:w="1219" w:type="dxa"/>
          </w:tcPr>
          <w:p w14:paraId="539913B4">
            <w:pPr>
              <w:spacing w:after="240"/>
              <w:jc w:val="center"/>
              <w:rPr>
                <w:rFonts w:ascii="Calibri" w:hAnsi="Calibri" w:cs="Calibri"/>
                <w:sz w:val="18"/>
                <w:szCs w:val="18"/>
              </w:rPr>
            </w:pPr>
            <w:r>
              <w:rPr>
                <w:rFonts w:hint="eastAsia" w:ascii="Calibri" w:hAnsi="Calibri" w:cs="Calibri"/>
                <w:sz w:val="18"/>
                <w:szCs w:val="18"/>
              </w:rPr>
              <w:t>4MPa</w:t>
            </w:r>
          </w:p>
        </w:tc>
        <w:tc>
          <w:tcPr>
            <w:tcW w:w="1219" w:type="dxa"/>
          </w:tcPr>
          <w:p w14:paraId="3295C4F2">
            <w:pPr>
              <w:spacing w:after="240"/>
              <w:jc w:val="center"/>
              <w:rPr>
                <w:rFonts w:ascii="Calibri" w:hAnsi="Calibri" w:cs="Calibri"/>
                <w:sz w:val="18"/>
                <w:szCs w:val="18"/>
              </w:rPr>
            </w:pPr>
            <w:r>
              <w:rPr>
                <w:rFonts w:hint="eastAsia" w:ascii="Calibri" w:hAnsi="Calibri" w:cs="Calibri"/>
                <w:sz w:val="18"/>
                <w:szCs w:val="18"/>
              </w:rPr>
              <w:t>4MPa</w:t>
            </w:r>
          </w:p>
        </w:tc>
      </w:tr>
      <w:tr w14:paraId="1F5D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14:paraId="4A3B7A90">
            <w:pPr>
              <w:spacing w:after="240"/>
              <w:jc w:val="center"/>
              <w:rPr>
                <w:rFonts w:ascii="Calibri" w:hAnsi="Calibri" w:cs="Calibri"/>
                <w:sz w:val="18"/>
                <w:szCs w:val="18"/>
              </w:rPr>
            </w:pPr>
            <w:r>
              <w:rPr>
                <w:rFonts w:ascii="Calibri" w:hAnsi="Calibri" w:cs="Calibri"/>
                <w:sz w:val="18"/>
                <w:szCs w:val="18"/>
              </w:rPr>
              <w:t>6kPa</w:t>
            </w:r>
          </w:p>
        </w:tc>
        <w:tc>
          <w:tcPr>
            <w:tcW w:w="1417" w:type="dxa"/>
          </w:tcPr>
          <w:p w14:paraId="66D9C3BF">
            <w:pPr>
              <w:spacing w:after="240"/>
              <w:jc w:val="center"/>
              <w:rPr>
                <w:rFonts w:ascii="Calibri" w:hAnsi="Calibri" w:cs="Calibri"/>
                <w:sz w:val="18"/>
                <w:szCs w:val="18"/>
              </w:rPr>
            </w:pPr>
            <w:r>
              <w:rPr>
                <w:rFonts w:ascii="Calibri" w:hAnsi="Calibri" w:cs="Calibri"/>
                <w:sz w:val="18"/>
                <w:szCs w:val="18"/>
              </w:rPr>
              <w:t>200Pa</w:t>
            </w:r>
            <w:r>
              <w:rPr>
                <w:rFonts w:hint="eastAsia" w:ascii="Calibri" w:hAnsi="Calibri" w:cs="Calibri"/>
                <w:sz w:val="18"/>
                <w:szCs w:val="18"/>
              </w:rPr>
              <w:t>~</w:t>
            </w:r>
            <w:r>
              <w:rPr>
                <w:rFonts w:ascii="Calibri" w:hAnsi="Calibri" w:cs="Calibri"/>
                <w:sz w:val="18"/>
                <w:szCs w:val="18"/>
              </w:rPr>
              <w:t>6kPa</w:t>
            </w:r>
          </w:p>
        </w:tc>
        <w:tc>
          <w:tcPr>
            <w:tcW w:w="1380" w:type="dxa"/>
          </w:tcPr>
          <w:p w14:paraId="4B3763A2">
            <w:pPr>
              <w:spacing w:after="240"/>
              <w:jc w:val="center"/>
              <w:rPr>
                <w:rFonts w:ascii="Calibri" w:hAnsi="Calibri" w:cs="Calibri"/>
                <w:sz w:val="18"/>
                <w:szCs w:val="18"/>
              </w:rPr>
            </w:pPr>
            <w:r>
              <w:rPr>
                <w:rFonts w:ascii="Calibri" w:hAnsi="Calibri" w:cs="Calibri"/>
                <w:sz w:val="18"/>
                <w:szCs w:val="18"/>
              </w:rPr>
              <w:t>-6K</w:t>
            </w:r>
            <w:r>
              <w:rPr>
                <w:rFonts w:hint="eastAsia" w:ascii="Calibri" w:hAnsi="Calibri" w:cs="Calibri"/>
                <w:sz w:val="18"/>
                <w:szCs w:val="18"/>
              </w:rPr>
              <w:t>P</w:t>
            </w:r>
            <w:r>
              <w:rPr>
                <w:rFonts w:ascii="Calibri" w:hAnsi="Calibri" w:cs="Calibri"/>
                <w:sz w:val="18"/>
                <w:szCs w:val="18"/>
              </w:rPr>
              <w:t>a</w:t>
            </w:r>
          </w:p>
        </w:tc>
        <w:tc>
          <w:tcPr>
            <w:tcW w:w="1218" w:type="dxa"/>
          </w:tcPr>
          <w:p w14:paraId="26F61140">
            <w:pPr>
              <w:spacing w:after="240"/>
              <w:jc w:val="center"/>
              <w:rPr>
                <w:rFonts w:ascii="Calibri" w:hAnsi="Calibri" w:cs="Calibri"/>
                <w:sz w:val="18"/>
                <w:szCs w:val="18"/>
              </w:rPr>
            </w:pPr>
            <w:r>
              <w:rPr>
                <w:rFonts w:ascii="Calibri" w:hAnsi="Calibri" w:cs="Calibri"/>
                <w:sz w:val="18"/>
                <w:szCs w:val="18"/>
              </w:rPr>
              <w:t>6kPa</w:t>
            </w:r>
          </w:p>
        </w:tc>
        <w:tc>
          <w:tcPr>
            <w:tcW w:w="1218" w:type="dxa"/>
          </w:tcPr>
          <w:p w14:paraId="49007E18">
            <w:pPr>
              <w:spacing w:after="240"/>
              <w:jc w:val="center"/>
              <w:rPr>
                <w:rFonts w:ascii="Calibri" w:hAnsi="Calibri" w:cs="Calibri"/>
                <w:sz w:val="18"/>
                <w:szCs w:val="18"/>
              </w:rPr>
            </w:pPr>
            <w:r>
              <w:rPr>
                <w:rFonts w:hint="eastAsia" w:ascii="Calibri" w:hAnsi="Calibri" w:cs="Calibri"/>
                <w:sz w:val="18"/>
                <w:szCs w:val="18"/>
              </w:rPr>
              <w:t>4MPa</w:t>
            </w:r>
          </w:p>
        </w:tc>
        <w:tc>
          <w:tcPr>
            <w:tcW w:w="1219" w:type="dxa"/>
          </w:tcPr>
          <w:p w14:paraId="32F24140">
            <w:pPr>
              <w:spacing w:after="240"/>
              <w:jc w:val="center"/>
              <w:rPr>
                <w:rFonts w:ascii="Calibri" w:hAnsi="Calibri" w:cs="Calibri"/>
                <w:sz w:val="18"/>
                <w:szCs w:val="18"/>
              </w:rPr>
            </w:pPr>
            <w:r>
              <w:rPr>
                <w:rFonts w:hint="eastAsia" w:ascii="Calibri" w:hAnsi="Calibri" w:cs="Calibri"/>
                <w:sz w:val="18"/>
                <w:szCs w:val="18"/>
              </w:rPr>
              <w:t>4MPa</w:t>
            </w:r>
          </w:p>
        </w:tc>
        <w:tc>
          <w:tcPr>
            <w:tcW w:w="1219" w:type="dxa"/>
          </w:tcPr>
          <w:p w14:paraId="12BE089F">
            <w:pPr>
              <w:spacing w:after="240"/>
              <w:jc w:val="center"/>
              <w:rPr>
                <w:rFonts w:ascii="Calibri" w:hAnsi="Calibri" w:cs="Calibri"/>
                <w:sz w:val="18"/>
                <w:szCs w:val="18"/>
              </w:rPr>
            </w:pPr>
            <w:r>
              <w:rPr>
                <w:rFonts w:hint="eastAsia" w:ascii="Calibri" w:hAnsi="Calibri" w:cs="Calibri"/>
                <w:sz w:val="18"/>
                <w:szCs w:val="18"/>
              </w:rPr>
              <w:t>4MPa</w:t>
            </w:r>
          </w:p>
        </w:tc>
      </w:tr>
      <w:tr w14:paraId="4F6C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14:paraId="618965EA">
            <w:pPr>
              <w:spacing w:after="240"/>
              <w:jc w:val="center"/>
              <w:rPr>
                <w:rFonts w:ascii="Calibri" w:hAnsi="Calibri" w:cs="Calibri"/>
                <w:sz w:val="18"/>
                <w:szCs w:val="18"/>
              </w:rPr>
            </w:pPr>
            <w:r>
              <w:rPr>
                <w:rFonts w:ascii="Calibri" w:hAnsi="Calibri" w:cs="Calibri"/>
                <w:sz w:val="18"/>
                <w:szCs w:val="18"/>
              </w:rPr>
              <w:t>40kPa</w:t>
            </w:r>
          </w:p>
        </w:tc>
        <w:tc>
          <w:tcPr>
            <w:tcW w:w="1417" w:type="dxa"/>
          </w:tcPr>
          <w:p w14:paraId="6F179B3F">
            <w:pPr>
              <w:spacing w:after="240"/>
              <w:jc w:val="center"/>
              <w:rPr>
                <w:rFonts w:ascii="Calibri" w:hAnsi="Calibri" w:cs="Calibri"/>
                <w:sz w:val="18"/>
                <w:szCs w:val="18"/>
              </w:rPr>
            </w:pPr>
            <w:r>
              <w:rPr>
                <w:rFonts w:ascii="Calibri" w:hAnsi="Calibri" w:cs="Calibri"/>
                <w:sz w:val="18"/>
                <w:szCs w:val="18"/>
              </w:rPr>
              <w:t>400Pa</w:t>
            </w:r>
            <w:r>
              <w:rPr>
                <w:rFonts w:hint="eastAsia" w:ascii="Calibri" w:hAnsi="Calibri" w:cs="Calibri"/>
                <w:sz w:val="18"/>
                <w:szCs w:val="18"/>
              </w:rPr>
              <w:t>~</w:t>
            </w:r>
            <w:r>
              <w:rPr>
                <w:rFonts w:ascii="Calibri" w:hAnsi="Calibri" w:cs="Calibri"/>
                <w:sz w:val="18"/>
                <w:szCs w:val="18"/>
              </w:rPr>
              <w:t>40kPa</w:t>
            </w:r>
          </w:p>
        </w:tc>
        <w:tc>
          <w:tcPr>
            <w:tcW w:w="1380" w:type="dxa"/>
          </w:tcPr>
          <w:p w14:paraId="77ABA689">
            <w:pPr>
              <w:spacing w:after="240"/>
              <w:jc w:val="center"/>
              <w:rPr>
                <w:rFonts w:ascii="Calibri" w:hAnsi="Calibri" w:cs="Calibri"/>
                <w:sz w:val="18"/>
                <w:szCs w:val="18"/>
              </w:rPr>
            </w:pPr>
            <w:r>
              <w:rPr>
                <w:rFonts w:ascii="Calibri" w:hAnsi="Calibri" w:cs="Calibri"/>
                <w:sz w:val="18"/>
                <w:szCs w:val="18"/>
              </w:rPr>
              <w:t>-40kPa</w:t>
            </w:r>
          </w:p>
        </w:tc>
        <w:tc>
          <w:tcPr>
            <w:tcW w:w="1218" w:type="dxa"/>
          </w:tcPr>
          <w:p w14:paraId="0F20D048">
            <w:pPr>
              <w:spacing w:after="240"/>
              <w:jc w:val="center"/>
              <w:rPr>
                <w:rFonts w:ascii="Calibri" w:hAnsi="Calibri" w:cs="Calibri"/>
                <w:sz w:val="18"/>
                <w:szCs w:val="18"/>
              </w:rPr>
            </w:pPr>
            <w:r>
              <w:rPr>
                <w:rFonts w:ascii="Calibri" w:hAnsi="Calibri" w:cs="Calibri"/>
                <w:sz w:val="18"/>
                <w:szCs w:val="18"/>
              </w:rPr>
              <w:t>40kPa</w:t>
            </w:r>
          </w:p>
        </w:tc>
        <w:tc>
          <w:tcPr>
            <w:tcW w:w="1218" w:type="dxa"/>
          </w:tcPr>
          <w:p w14:paraId="78E30D08">
            <w:pPr>
              <w:spacing w:after="240"/>
              <w:jc w:val="center"/>
              <w:rPr>
                <w:rFonts w:ascii="Calibri" w:hAnsi="Calibri" w:cs="Calibri"/>
                <w:sz w:val="18"/>
                <w:szCs w:val="18"/>
              </w:rPr>
            </w:pPr>
            <w:r>
              <w:rPr>
                <w:rFonts w:hint="eastAsia" w:ascii="Calibri" w:hAnsi="Calibri" w:cs="Calibri"/>
                <w:sz w:val="18"/>
                <w:szCs w:val="18"/>
                <w:lang w:val="en-US" w:eastAsia="zh-CN"/>
              </w:rPr>
              <w:t>25</w:t>
            </w:r>
            <w:r>
              <w:rPr>
                <w:rFonts w:hint="eastAsia" w:ascii="Calibri" w:hAnsi="Calibri" w:cs="Calibri"/>
                <w:sz w:val="18"/>
                <w:szCs w:val="18"/>
              </w:rPr>
              <w:t>MPa</w:t>
            </w:r>
          </w:p>
        </w:tc>
        <w:tc>
          <w:tcPr>
            <w:tcW w:w="1219" w:type="dxa"/>
          </w:tcPr>
          <w:p w14:paraId="3977D28F">
            <w:pPr>
              <w:spacing w:after="240"/>
              <w:jc w:val="center"/>
              <w:rPr>
                <w:rFonts w:ascii="Calibri" w:hAnsi="Calibri" w:cs="Calibri"/>
                <w:sz w:val="18"/>
                <w:szCs w:val="18"/>
              </w:rPr>
            </w:pPr>
            <w:r>
              <w:rPr>
                <w:rFonts w:hint="eastAsia" w:ascii="Calibri" w:hAnsi="Calibri" w:cs="Calibri"/>
                <w:sz w:val="18"/>
                <w:szCs w:val="18"/>
              </w:rPr>
              <w:t>10MPa</w:t>
            </w:r>
          </w:p>
        </w:tc>
        <w:tc>
          <w:tcPr>
            <w:tcW w:w="1219" w:type="dxa"/>
          </w:tcPr>
          <w:p w14:paraId="44D58C18">
            <w:pPr>
              <w:spacing w:after="240"/>
              <w:jc w:val="center"/>
              <w:rPr>
                <w:rFonts w:ascii="Calibri" w:hAnsi="Calibri" w:cs="Calibri"/>
                <w:sz w:val="18"/>
                <w:szCs w:val="18"/>
              </w:rPr>
            </w:pPr>
            <w:r>
              <w:rPr>
                <w:rFonts w:hint="eastAsia" w:ascii="Calibri" w:hAnsi="Calibri" w:cs="Calibri"/>
                <w:sz w:val="18"/>
                <w:szCs w:val="18"/>
              </w:rPr>
              <w:t>10MPa</w:t>
            </w:r>
          </w:p>
        </w:tc>
      </w:tr>
      <w:tr w14:paraId="08E3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14:paraId="08F4B6CA">
            <w:pPr>
              <w:spacing w:after="240"/>
              <w:jc w:val="center"/>
              <w:rPr>
                <w:rFonts w:ascii="Calibri" w:hAnsi="Calibri" w:cs="Calibri"/>
                <w:sz w:val="18"/>
                <w:szCs w:val="18"/>
              </w:rPr>
            </w:pPr>
            <w:r>
              <w:rPr>
                <w:rFonts w:ascii="Calibri" w:hAnsi="Calibri" w:cs="Calibri"/>
                <w:sz w:val="18"/>
                <w:szCs w:val="18"/>
              </w:rPr>
              <w:t>250kPa</w:t>
            </w:r>
          </w:p>
        </w:tc>
        <w:tc>
          <w:tcPr>
            <w:tcW w:w="1417" w:type="dxa"/>
          </w:tcPr>
          <w:p w14:paraId="2F151523">
            <w:pPr>
              <w:spacing w:after="240"/>
              <w:jc w:val="center"/>
              <w:rPr>
                <w:rFonts w:ascii="Calibri" w:hAnsi="Calibri" w:cs="Calibri"/>
                <w:sz w:val="18"/>
                <w:szCs w:val="18"/>
              </w:rPr>
            </w:pPr>
            <w:r>
              <w:rPr>
                <w:rFonts w:ascii="Calibri" w:hAnsi="Calibri" w:cs="Calibri"/>
                <w:sz w:val="18"/>
                <w:szCs w:val="18"/>
              </w:rPr>
              <w:t>2.5kPa</w:t>
            </w:r>
            <w:r>
              <w:rPr>
                <w:rFonts w:hint="eastAsia" w:ascii="Calibri" w:hAnsi="Calibri" w:cs="Calibri"/>
                <w:sz w:val="18"/>
                <w:szCs w:val="18"/>
              </w:rPr>
              <w:t>~</w:t>
            </w:r>
            <w:r>
              <w:rPr>
                <w:rFonts w:ascii="Calibri" w:hAnsi="Calibri" w:cs="Calibri"/>
                <w:sz w:val="18"/>
                <w:szCs w:val="18"/>
              </w:rPr>
              <w:t>250kPa</w:t>
            </w:r>
          </w:p>
        </w:tc>
        <w:tc>
          <w:tcPr>
            <w:tcW w:w="1380" w:type="dxa"/>
          </w:tcPr>
          <w:p w14:paraId="56D8AA91">
            <w:pPr>
              <w:spacing w:after="240"/>
              <w:jc w:val="center"/>
              <w:rPr>
                <w:rFonts w:ascii="Calibri" w:hAnsi="Calibri" w:cs="Calibri"/>
                <w:sz w:val="18"/>
                <w:szCs w:val="18"/>
              </w:rPr>
            </w:pPr>
            <w:r>
              <w:rPr>
                <w:rFonts w:ascii="Calibri" w:hAnsi="Calibri" w:cs="Calibri"/>
                <w:sz w:val="18"/>
                <w:szCs w:val="18"/>
              </w:rPr>
              <w:t>-250kPa</w:t>
            </w:r>
          </w:p>
        </w:tc>
        <w:tc>
          <w:tcPr>
            <w:tcW w:w="1218" w:type="dxa"/>
          </w:tcPr>
          <w:p w14:paraId="5114681F">
            <w:pPr>
              <w:spacing w:after="240"/>
              <w:jc w:val="center"/>
              <w:rPr>
                <w:rFonts w:ascii="Calibri" w:hAnsi="Calibri" w:cs="Calibri"/>
                <w:sz w:val="18"/>
                <w:szCs w:val="18"/>
              </w:rPr>
            </w:pPr>
            <w:r>
              <w:rPr>
                <w:rFonts w:ascii="Calibri" w:hAnsi="Calibri" w:cs="Calibri"/>
                <w:sz w:val="18"/>
                <w:szCs w:val="18"/>
              </w:rPr>
              <w:t>250kPa</w:t>
            </w:r>
          </w:p>
        </w:tc>
        <w:tc>
          <w:tcPr>
            <w:tcW w:w="1218" w:type="dxa"/>
          </w:tcPr>
          <w:p w14:paraId="16EB593C">
            <w:pPr>
              <w:spacing w:after="240"/>
              <w:jc w:val="center"/>
              <w:rPr>
                <w:rFonts w:ascii="Calibri" w:hAnsi="Calibri" w:cs="Calibri"/>
                <w:sz w:val="18"/>
                <w:szCs w:val="18"/>
              </w:rPr>
            </w:pPr>
            <w:r>
              <w:rPr>
                <w:rFonts w:hint="eastAsia" w:ascii="Calibri" w:hAnsi="Calibri" w:cs="Calibri"/>
                <w:sz w:val="18"/>
                <w:szCs w:val="18"/>
                <w:lang w:val="en-US" w:eastAsia="zh-CN"/>
              </w:rPr>
              <w:t>25</w:t>
            </w:r>
            <w:r>
              <w:rPr>
                <w:rFonts w:hint="eastAsia" w:ascii="Calibri" w:hAnsi="Calibri" w:cs="Calibri"/>
                <w:sz w:val="18"/>
                <w:szCs w:val="18"/>
              </w:rPr>
              <w:t>MPa</w:t>
            </w:r>
          </w:p>
        </w:tc>
        <w:tc>
          <w:tcPr>
            <w:tcW w:w="1219" w:type="dxa"/>
          </w:tcPr>
          <w:p w14:paraId="5DCB22D2">
            <w:pPr>
              <w:spacing w:after="240"/>
              <w:jc w:val="center"/>
              <w:rPr>
                <w:rFonts w:ascii="Calibri" w:hAnsi="Calibri" w:cs="Calibri"/>
                <w:sz w:val="18"/>
                <w:szCs w:val="18"/>
              </w:rPr>
            </w:pPr>
            <w:r>
              <w:rPr>
                <w:rFonts w:hint="eastAsia" w:ascii="Calibri" w:hAnsi="Calibri" w:cs="Calibri"/>
                <w:sz w:val="18"/>
                <w:szCs w:val="18"/>
              </w:rPr>
              <w:t>10MPa</w:t>
            </w:r>
          </w:p>
        </w:tc>
        <w:tc>
          <w:tcPr>
            <w:tcW w:w="1219" w:type="dxa"/>
          </w:tcPr>
          <w:p w14:paraId="5503ABD4">
            <w:pPr>
              <w:spacing w:after="240"/>
              <w:jc w:val="center"/>
              <w:rPr>
                <w:rFonts w:ascii="Calibri" w:hAnsi="Calibri" w:cs="Calibri"/>
                <w:sz w:val="18"/>
                <w:szCs w:val="18"/>
              </w:rPr>
            </w:pPr>
            <w:r>
              <w:rPr>
                <w:rFonts w:hint="eastAsia" w:ascii="Calibri" w:hAnsi="Calibri" w:cs="Calibri"/>
                <w:sz w:val="18"/>
                <w:szCs w:val="18"/>
              </w:rPr>
              <w:t>10MPa</w:t>
            </w:r>
          </w:p>
        </w:tc>
      </w:tr>
      <w:tr w14:paraId="2A4B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14:paraId="24506839">
            <w:pPr>
              <w:spacing w:after="240"/>
              <w:jc w:val="center"/>
              <w:rPr>
                <w:rFonts w:ascii="Calibri" w:hAnsi="Calibri" w:cs="Calibri"/>
                <w:sz w:val="18"/>
                <w:szCs w:val="18"/>
              </w:rPr>
            </w:pPr>
            <w:r>
              <w:rPr>
                <w:rFonts w:ascii="Calibri" w:hAnsi="Calibri" w:cs="Calibri"/>
                <w:sz w:val="18"/>
                <w:szCs w:val="18"/>
              </w:rPr>
              <w:t>1MPa</w:t>
            </w:r>
          </w:p>
        </w:tc>
        <w:tc>
          <w:tcPr>
            <w:tcW w:w="1417" w:type="dxa"/>
          </w:tcPr>
          <w:p w14:paraId="3BBB1F6F">
            <w:pPr>
              <w:spacing w:after="240"/>
              <w:jc w:val="center"/>
              <w:rPr>
                <w:rFonts w:ascii="Calibri" w:hAnsi="Calibri" w:cs="Calibri"/>
                <w:sz w:val="18"/>
                <w:szCs w:val="18"/>
              </w:rPr>
            </w:pPr>
            <w:r>
              <w:rPr>
                <w:rFonts w:ascii="Calibri" w:hAnsi="Calibri" w:cs="Calibri"/>
                <w:sz w:val="18"/>
                <w:szCs w:val="18"/>
              </w:rPr>
              <w:t>10kPa</w:t>
            </w:r>
            <w:r>
              <w:rPr>
                <w:rFonts w:hint="eastAsia" w:ascii="Calibri" w:hAnsi="Calibri" w:cs="Calibri"/>
                <w:sz w:val="18"/>
                <w:szCs w:val="18"/>
              </w:rPr>
              <w:t>~</w:t>
            </w:r>
            <w:r>
              <w:rPr>
                <w:rFonts w:ascii="Calibri" w:hAnsi="Calibri" w:cs="Calibri"/>
                <w:sz w:val="18"/>
                <w:szCs w:val="18"/>
              </w:rPr>
              <w:t>1MPa</w:t>
            </w:r>
          </w:p>
        </w:tc>
        <w:tc>
          <w:tcPr>
            <w:tcW w:w="1380" w:type="dxa"/>
          </w:tcPr>
          <w:p w14:paraId="14B1BF2B">
            <w:pPr>
              <w:spacing w:after="240"/>
              <w:jc w:val="center"/>
              <w:rPr>
                <w:rFonts w:ascii="Calibri" w:hAnsi="Calibri" w:cs="Calibri"/>
                <w:sz w:val="18"/>
                <w:szCs w:val="18"/>
              </w:rPr>
            </w:pPr>
            <w:r>
              <w:rPr>
                <w:rFonts w:hint="eastAsia" w:ascii="Calibri" w:hAnsi="Calibri" w:cs="Calibri"/>
                <w:sz w:val="18"/>
                <w:szCs w:val="18"/>
              </w:rPr>
              <w:t>-500k</w:t>
            </w:r>
            <w:r>
              <w:rPr>
                <w:rFonts w:ascii="Calibri" w:hAnsi="Calibri" w:cs="Calibri"/>
                <w:sz w:val="18"/>
                <w:szCs w:val="18"/>
              </w:rPr>
              <w:t>Pa</w:t>
            </w:r>
          </w:p>
        </w:tc>
        <w:tc>
          <w:tcPr>
            <w:tcW w:w="1218" w:type="dxa"/>
          </w:tcPr>
          <w:p w14:paraId="01FF7FEF">
            <w:pPr>
              <w:spacing w:after="240"/>
              <w:jc w:val="center"/>
              <w:rPr>
                <w:rFonts w:ascii="Calibri" w:hAnsi="Calibri" w:cs="Calibri"/>
                <w:sz w:val="18"/>
                <w:szCs w:val="18"/>
              </w:rPr>
            </w:pPr>
            <w:r>
              <w:rPr>
                <w:rFonts w:ascii="Calibri" w:hAnsi="Calibri" w:cs="Calibri"/>
                <w:sz w:val="18"/>
                <w:szCs w:val="18"/>
              </w:rPr>
              <w:t>1MPa</w:t>
            </w:r>
          </w:p>
        </w:tc>
        <w:tc>
          <w:tcPr>
            <w:tcW w:w="1218" w:type="dxa"/>
          </w:tcPr>
          <w:p w14:paraId="41DBA6DA">
            <w:pPr>
              <w:spacing w:after="240"/>
              <w:jc w:val="center"/>
              <w:rPr>
                <w:rFonts w:ascii="Calibri" w:hAnsi="Calibri" w:cs="Calibri"/>
                <w:sz w:val="18"/>
                <w:szCs w:val="18"/>
              </w:rPr>
            </w:pPr>
            <w:r>
              <w:rPr>
                <w:rFonts w:hint="eastAsia" w:ascii="Calibri" w:hAnsi="Calibri" w:cs="Calibri"/>
                <w:sz w:val="18"/>
                <w:szCs w:val="18"/>
                <w:lang w:val="en-US" w:eastAsia="zh-CN"/>
              </w:rPr>
              <w:t>25</w:t>
            </w:r>
            <w:r>
              <w:rPr>
                <w:rFonts w:hint="eastAsia" w:ascii="Calibri" w:hAnsi="Calibri" w:cs="Calibri"/>
                <w:sz w:val="18"/>
                <w:szCs w:val="18"/>
              </w:rPr>
              <w:t>MPa</w:t>
            </w:r>
          </w:p>
        </w:tc>
        <w:tc>
          <w:tcPr>
            <w:tcW w:w="1219" w:type="dxa"/>
          </w:tcPr>
          <w:p w14:paraId="229CC76D">
            <w:pPr>
              <w:spacing w:after="240"/>
              <w:jc w:val="center"/>
              <w:rPr>
                <w:rFonts w:ascii="Calibri" w:hAnsi="Calibri" w:cs="Calibri"/>
                <w:sz w:val="18"/>
                <w:szCs w:val="18"/>
              </w:rPr>
            </w:pPr>
            <w:r>
              <w:rPr>
                <w:rFonts w:hint="eastAsia" w:ascii="Calibri" w:hAnsi="Calibri" w:cs="Calibri"/>
                <w:sz w:val="18"/>
                <w:szCs w:val="18"/>
              </w:rPr>
              <w:t>10MPa</w:t>
            </w:r>
          </w:p>
        </w:tc>
        <w:tc>
          <w:tcPr>
            <w:tcW w:w="1219" w:type="dxa"/>
          </w:tcPr>
          <w:p w14:paraId="739B5CFD">
            <w:pPr>
              <w:spacing w:after="240"/>
              <w:jc w:val="center"/>
              <w:rPr>
                <w:rFonts w:ascii="Calibri" w:hAnsi="Calibri" w:cs="Calibri"/>
                <w:sz w:val="18"/>
                <w:szCs w:val="18"/>
              </w:rPr>
            </w:pPr>
            <w:r>
              <w:rPr>
                <w:rFonts w:hint="eastAsia" w:ascii="Calibri" w:hAnsi="Calibri" w:cs="Calibri"/>
                <w:sz w:val="18"/>
                <w:szCs w:val="18"/>
              </w:rPr>
              <w:t>10MPa</w:t>
            </w:r>
          </w:p>
        </w:tc>
      </w:tr>
      <w:tr w14:paraId="372E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14:paraId="23C3CFDC">
            <w:pPr>
              <w:spacing w:after="240"/>
              <w:jc w:val="center"/>
              <w:rPr>
                <w:rFonts w:ascii="Calibri" w:hAnsi="Calibri" w:cs="Calibri"/>
                <w:sz w:val="18"/>
                <w:szCs w:val="18"/>
              </w:rPr>
            </w:pPr>
            <w:r>
              <w:rPr>
                <w:rFonts w:ascii="Calibri" w:hAnsi="Calibri" w:cs="Calibri"/>
                <w:sz w:val="18"/>
                <w:szCs w:val="18"/>
              </w:rPr>
              <w:t>3MPa</w:t>
            </w:r>
          </w:p>
        </w:tc>
        <w:tc>
          <w:tcPr>
            <w:tcW w:w="1417" w:type="dxa"/>
          </w:tcPr>
          <w:p w14:paraId="2A09DFF9">
            <w:pPr>
              <w:spacing w:after="240"/>
              <w:jc w:val="center"/>
              <w:rPr>
                <w:rFonts w:ascii="Calibri" w:hAnsi="Calibri" w:cs="Calibri"/>
                <w:sz w:val="18"/>
                <w:szCs w:val="18"/>
              </w:rPr>
            </w:pPr>
            <w:r>
              <w:rPr>
                <w:rFonts w:ascii="Calibri" w:hAnsi="Calibri" w:cs="Calibri"/>
                <w:sz w:val="18"/>
                <w:szCs w:val="18"/>
              </w:rPr>
              <w:t>30kPa</w:t>
            </w:r>
            <w:r>
              <w:rPr>
                <w:rFonts w:hint="eastAsia" w:ascii="Calibri" w:hAnsi="Calibri" w:cs="Calibri"/>
                <w:sz w:val="18"/>
                <w:szCs w:val="18"/>
              </w:rPr>
              <w:t>~</w:t>
            </w:r>
            <w:r>
              <w:rPr>
                <w:rFonts w:ascii="Calibri" w:hAnsi="Calibri" w:cs="Calibri"/>
                <w:sz w:val="18"/>
                <w:szCs w:val="18"/>
              </w:rPr>
              <w:t>3MPa</w:t>
            </w:r>
          </w:p>
        </w:tc>
        <w:tc>
          <w:tcPr>
            <w:tcW w:w="1380" w:type="dxa"/>
          </w:tcPr>
          <w:p w14:paraId="57E21E02">
            <w:pPr>
              <w:spacing w:after="240"/>
              <w:jc w:val="center"/>
              <w:rPr>
                <w:rFonts w:ascii="Calibri" w:hAnsi="Calibri" w:cs="Calibri"/>
                <w:sz w:val="18"/>
                <w:szCs w:val="18"/>
              </w:rPr>
            </w:pPr>
            <w:r>
              <w:rPr>
                <w:rFonts w:ascii="Calibri" w:hAnsi="Calibri" w:cs="Calibri"/>
                <w:sz w:val="18"/>
                <w:szCs w:val="18"/>
              </w:rPr>
              <w:t>-500kPa</w:t>
            </w:r>
          </w:p>
        </w:tc>
        <w:tc>
          <w:tcPr>
            <w:tcW w:w="1218" w:type="dxa"/>
          </w:tcPr>
          <w:p w14:paraId="18A628AB">
            <w:pPr>
              <w:spacing w:after="240"/>
              <w:jc w:val="center"/>
              <w:rPr>
                <w:rFonts w:ascii="Calibri" w:hAnsi="Calibri" w:cs="Calibri"/>
                <w:sz w:val="18"/>
                <w:szCs w:val="18"/>
              </w:rPr>
            </w:pPr>
            <w:r>
              <w:rPr>
                <w:rFonts w:ascii="Calibri" w:hAnsi="Calibri" w:cs="Calibri"/>
                <w:sz w:val="18"/>
                <w:szCs w:val="18"/>
              </w:rPr>
              <w:t>3MPa</w:t>
            </w:r>
          </w:p>
        </w:tc>
        <w:tc>
          <w:tcPr>
            <w:tcW w:w="1218" w:type="dxa"/>
          </w:tcPr>
          <w:p w14:paraId="3972D7DA">
            <w:pPr>
              <w:spacing w:after="240"/>
              <w:jc w:val="center"/>
              <w:rPr>
                <w:rFonts w:ascii="Calibri" w:hAnsi="Calibri" w:cs="Calibri"/>
                <w:sz w:val="18"/>
                <w:szCs w:val="18"/>
              </w:rPr>
            </w:pPr>
            <w:r>
              <w:rPr>
                <w:rFonts w:hint="eastAsia" w:ascii="Calibri" w:hAnsi="Calibri" w:cs="Calibri"/>
                <w:sz w:val="18"/>
                <w:szCs w:val="18"/>
                <w:lang w:val="en-US" w:eastAsia="zh-CN"/>
              </w:rPr>
              <w:t>25</w:t>
            </w:r>
            <w:r>
              <w:rPr>
                <w:rFonts w:hint="eastAsia" w:ascii="Calibri" w:hAnsi="Calibri" w:cs="Calibri"/>
                <w:sz w:val="18"/>
                <w:szCs w:val="18"/>
              </w:rPr>
              <w:t>MPa</w:t>
            </w:r>
          </w:p>
        </w:tc>
        <w:tc>
          <w:tcPr>
            <w:tcW w:w="1219" w:type="dxa"/>
          </w:tcPr>
          <w:p w14:paraId="05CF94B9">
            <w:pPr>
              <w:spacing w:after="240"/>
              <w:jc w:val="center"/>
              <w:rPr>
                <w:rFonts w:ascii="Calibri" w:hAnsi="Calibri" w:cs="Calibri"/>
                <w:sz w:val="18"/>
                <w:szCs w:val="18"/>
              </w:rPr>
            </w:pPr>
            <w:r>
              <w:rPr>
                <w:rFonts w:hint="eastAsia" w:ascii="Calibri" w:hAnsi="Calibri" w:cs="Calibri"/>
                <w:sz w:val="18"/>
                <w:szCs w:val="18"/>
              </w:rPr>
              <w:t>10MPa</w:t>
            </w:r>
          </w:p>
        </w:tc>
        <w:tc>
          <w:tcPr>
            <w:tcW w:w="1219" w:type="dxa"/>
          </w:tcPr>
          <w:p w14:paraId="07893E79">
            <w:pPr>
              <w:spacing w:after="240"/>
              <w:jc w:val="center"/>
              <w:rPr>
                <w:rFonts w:ascii="Calibri" w:hAnsi="Calibri" w:cs="Calibri"/>
                <w:sz w:val="18"/>
                <w:szCs w:val="18"/>
              </w:rPr>
            </w:pPr>
            <w:r>
              <w:rPr>
                <w:rFonts w:hint="eastAsia" w:ascii="Calibri" w:hAnsi="Calibri" w:cs="Calibri"/>
                <w:sz w:val="18"/>
                <w:szCs w:val="18"/>
              </w:rPr>
              <w:t>3MPa</w:t>
            </w:r>
          </w:p>
        </w:tc>
      </w:tr>
      <w:tr w14:paraId="28C2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14:paraId="09AA1529">
            <w:pPr>
              <w:spacing w:after="240"/>
              <w:jc w:val="center"/>
              <w:rPr>
                <w:rFonts w:ascii="Calibri" w:hAnsi="Calibri" w:cs="Calibri"/>
                <w:sz w:val="18"/>
                <w:szCs w:val="18"/>
              </w:rPr>
            </w:pPr>
            <w:r>
              <w:rPr>
                <w:rFonts w:ascii="Calibri" w:hAnsi="Calibri" w:cs="Calibri"/>
                <w:sz w:val="18"/>
                <w:szCs w:val="18"/>
              </w:rPr>
              <w:t>10Mpa</w:t>
            </w:r>
          </w:p>
        </w:tc>
        <w:tc>
          <w:tcPr>
            <w:tcW w:w="1417" w:type="dxa"/>
          </w:tcPr>
          <w:p w14:paraId="5CFA8C53">
            <w:pPr>
              <w:spacing w:after="240"/>
              <w:jc w:val="center"/>
              <w:rPr>
                <w:rFonts w:ascii="Calibri" w:hAnsi="Calibri" w:cs="Calibri"/>
                <w:sz w:val="18"/>
                <w:szCs w:val="18"/>
              </w:rPr>
            </w:pPr>
            <w:r>
              <w:rPr>
                <w:rFonts w:ascii="Calibri" w:hAnsi="Calibri" w:cs="Calibri"/>
                <w:sz w:val="18"/>
                <w:szCs w:val="18"/>
              </w:rPr>
              <w:t>100kPa</w:t>
            </w:r>
            <w:r>
              <w:rPr>
                <w:rFonts w:hint="eastAsia" w:ascii="Calibri" w:hAnsi="Calibri" w:cs="Calibri"/>
                <w:sz w:val="18"/>
                <w:szCs w:val="18"/>
              </w:rPr>
              <w:t>~</w:t>
            </w:r>
            <w:r>
              <w:rPr>
                <w:rFonts w:ascii="Calibri" w:hAnsi="Calibri" w:cs="Calibri"/>
                <w:sz w:val="18"/>
                <w:szCs w:val="18"/>
              </w:rPr>
              <w:t>10</w:t>
            </w:r>
            <w:r>
              <w:rPr>
                <w:rFonts w:hint="eastAsia" w:ascii="Calibri" w:hAnsi="Calibri" w:cs="Calibri"/>
                <w:sz w:val="18"/>
                <w:szCs w:val="18"/>
              </w:rPr>
              <w:t>MPa</w:t>
            </w:r>
          </w:p>
        </w:tc>
        <w:tc>
          <w:tcPr>
            <w:tcW w:w="1380" w:type="dxa"/>
          </w:tcPr>
          <w:p w14:paraId="12E64278">
            <w:pPr>
              <w:spacing w:after="240"/>
              <w:jc w:val="center"/>
              <w:rPr>
                <w:rFonts w:ascii="Calibri" w:hAnsi="Calibri" w:cs="Calibri"/>
                <w:sz w:val="18"/>
                <w:szCs w:val="18"/>
              </w:rPr>
            </w:pPr>
            <w:r>
              <w:rPr>
                <w:rFonts w:ascii="Calibri" w:hAnsi="Calibri" w:cs="Calibri"/>
                <w:sz w:val="18"/>
                <w:szCs w:val="18"/>
              </w:rPr>
              <w:t>-500kPa</w:t>
            </w:r>
          </w:p>
        </w:tc>
        <w:tc>
          <w:tcPr>
            <w:tcW w:w="1218" w:type="dxa"/>
          </w:tcPr>
          <w:p w14:paraId="2690A1CE">
            <w:pPr>
              <w:spacing w:after="240"/>
              <w:jc w:val="center"/>
              <w:rPr>
                <w:rFonts w:ascii="Calibri" w:hAnsi="Calibri" w:cs="Calibri"/>
                <w:sz w:val="18"/>
                <w:szCs w:val="18"/>
              </w:rPr>
            </w:pPr>
            <w:r>
              <w:rPr>
                <w:rFonts w:ascii="Calibri" w:hAnsi="Calibri" w:cs="Calibri"/>
                <w:sz w:val="18"/>
                <w:szCs w:val="18"/>
              </w:rPr>
              <w:t>10Mpa</w:t>
            </w:r>
          </w:p>
        </w:tc>
        <w:tc>
          <w:tcPr>
            <w:tcW w:w="1218" w:type="dxa"/>
          </w:tcPr>
          <w:p w14:paraId="159C15C2">
            <w:pPr>
              <w:spacing w:after="240"/>
              <w:jc w:val="center"/>
              <w:rPr>
                <w:rFonts w:ascii="Calibri" w:hAnsi="Calibri" w:cs="Calibri"/>
                <w:sz w:val="18"/>
                <w:szCs w:val="18"/>
              </w:rPr>
            </w:pPr>
            <w:r>
              <w:rPr>
                <w:rFonts w:hint="eastAsia" w:ascii="Calibri" w:hAnsi="Calibri" w:cs="Calibri"/>
                <w:sz w:val="18"/>
                <w:szCs w:val="18"/>
                <w:lang w:val="en-US" w:eastAsia="zh-CN"/>
              </w:rPr>
              <w:t>25</w:t>
            </w:r>
            <w:bookmarkStart w:id="252" w:name="_GoBack"/>
            <w:bookmarkEnd w:id="252"/>
            <w:r>
              <w:rPr>
                <w:rFonts w:hint="eastAsia" w:ascii="Calibri" w:hAnsi="Calibri" w:cs="Calibri"/>
                <w:sz w:val="18"/>
                <w:szCs w:val="18"/>
              </w:rPr>
              <w:t>MPa</w:t>
            </w:r>
          </w:p>
        </w:tc>
        <w:tc>
          <w:tcPr>
            <w:tcW w:w="1219" w:type="dxa"/>
          </w:tcPr>
          <w:p w14:paraId="1FFB769D">
            <w:pPr>
              <w:spacing w:after="240"/>
              <w:jc w:val="center"/>
              <w:rPr>
                <w:rFonts w:ascii="Calibri" w:hAnsi="Calibri" w:cs="Calibri"/>
                <w:sz w:val="18"/>
                <w:szCs w:val="18"/>
              </w:rPr>
            </w:pPr>
            <w:r>
              <w:rPr>
                <w:rFonts w:hint="eastAsia" w:ascii="Calibri" w:hAnsi="Calibri" w:cs="Calibri"/>
                <w:sz w:val="18"/>
                <w:szCs w:val="18"/>
              </w:rPr>
              <w:t>10MPa</w:t>
            </w:r>
          </w:p>
        </w:tc>
        <w:tc>
          <w:tcPr>
            <w:tcW w:w="1219" w:type="dxa"/>
          </w:tcPr>
          <w:p w14:paraId="0D023549">
            <w:pPr>
              <w:spacing w:after="240"/>
              <w:jc w:val="center"/>
              <w:rPr>
                <w:rFonts w:ascii="Calibri" w:hAnsi="Calibri" w:cs="Calibri"/>
                <w:sz w:val="18"/>
                <w:szCs w:val="18"/>
              </w:rPr>
            </w:pPr>
            <w:r>
              <w:rPr>
                <w:rFonts w:hint="eastAsia" w:ascii="Calibri" w:hAnsi="Calibri" w:cs="Calibri"/>
                <w:sz w:val="18"/>
                <w:szCs w:val="18"/>
              </w:rPr>
              <w:t>3MPa</w:t>
            </w:r>
          </w:p>
        </w:tc>
      </w:tr>
      <w:tr w14:paraId="220A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9" w:type="dxa"/>
            <w:gridSpan w:val="7"/>
          </w:tcPr>
          <w:p w14:paraId="5AEE58BE">
            <w:pPr>
              <w:spacing w:after="240"/>
              <w:rPr>
                <w:rFonts w:cstheme="minorHAnsi"/>
                <w:sz w:val="18"/>
                <w:szCs w:val="18"/>
              </w:rPr>
            </w:pPr>
            <w:r>
              <w:rPr>
                <w:rFonts w:cstheme="minorHAnsi"/>
                <w:sz w:val="18"/>
                <w:szCs w:val="18"/>
              </w:rPr>
              <w:t xml:space="preserve">Set the high and low limit requirements：The low and high limit values are taken within the upper range. </w:t>
            </w:r>
          </w:p>
          <w:p w14:paraId="04CF5C06">
            <w:pPr>
              <w:spacing w:after="240"/>
              <w:rPr>
                <w:rFonts w:cstheme="minorHAnsi"/>
                <w:sz w:val="18"/>
                <w:szCs w:val="18"/>
              </w:rPr>
            </w:pPr>
            <w:r>
              <w:rPr>
                <w:rFonts w:cstheme="minorHAnsi"/>
                <w:sz w:val="18"/>
                <w:szCs w:val="18"/>
              </w:rPr>
              <w:t>When | URV | ≥ | LRV |, | URV | ≥ minimum range must be met; when | URV | ≤ | LRV |, | LRV | ≥ minimum range must be concealed</w:t>
            </w:r>
          </w:p>
        </w:tc>
      </w:tr>
      <w:tr w14:paraId="6421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9" w:type="dxa"/>
            <w:gridSpan w:val="7"/>
          </w:tcPr>
          <w:p w14:paraId="77BB365A">
            <w:pPr>
              <w:spacing w:after="240"/>
              <w:rPr>
                <w:rFonts w:cstheme="minorHAnsi"/>
                <w:sz w:val="18"/>
                <w:szCs w:val="18"/>
              </w:rPr>
            </w:pPr>
            <w:r>
              <w:rPr>
                <w:rFonts w:cstheme="minorHAnsi"/>
                <w:sz w:val="18"/>
                <w:szCs w:val="18"/>
              </w:rPr>
              <w:t>Overpressure limit value: Depending on the pressure value of the weakest component, which is the maximum pressure of the sensor, not the maximum pressure of the product itself.</w:t>
            </w:r>
          </w:p>
        </w:tc>
      </w:tr>
    </w:tbl>
    <w:p w14:paraId="64AFFFB2">
      <w:pPr>
        <w:pStyle w:val="61"/>
        <w:numPr>
          <w:ilvl w:val="0"/>
          <w:numId w:val="28"/>
        </w:numPr>
        <w:spacing w:after="240"/>
        <w:ind w:firstLineChars="0"/>
        <w:rPr>
          <w:rFonts w:cstheme="minorHAnsi"/>
          <w:b/>
        </w:rPr>
      </w:pPr>
      <w:r>
        <w:rPr>
          <w:rFonts w:cstheme="minorHAnsi"/>
          <w:b/>
        </w:rPr>
        <w:t>Reference accuracy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5981"/>
      </w:tblGrid>
      <w:tr w14:paraId="32DD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4EF1490C">
            <w:pPr>
              <w:spacing w:after="240"/>
              <w:rPr>
                <w:rFonts w:cstheme="minorHAnsi"/>
                <w:sz w:val="18"/>
                <w:szCs w:val="18"/>
              </w:rPr>
            </w:pPr>
            <w:r>
              <w:rPr>
                <w:rFonts w:cstheme="minorHAnsi"/>
                <w:sz w:val="18"/>
                <w:szCs w:val="18"/>
              </w:rPr>
              <w:t>Range</w:t>
            </w:r>
          </w:p>
        </w:tc>
        <w:tc>
          <w:tcPr>
            <w:tcW w:w="5981" w:type="dxa"/>
          </w:tcPr>
          <w:p w14:paraId="198C3517">
            <w:pPr>
              <w:spacing w:after="240"/>
              <w:rPr>
                <w:rFonts w:cstheme="minorHAnsi"/>
                <w:sz w:val="18"/>
                <w:szCs w:val="18"/>
              </w:rPr>
            </w:pPr>
            <w:r>
              <w:rPr>
                <w:rFonts w:cstheme="minorHAnsi"/>
                <w:sz w:val="18"/>
                <w:szCs w:val="18"/>
              </w:rPr>
              <w:t>Reference accuracy (including linearity, hysteresis, and repeatability)</w:t>
            </w:r>
          </w:p>
        </w:tc>
      </w:tr>
      <w:tr w14:paraId="183D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7722B87B">
            <w:pPr>
              <w:spacing w:before="120" w:beforeLines="50" w:after="120" w:afterLines="50"/>
              <w:rPr>
                <w:rFonts w:ascii="Calibri" w:hAnsi="Calibri" w:cs="Calibri"/>
                <w:sz w:val="18"/>
                <w:szCs w:val="18"/>
              </w:rPr>
            </w:pPr>
            <w:r>
              <w:rPr>
                <w:rFonts w:hint="eastAsia" w:ascii="Calibri" w:hAnsi="Calibri" w:cs="Calibri"/>
                <w:sz w:val="18"/>
                <w:szCs w:val="18"/>
              </w:rPr>
              <w:t>250kPa、1MPa、3MPa、10MPa</w:t>
            </w:r>
          </w:p>
        </w:tc>
        <w:tc>
          <w:tcPr>
            <w:tcW w:w="5981" w:type="dxa"/>
          </w:tcPr>
          <w:p w14:paraId="0A0C465D">
            <w:pPr>
              <w:spacing w:after="240"/>
              <w:rPr>
                <w:rFonts w:cstheme="minorHAnsi"/>
                <w:sz w:val="18"/>
                <w:szCs w:val="18"/>
              </w:rPr>
            </w:pPr>
            <w:r>
              <w:rPr>
                <w:rFonts w:cstheme="minorHAnsi"/>
                <w:sz w:val="18"/>
                <w:szCs w:val="18"/>
              </w:rPr>
              <w:t>±0.075%SPAN</w:t>
            </w:r>
          </w:p>
          <w:p w14:paraId="13F4250C">
            <w:pPr>
              <w:spacing w:after="240"/>
              <w:rPr>
                <w:rFonts w:cstheme="minorHAnsi"/>
                <w:sz w:val="18"/>
                <w:szCs w:val="18"/>
              </w:rPr>
            </w:pPr>
            <w:r>
              <w:rPr>
                <w:rFonts w:cstheme="minorHAnsi"/>
                <w:sz w:val="18"/>
                <w:szCs w:val="18"/>
              </w:rPr>
              <w:t>For ranges less than 10:1, accuracy: ± (0.0075 * TD)% * SPAN</w:t>
            </w:r>
          </w:p>
        </w:tc>
      </w:tr>
      <w:tr w14:paraId="7AFC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19CEC49E">
            <w:pPr>
              <w:spacing w:before="120" w:beforeLines="50" w:after="120" w:afterLines="50"/>
              <w:rPr>
                <w:rFonts w:ascii="Calibri" w:hAnsi="Calibri" w:cs="Calibri"/>
                <w:sz w:val="18"/>
                <w:szCs w:val="18"/>
              </w:rPr>
            </w:pPr>
            <w:r>
              <w:rPr>
                <w:rFonts w:hint="eastAsia" w:ascii="Calibri" w:hAnsi="Calibri" w:cs="Calibri"/>
                <w:sz w:val="18"/>
                <w:szCs w:val="18"/>
              </w:rPr>
              <w:t>3kPa、6kPa、40kPa</w:t>
            </w:r>
          </w:p>
        </w:tc>
        <w:tc>
          <w:tcPr>
            <w:tcW w:w="5981" w:type="dxa"/>
          </w:tcPr>
          <w:p w14:paraId="2C599F71">
            <w:pPr>
              <w:spacing w:after="240"/>
              <w:rPr>
                <w:rFonts w:cstheme="minorHAnsi"/>
                <w:sz w:val="18"/>
                <w:szCs w:val="18"/>
              </w:rPr>
            </w:pPr>
            <w:r>
              <w:rPr>
                <w:rFonts w:cstheme="minorHAnsi"/>
                <w:sz w:val="18"/>
                <w:szCs w:val="18"/>
              </w:rPr>
              <w:t>±0.075%SPAN</w:t>
            </w:r>
          </w:p>
          <w:p w14:paraId="054674D1">
            <w:pPr>
              <w:spacing w:after="240"/>
              <w:rPr>
                <w:rFonts w:cstheme="minorHAnsi"/>
                <w:sz w:val="18"/>
                <w:szCs w:val="18"/>
              </w:rPr>
            </w:pPr>
            <w:r>
              <w:rPr>
                <w:rFonts w:cstheme="minorHAnsi"/>
                <w:sz w:val="18"/>
                <w:szCs w:val="18"/>
              </w:rPr>
              <w:t>For ranges less than 5:1, accuracy:</w:t>
            </w:r>
            <w:r>
              <w:rPr>
                <w:rFonts w:hint="eastAsia" w:ascii="Calibri" w:hAnsi="Calibri" w:cs="Calibri"/>
                <w:sz w:val="18"/>
                <w:szCs w:val="18"/>
              </w:rPr>
              <w:t>±(0.015*TD)%*SPAN</w:t>
            </w:r>
          </w:p>
        </w:tc>
      </w:tr>
      <w:tr w14:paraId="12F3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2"/>
          </w:tcPr>
          <w:p w14:paraId="35E45091">
            <w:pPr>
              <w:spacing w:after="240"/>
              <w:rPr>
                <w:rFonts w:cstheme="minorHAnsi"/>
                <w:sz w:val="18"/>
                <w:szCs w:val="18"/>
              </w:rPr>
            </w:pPr>
            <w:r>
              <w:rPr>
                <w:rFonts w:cstheme="minorHAnsi"/>
                <w:sz w:val="18"/>
                <w:szCs w:val="18"/>
              </w:rPr>
              <w:t>The square root output accuracy is 1.5 times that of the above linear reference accuracy</w:t>
            </w:r>
          </w:p>
        </w:tc>
      </w:tr>
      <w:tr w14:paraId="3BA9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8" w:type="dxa"/>
            <w:gridSpan w:val="2"/>
          </w:tcPr>
          <w:p w14:paraId="2635020F">
            <w:pPr>
              <w:spacing w:after="240"/>
              <w:rPr>
                <w:rFonts w:cstheme="minorHAnsi"/>
                <w:sz w:val="18"/>
                <w:szCs w:val="18"/>
              </w:rPr>
            </w:pPr>
            <w:r>
              <w:rPr>
                <w:rFonts w:cstheme="minorHAnsi"/>
                <w:sz w:val="18"/>
                <w:szCs w:val="18"/>
              </w:rPr>
              <w:t>Note 1, TD (Turn down) is the range ratio, when | URV | ≥ | LRV |, TD=URL/ | LRV |</w:t>
            </w:r>
          </w:p>
          <w:p w14:paraId="5A9CD1CA">
            <w:pPr>
              <w:spacing w:after="240"/>
              <w:rPr>
                <w:rFonts w:cstheme="minorHAnsi"/>
                <w:sz w:val="18"/>
                <w:szCs w:val="18"/>
              </w:rPr>
            </w:pPr>
            <w:r>
              <w:rPr>
                <w:rFonts w:cstheme="minorHAnsi"/>
                <w:sz w:val="18"/>
                <w:szCs w:val="18"/>
              </w:rPr>
              <w:t>When | URV | ≤ | LRV |, TD=URL/ | LRV |</w:t>
            </w:r>
          </w:p>
          <w:p w14:paraId="4D291224">
            <w:pPr>
              <w:spacing w:after="240"/>
              <w:rPr>
                <w:rFonts w:cstheme="minorHAnsi"/>
                <w:sz w:val="18"/>
                <w:szCs w:val="18"/>
              </w:rPr>
            </w:pPr>
            <w:r>
              <w:rPr>
                <w:rFonts w:cstheme="minorHAnsi"/>
                <w:sz w:val="18"/>
                <w:szCs w:val="18"/>
              </w:rPr>
              <w:t>Note 2: SPAN refers to range difference: SPAN=|URV-LRV|</w:t>
            </w:r>
          </w:p>
        </w:tc>
      </w:tr>
    </w:tbl>
    <w:p w14:paraId="7C56E7FD">
      <w:pPr>
        <w:numPr>
          <w:ilvl w:val="0"/>
          <w:numId w:val="28"/>
        </w:numPr>
        <w:spacing w:before="240" w:after="240"/>
        <w:rPr>
          <w:rFonts w:eastAsia="微软雅黑" w:cstheme="minorHAnsi"/>
          <w:b/>
          <w:sz w:val="18"/>
          <w:szCs w:val="18"/>
        </w:rPr>
      </w:pPr>
      <w:bookmarkStart w:id="210" w:name="_Hlk87965870"/>
      <w:r>
        <w:rPr>
          <w:rFonts w:eastAsia="微软雅黑" w:cstheme="minorHAnsi"/>
          <w:b/>
          <w:sz w:val="18"/>
          <w:szCs w:val="18"/>
        </w:rPr>
        <w:t>Ambient temperature influence</w:t>
      </w:r>
    </w:p>
    <w:bookmarkEnd w:id="210"/>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10A5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4" w:type="dxa"/>
            <w:vAlign w:val="center"/>
          </w:tcPr>
          <w:p w14:paraId="2D0EC0BC">
            <w:pPr>
              <w:spacing w:after="240"/>
              <w:rPr>
                <w:rFonts w:cstheme="minorHAnsi"/>
                <w:b/>
                <w:sz w:val="18"/>
                <w:szCs w:val="18"/>
              </w:rPr>
            </w:pPr>
            <w:r>
              <w:rPr>
                <w:rFonts w:eastAsia="微软雅黑" w:cstheme="minorHAnsi"/>
                <w:sz w:val="18"/>
                <w:szCs w:val="18"/>
              </w:rPr>
              <w:t>Total impact for every 10</w:t>
            </w:r>
            <w:r>
              <w:rPr>
                <w:rFonts w:ascii="Cambria Math" w:hAnsi="Cambria Math" w:cs="Cambria Math"/>
                <w:sz w:val="18"/>
                <w:szCs w:val="18"/>
              </w:rPr>
              <w:t>℃</w:t>
            </w:r>
            <w:r>
              <w:rPr>
                <w:rFonts w:eastAsia="微软雅黑" w:cstheme="minorHAnsi"/>
                <w:sz w:val="18"/>
                <w:szCs w:val="18"/>
              </w:rPr>
              <w:t xml:space="preserve"> within the-40-85</w:t>
            </w:r>
            <w:r>
              <w:rPr>
                <w:rFonts w:ascii="Cambria Math" w:hAnsi="Cambria Math" w:cs="Cambria Math"/>
                <w:sz w:val="18"/>
                <w:szCs w:val="18"/>
              </w:rPr>
              <w:t>℃</w:t>
            </w:r>
            <w:r>
              <w:rPr>
                <w:rFonts w:eastAsia="微软雅黑" w:cstheme="minorHAnsi"/>
                <w:sz w:val="18"/>
                <w:szCs w:val="18"/>
              </w:rPr>
              <w:t xml:space="preserve"> range</w:t>
            </w:r>
          </w:p>
        </w:tc>
        <w:tc>
          <w:tcPr>
            <w:tcW w:w="4264" w:type="dxa"/>
            <w:vAlign w:val="center"/>
          </w:tcPr>
          <w:p w14:paraId="2A04AE76">
            <w:pPr>
              <w:spacing w:after="240"/>
              <w:rPr>
                <w:rFonts w:cstheme="minorHAnsi"/>
                <w:b/>
                <w:sz w:val="18"/>
                <w:szCs w:val="18"/>
              </w:rPr>
            </w:pPr>
            <w:r>
              <w:rPr>
                <w:rFonts w:ascii="Calibri" w:hAnsi="Calibri" w:cs="Calibri"/>
                <w:sz w:val="18"/>
                <w:szCs w:val="18"/>
              </w:rPr>
              <w:t>±0.075%URL</w:t>
            </w:r>
          </w:p>
        </w:tc>
      </w:tr>
    </w:tbl>
    <w:p w14:paraId="3E0E3FE8">
      <w:pPr>
        <w:numPr>
          <w:ilvl w:val="0"/>
          <w:numId w:val="28"/>
        </w:numPr>
        <w:spacing w:before="240" w:after="240"/>
        <w:rPr>
          <w:rFonts w:eastAsia="微软雅黑" w:cstheme="minorHAnsi"/>
          <w:b/>
          <w:sz w:val="18"/>
          <w:szCs w:val="18"/>
        </w:rPr>
      </w:pPr>
      <w:r>
        <w:rPr>
          <w:rFonts w:eastAsia="微软雅黑" w:cstheme="minorHAnsi"/>
          <w:b/>
          <w:sz w:val="18"/>
          <w:szCs w:val="18"/>
        </w:rPr>
        <w:t>Static pressure influence</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75D8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4264" w:type="dxa"/>
            <w:vAlign w:val="center"/>
          </w:tcPr>
          <w:p w14:paraId="43B67236">
            <w:pPr>
              <w:spacing w:after="240"/>
              <w:rPr>
                <w:rFonts w:eastAsia="微软雅黑" w:cstheme="minorHAnsi"/>
                <w:sz w:val="18"/>
                <w:szCs w:val="18"/>
              </w:rPr>
            </w:pPr>
            <w:r>
              <w:rPr>
                <w:rFonts w:hint="eastAsia" w:eastAsia="微软雅黑" w:cstheme="minorHAnsi"/>
                <w:sz w:val="18"/>
                <w:szCs w:val="18"/>
              </w:rPr>
              <w:t>Range ≤ 6kPa</w:t>
            </w:r>
          </w:p>
        </w:tc>
        <w:tc>
          <w:tcPr>
            <w:tcW w:w="4264" w:type="dxa"/>
          </w:tcPr>
          <w:p w14:paraId="49484DAB">
            <w:pPr>
              <w:spacing w:after="240"/>
              <w:rPr>
                <w:rFonts w:eastAsia="微软雅黑" w:cstheme="minorHAnsi"/>
                <w:sz w:val="18"/>
                <w:szCs w:val="18"/>
              </w:rPr>
            </w:pPr>
            <w:r>
              <w:rPr>
                <w:rFonts w:eastAsia="微软雅黑" w:cstheme="minorHAnsi"/>
                <w:sz w:val="18"/>
                <w:szCs w:val="18"/>
              </w:rPr>
              <w:t>± 0.1% upper range limit/4MPa</w:t>
            </w:r>
          </w:p>
        </w:tc>
      </w:tr>
      <w:tr w14:paraId="6EBB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4" w:type="dxa"/>
            <w:vAlign w:val="center"/>
          </w:tcPr>
          <w:p w14:paraId="0DD8A0DC">
            <w:pPr>
              <w:spacing w:after="240"/>
              <w:rPr>
                <w:rFonts w:eastAsia="微软雅黑" w:cstheme="minorHAnsi"/>
                <w:sz w:val="18"/>
                <w:szCs w:val="18"/>
              </w:rPr>
            </w:pPr>
            <w:r>
              <w:rPr>
                <w:rFonts w:hint="eastAsia" w:eastAsia="微软雅黑" w:cstheme="minorHAnsi"/>
                <w:sz w:val="18"/>
                <w:szCs w:val="18"/>
              </w:rPr>
              <w:t>Range ≥ 40kPa</w:t>
            </w:r>
          </w:p>
        </w:tc>
        <w:tc>
          <w:tcPr>
            <w:tcW w:w="4264" w:type="dxa"/>
          </w:tcPr>
          <w:p w14:paraId="4A9FC7A7">
            <w:pPr>
              <w:spacing w:after="240"/>
              <w:rPr>
                <w:rFonts w:eastAsia="微软雅黑" w:cstheme="minorHAnsi"/>
                <w:sz w:val="18"/>
                <w:szCs w:val="18"/>
              </w:rPr>
            </w:pPr>
            <w:r>
              <w:rPr>
                <w:rFonts w:eastAsia="微软雅黑" w:cstheme="minorHAnsi"/>
                <w:sz w:val="18"/>
                <w:szCs w:val="18"/>
              </w:rPr>
              <w:t>± 0.1% upper range limit/10Mpa</w:t>
            </w:r>
          </w:p>
        </w:tc>
      </w:tr>
    </w:tbl>
    <w:p w14:paraId="1BCEDF6E">
      <w:pPr>
        <w:numPr>
          <w:ilvl w:val="0"/>
          <w:numId w:val="28"/>
        </w:numPr>
        <w:spacing w:before="240" w:after="240"/>
        <w:rPr>
          <w:rFonts w:eastAsia="微软雅黑" w:cstheme="minorHAnsi"/>
          <w:b/>
          <w:sz w:val="18"/>
          <w:szCs w:val="18"/>
        </w:rPr>
      </w:pPr>
      <w:r>
        <w:rPr>
          <w:rFonts w:eastAsia="微软雅黑" w:cstheme="minorHAnsi"/>
          <w:b/>
          <w:sz w:val="18"/>
          <w:szCs w:val="18"/>
        </w:rPr>
        <w:t>Power supply influence</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3BF8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tcPr>
          <w:p w14:paraId="6A5E3A87">
            <w:pPr>
              <w:spacing w:after="240"/>
              <w:rPr>
                <w:rFonts w:cstheme="minorHAnsi"/>
                <w:sz w:val="18"/>
                <w:szCs w:val="18"/>
              </w:rPr>
            </w:pPr>
            <w:r>
              <w:rPr>
                <w:rFonts w:eastAsia="微软雅黑" w:cstheme="minorHAnsi"/>
                <w:sz w:val="18"/>
                <w:szCs w:val="18"/>
              </w:rPr>
              <w:t>The zero and range changes shall not exceed the ± 0.005% upper range limit / V</w:t>
            </w:r>
          </w:p>
        </w:tc>
      </w:tr>
    </w:tbl>
    <w:p w14:paraId="3C4B8301">
      <w:pPr>
        <w:numPr>
          <w:ilvl w:val="0"/>
          <w:numId w:val="28"/>
        </w:numPr>
        <w:spacing w:before="240" w:after="240"/>
        <w:rPr>
          <w:rFonts w:eastAsia="微软雅黑" w:cstheme="minorHAnsi"/>
          <w:b/>
          <w:sz w:val="18"/>
          <w:szCs w:val="18"/>
        </w:rPr>
      </w:pPr>
      <w:r>
        <w:rPr>
          <w:rFonts w:eastAsia="微软雅黑" w:cstheme="minorHAnsi"/>
          <w:b/>
          <w:sz w:val="18"/>
          <w:szCs w:val="18"/>
        </w:rPr>
        <w:t>Stability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2F61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vAlign w:val="center"/>
          </w:tcPr>
          <w:p w14:paraId="37ED8DB0">
            <w:pPr>
              <w:spacing w:after="240"/>
              <w:rPr>
                <w:rFonts w:eastAsia="微软雅黑" w:cstheme="minorHAnsi"/>
                <w:sz w:val="18"/>
                <w:szCs w:val="18"/>
              </w:rPr>
            </w:pPr>
            <w:r>
              <w:rPr>
                <w:rFonts w:eastAsia="微软雅黑" w:cstheme="minorHAnsi"/>
                <w:sz w:val="18"/>
                <w:szCs w:val="18"/>
              </w:rPr>
              <w:t xml:space="preserve">Annual stability: ± 0.2% </w:t>
            </w:r>
            <w:r>
              <w:rPr>
                <w:rFonts w:cstheme="minorHAnsi"/>
                <w:sz w:val="18"/>
                <w:szCs w:val="18"/>
              </w:rPr>
              <w:t>URL</w:t>
            </w:r>
            <w:r>
              <w:rPr>
                <w:rFonts w:eastAsia="微软雅黑" w:cstheme="minorHAnsi"/>
                <w:sz w:val="18"/>
                <w:szCs w:val="18"/>
              </w:rPr>
              <w:t xml:space="preserve"> /5 years</w:t>
            </w:r>
          </w:p>
        </w:tc>
      </w:tr>
    </w:tbl>
    <w:p w14:paraId="46DF2096">
      <w:pPr>
        <w:pStyle w:val="4"/>
        <w:spacing w:before="120" w:beforeLines="50" w:after="120" w:afterLines="50"/>
        <w:rPr>
          <w:rFonts w:asciiTheme="minorHAnsi" w:hAnsiTheme="minorHAnsi" w:cstheme="minorHAnsi"/>
        </w:rPr>
      </w:pPr>
      <w:bookmarkStart w:id="211" w:name="_Toc99099411"/>
      <w:bookmarkStart w:id="212" w:name="_Toc199429863"/>
      <w:r>
        <w:rPr>
          <w:rFonts w:asciiTheme="minorHAnsi" w:hAnsiTheme="minorHAnsi" w:cstheme="minorHAnsi"/>
        </w:rPr>
        <w:t>NCS-PT105IIM high static pressure differential pressure transmitter performance index</w:t>
      </w:r>
      <w:bookmarkEnd w:id="211"/>
      <w:bookmarkEnd w:id="212"/>
    </w:p>
    <w:p w14:paraId="78F205DC">
      <w:pPr>
        <w:numPr>
          <w:ilvl w:val="0"/>
          <w:numId w:val="28"/>
        </w:numPr>
        <w:spacing w:after="120" w:afterLines="50"/>
        <w:rPr>
          <w:rFonts w:cstheme="minorHAnsi"/>
          <w:b/>
        </w:rPr>
      </w:pPr>
      <w:r>
        <w:rPr>
          <w:rFonts w:cstheme="minorHAnsi"/>
          <w:b/>
        </w:rPr>
        <w:t>Range and range limit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417"/>
        <w:gridCol w:w="1380"/>
        <w:gridCol w:w="1218"/>
        <w:gridCol w:w="1218"/>
        <w:gridCol w:w="1219"/>
        <w:gridCol w:w="1219"/>
      </w:tblGrid>
      <w:tr w14:paraId="5C80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88" w:type="dxa"/>
            <w:shd w:val="clear" w:color="auto" w:fill="BEBEBE" w:themeFill="background1" w:themeFillShade="BF"/>
            <w:vAlign w:val="center"/>
          </w:tcPr>
          <w:p w14:paraId="77D7D449">
            <w:pPr>
              <w:spacing w:after="240"/>
              <w:rPr>
                <w:rFonts w:cstheme="minorHAnsi"/>
                <w:sz w:val="18"/>
                <w:szCs w:val="18"/>
              </w:rPr>
            </w:pPr>
            <w:r>
              <w:rPr>
                <w:rFonts w:cstheme="minorHAnsi"/>
                <w:sz w:val="18"/>
                <w:szCs w:val="18"/>
              </w:rPr>
              <w:t>Nominal range</w:t>
            </w:r>
          </w:p>
        </w:tc>
        <w:tc>
          <w:tcPr>
            <w:tcW w:w="1417" w:type="dxa"/>
            <w:shd w:val="clear" w:color="auto" w:fill="BEBEBE" w:themeFill="background1" w:themeFillShade="BF"/>
            <w:vAlign w:val="center"/>
          </w:tcPr>
          <w:p w14:paraId="2DF7EF07">
            <w:pPr>
              <w:spacing w:after="240"/>
              <w:rPr>
                <w:rFonts w:cstheme="minorHAnsi"/>
                <w:sz w:val="18"/>
                <w:szCs w:val="18"/>
              </w:rPr>
            </w:pPr>
            <w:r>
              <w:rPr>
                <w:rFonts w:cstheme="minorHAnsi"/>
                <w:sz w:val="18"/>
                <w:szCs w:val="18"/>
              </w:rPr>
              <w:t>Range of measurement</w:t>
            </w:r>
          </w:p>
        </w:tc>
        <w:tc>
          <w:tcPr>
            <w:tcW w:w="1380" w:type="dxa"/>
            <w:shd w:val="clear" w:color="auto" w:fill="BEBEBE" w:themeFill="background1" w:themeFillShade="BF"/>
            <w:vAlign w:val="center"/>
          </w:tcPr>
          <w:p w14:paraId="1B99B8C9">
            <w:pPr>
              <w:spacing w:after="240"/>
              <w:rPr>
                <w:rFonts w:cstheme="minorHAnsi"/>
                <w:sz w:val="18"/>
                <w:szCs w:val="18"/>
              </w:rPr>
            </w:pPr>
            <w:r>
              <w:rPr>
                <w:rFonts w:cstheme="minorHAnsi"/>
                <w:sz w:val="18"/>
                <w:szCs w:val="18"/>
              </w:rPr>
              <w:t>Lower range limit</w:t>
            </w:r>
          </w:p>
        </w:tc>
        <w:tc>
          <w:tcPr>
            <w:tcW w:w="1218" w:type="dxa"/>
            <w:shd w:val="clear" w:color="auto" w:fill="BEBEBE" w:themeFill="background1" w:themeFillShade="BF"/>
            <w:vAlign w:val="center"/>
          </w:tcPr>
          <w:p w14:paraId="7352B74E">
            <w:pPr>
              <w:spacing w:after="240"/>
              <w:rPr>
                <w:rFonts w:cstheme="minorHAnsi"/>
                <w:sz w:val="18"/>
                <w:szCs w:val="18"/>
              </w:rPr>
            </w:pPr>
            <w:r>
              <w:rPr>
                <w:rFonts w:cstheme="minorHAnsi"/>
                <w:sz w:val="18"/>
                <w:szCs w:val="18"/>
              </w:rPr>
              <w:t>Upper range limit</w:t>
            </w:r>
          </w:p>
        </w:tc>
        <w:tc>
          <w:tcPr>
            <w:tcW w:w="1218" w:type="dxa"/>
            <w:shd w:val="clear" w:color="auto" w:fill="BEBEBE" w:themeFill="background1" w:themeFillShade="BF"/>
            <w:vAlign w:val="center"/>
          </w:tcPr>
          <w:p w14:paraId="474F25B2">
            <w:pPr>
              <w:spacing w:after="240"/>
              <w:rPr>
                <w:rFonts w:cstheme="minorHAnsi"/>
                <w:sz w:val="18"/>
                <w:szCs w:val="18"/>
              </w:rPr>
            </w:pPr>
            <w:r>
              <w:rPr>
                <w:rFonts w:cstheme="minorHAnsi"/>
                <w:sz w:val="18"/>
                <w:szCs w:val="18"/>
              </w:rPr>
              <w:t>Static pressure range</w:t>
            </w:r>
          </w:p>
        </w:tc>
        <w:tc>
          <w:tcPr>
            <w:tcW w:w="1219" w:type="dxa"/>
            <w:shd w:val="clear" w:color="auto" w:fill="BEBEBE" w:themeFill="background1" w:themeFillShade="BF"/>
            <w:vAlign w:val="center"/>
          </w:tcPr>
          <w:p w14:paraId="4265E8F8">
            <w:pPr>
              <w:spacing w:after="240"/>
              <w:rPr>
                <w:rFonts w:cstheme="minorHAnsi"/>
                <w:sz w:val="18"/>
                <w:szCs w:val="18"/>
              </w:rPr>
            </w:pPr>
            <w:r>
              <w:rPr>
                <w:rFonts w:cstheme="minorHAnsi"/>
                <w:sz w:val="18"/>
                <w:szCs w:val="18"/>
              </w:rPr>
              <w:t>One-way high-voltage end overload</w:t>
            </w:r>
          </w:p>
        </w:tc>
        <w:tc>
          <w:tcPr>
            <w:tcW w:w="1219" w:type="dxa"/>
            <w:shd w:val="clear" w:color="auto" w:fill="BEBEBE" w:themeFill="background1" w:themeFillShade="BF"/>
            <w:vAlign w:val="center"/>
          </w:tcPr>
          <w:p w14:paraId="5AA73A9F">
            <w:pPr>
              <w:spacing w:after="240"/>
              <w:rPr>
                <w:rFonts w:cstheme="minorHAnsi"/>
                <w:sz w:val="18"/>
                <w:szCs w:val="18"/>
              </w:rPr>
            </w:pPr>
            <w:r>
              <w:rPr>
                <w:rFonts w:cstheme="minorHAnsi"/>
                <w:sz w:val="18"/>
                <w:szCs w:val="18"/>
              </w:rPr>
              <w:t>One-way low-voltage end overload</w:t>
            </w:r>
          </w:p>
        </w:tc>
      </w:tr>
      <w:tr w14:paraId="5913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570611C8">
            <w:pPr>
              <w:spacing w:after="240"/>
              <w:jc w:val="center"/>
              <w:rPr>
                <w:rFonts w:ascii="Calibri" w:hAnsi="Calibri" w:cs="Calibri"/>
                <w:sz w:val="18"/>
                <w:szCs w:val="18"/>
              </w:rPr>
            </w:pPr>
            <w:r>
              <w:rPr>
                <w:rFonts w:hint="eastAsia" w:ascii="Calibri" w:hAnsi="Calibri" w:cs="Calibri"/>
                <w:sz w:val="18"/>
                <w:szCs w:val="18"/>
              </w:rPr>
              <w:t>3</w:t>
            </w:r>
            <w:r>
              <w:rPr>
                <w:rFonts w:ascii="Calibri" w:hAnsi="Calibri" w:cs="Calibri"/>
                <w:sz w:val="18"/>
                <w:szCs w:val="18"/>
              </w:rPr>
              <w:t>kPa</w:t>
            </w:r>
          </w:p>
        </w:tc>
        <w:tc>
          <w:tcPr>
            <w:tcW w:w="1417" w:type="dxa"/>
            <w:vAlign w:val="center"/>
          </w:tcPr>
          <w:p w14:paraId="1EE5106E">
            <w:pPr>
              <w:spacing w:after="240"/>
              <w:jc w:val="center"/>
              <w:rPr>
                <w:rFonts w:ascii="Calibri" w:hAnsi="Calibri" w:cs="Calibri"/>
                <w:sz w:val="18"/>
                <w:szCs w:val="18"/>
              </w:rPr>
            </w:pPr>
            <w:r>
              <w:rPr>
                <w:rFonts w:hint="eastAsia" w:ascii="Calibri" w:hAnsi="Calibri" w:cs="Calibri"/>
                <w:sz w:val="18"/>
                <w:szCs w:val="18"/>
              </w:rPr>
              <w:t>100Pa</w:t>
            </w:r>
            <w:r>
              <w:rPr>
                <w:rFonts w:hint="eastAsia" w:asciiTheme="minorEastAsia" w:hAnsiTheme="minorEastAsia" w:cstheme="minorEastAsia"/>
                <w:sz w:val="18"/>
                <w:szCs w:val="18"/>
              </w:rPr>
              <w:t>~</w:t>
            </w:r>
            <w:r>
              <w:rPr>
                <w:rFonts w:hint="eastAsia" w:ascii="Calibri" w:hAnsi="Calibri" w:cs="Calibri"/>
                <w:sz w:val="18"/>
                <w:szCs w:val="18"/>
              </w:rPr>
              <w:t>3</w:t>
            </w:r>
            <w:r>
              <w:rPr>
                <w:rFonts w:ascii="Calibri" w:hAnsi="Calibri" w:cs="Calibri"/>
                <w:sz w:val="18"/>
                <w:szCs w:val="18"/>
              </w:rPr>
              <w:t>kPa</w:t>
            </w:r>
          </w:p>
        </w:tc>
        <w:tc>
          <w:tcPr>
            <w:tcW w:w="1380" w:type="dxa"/>
            <w:vAlign w:val="center"/>
          </w:tcPr>
          <w:p w14:paraId="54B41F94">
            <w:pPr>
              <w:spacing w:after="240"/>
              <w:jc w:val="center"/>
              <w:rPr>
                <w:rFonts w:ascii="Calibri" w:hAnsi="Calibri" w:cs="Calibri"/>
                <w:sz w:val="18"/>
                <w:szCs w:val="18"/>
              </w:rPr>
            </w:pPr>
            <w:r>
              <w:rPr>
                <w:rFonts w:ascii="Calibri" w:hAnsi="Calibri" w:cs="Calibri"/>
                <w:sz w:val="18"/>
                <w:szCs w:val="18"/>
              </w:rPr>
              <w:t>-</w:t>
            </w:r>
            <w:r>
              <w:rPr>
                <w:rFonts w:hint="eastAsia" w:ascii="Calibri" w:hAnsi="Calibri" w:cs="Calibri"/>
                <w:sz w:val="18"/>
                <w:szCs w:val="18"/>
              </w:rPr>
              <w:t>3</w:t>
            </w:r>
            <w:r>
              <w:rPr>
                <w:rFonts w:ascii="Calibri" w:hAnsi="Calibri" w:cs="Calibri"/>
                <w:sz w:val="18"/>
                <w:szCs w:val="18"/>
              </w:rPr>
              <w:t>Kpa</w:t>
            </w:r>
          </w:p>
        </w:tc>
        <w:tc>
          <w:tcPr>
            <w:tcW w:w="1218" w:type="dxa"/>
            <w:vAlign w:val="center"/>
          </w:tcPr>
          <w:p w14:paraId="1D2C65E2">
            <w:pPr>
              <w:spacing w:after="240"/>
              <w:jc w:val="center"/>
              <w:rPr>
                <w:rFonts w:ascii="Calibri" w:hAnsi="Calibri" w:cs="Calibri"/>
                <w:sz w:val="18"/>
                <w:szCs w:val="18"/>
              </w:rPr>
            </w:pPr>
            <w:r>
              <w:rPr>
                <w:rFonts w:hint="eastAsia" w:ascii="Calibri" w:hAnsi="Calibri" w:cs="Calibri"/>
                <w:sz w:val="18"/>
                <w:szCs w:val="18"/>
              </w:rPr>
              <w:t>3</w:t>
            </w:r>
            <w:r>
              <w:rPr>
                <w:rFonts w:ascii="Calibri" w:hAnsi="Calibri" w:cs="Calibri"/>
                <w:sz w:val="18"/>
                <w:szCs w:val="18"/>
              </w:rPr>
              <w:t>kPa</w:t>
            </w:r>
          </w:p>
        </w:tc>
        <w:tc>
          <w:tcPr>
            <w:tcW w:w="1218" w:type="dxa"/>
            <w:vAlign w:val="center"/>
          </w:tcPr>
          <w:p w14:paraId="4B4D3EE8">
            <w:pPr>
              <w:spacing w:after="240"/>
              <w:jc w:val="center"/>
              <w:rPr>
                <w:rFonts w:ascii="Calibri" w:hAnsi="Calibri" w:cs="Calibri"/>
                <w:sz w:val="18"/>
                <w:szCs w:val="18"/>
              </w:rPr>
            </w:pPr>
            <w:r>
              <w:rPr>
                <w:rFonts w:hint="eastAsia" w:ascii="Calibri" w:hAnsi="Calibri" w:cs="Calibri"/>
                <w:sz w:val="18"/>
                <w:szCs w:val="18"/>
              </w:rPr>
              <w:t>16MPa</w:t>
            </w:r>
          </w:p>
        </w:tc>
        <w:tc>
          <w:tcPr>
            <w:tcW w:w="1219" w:type="dxa"/>
            <w:vAlign w:val="center"/>
          </w:tcPr>
          <w:p w14:paraId="6D731FC6">
            <w:pPr>
              <w:spacing w:after="240"/>
              <w:jc w:val="center"/>
              <w:rPr>
                <w:rFonts w:ascii="Calibri" w:hAnsi="Calibri" w:cs="Calibri"/>
                <w:sz w:val="18"/>
                <w:szCs w:val="18"/>
              </w:rPr>
            </w:pPr>
            <w:r>
              <w:rPr>
                <w:rFonts w:hint="eastAsia" w:ascii="Calibri" w:hAnsi="Calibri" w:cs="Calibri"/>
                <w:sz w:val="18"/>
                <w:szCs w:val="18"/>
              </w:rPr>
              <w:t>16MPa</w:t>
            </w:r>
          </w:p>
        </w:tc>
        <w:tc>
          <w:tcPr>
            <w:tcW w:w="1219" w:type="dxa"/>
            <w:vAlign w:val="center"/>
          </w:tcPr>
          <w:p w14:paraId="7496D26E">
            <w:pPr>
              <w:spacing w:after="240"/>
              <w:jc w:val="center"/>
              <w:rPr>
                <w:rFonts w:ascii="Calibri" w:hAnsi="Calibri" w:cs="Calibri"/>
                <w:sz w:val="18"/>
                <w:szCs w:val="18"/>
              </w:rPr>
            </w:pPr>
            <w:r>
              <w:rPr>
                <w:rFonts w:hint="eastAsia" w:ascii="Calibri" w:hAnsi="Calibri" w:cs="Calibri"/>
                <w:sz w:val="18"/>
                <w:szCs w:val="18"/>
              </w:rPr>
              <w:t>16MPa</w:t>
            </w:r>
          </w:p>
        </w:tc>
      </w:tr>
      <w:tr w14:paraId="146E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67E7FC85">
            <w:pPr>
              <w:spacing w:after="240"/>
              <w:jc w:val="center"/>
              <w:rPr>
                <w:rFonts w:ascii="Calibri" w:hAnsi="Calibri" w:cs="Calibri"/>
                <w:sz w:val="18"/>
                <w:szCs w:val="18"/>
              </w:rPr>
            </w:pPr>
            <w:r>
              <w:rPr>
                <w:rFonts w:ascii="Calibri" w:hAnsi="Calibri" w:cs="Calibri"/>
                <w:sz w:val="18"/>
                <w:szCs w:val="18"/>
              </w:rPr>
              <w:t>6kPa</w:t>
            </w:r>
          </w:p>
        </w:tc>
        <w:tc>
          <w:tcPr>
            <w:tcW w:w="1417" w:type="dxa"/>
            <w:vAlign w:val="center"/>
          </w:tcPr>
          <w:p w14:paraId="49CF597A">
            <w:pPr>
              <w:spacing w:after="240"/>
              <w:jc w:val="center"/>
              <w:rPr>
                <w:rFonts w:ascii="Calibri" w:hAnsi="Calibri" w:cs="Calibri"/>
                <w:sz w:val="18"/>
                <w:szCs w:val="18"/>
              </w:rPr>
            </w:pPr>
            <w:r>
              <w:rPr>
                <w:rFonts w:ascii="Calibri" w:hAnsi="Calibri" w:cs="Calibri"/>
                <w:sz w:val="18"/>
                <w:szCs w:val="18"/>
              </w:rPr>
              <w:t>200Pa</w:t>
            </w:r>
            <w:r>
              <w:rPr>
                <w:rFonts w:hint="eastAsia" w:asciiTheme="minorEastAsia" w:hAnsiTheme="minorEastAsia" w:cstheme="minorEastAsia"/>
                <w:sz w:val="18"/>
                <w:szCs w:val="18"/>
              </w:rPr>
              <w:t>~</w:t>
            </w:r>
            <w:r>
              <w:rPr>
                <w:rFonts w:ascii="Calibri" w:hAnsi="Calibri" w:cs="Calibri"/>
                <w:sz w:val="18"/>
                <w:szCs w:val="18"/>
              </w:rPr>
              <w:t>6kPa</w:t>
            </w:r>
          </w:p>
        </w:tc>
        <w:tc>
          <w:tcPr>
            <w:tcW w:w="1380" w:type="dxa"/>
            <w:vAlign w:val="center"/>
          </w:tcPr>
          <w:p w14:paraId="32A86B06">
            <w:pPr>
              <w:spacing w:after="240"/>
              <w:jc w:val="center"/>
              <w:rPr>
                <w:rFonts w:ascii="Calibri" w:hAnsi="Calibri" w:cs="Calibri"/>
                <w:sz w:val="18"/>
                <w:szCs w:val="18"/>
              </w:rPr>
            </w:pPr>
            <w:r>
              <w:rPr>
                <w:rFonts w:ascii="Calibri" w:hAnsi="Calibri" w:cs="Calibri"/>
                <w:sz w:val="18"/>
                <w:szCs w:val="18"/>
              </w:rPr>
              <w:t>-6Kpa</w:t>
            </w:r>
          </w:p>
        </w:tc>
        <w:tc>
          <w:tcPr>
            <w:tcW w:w="1218" w:type="dxa"/>
            <w:vAlign w:val="center"/>
          </w:tcPr>
          <w:p w14:paraId="021E8685">
            <w:pPr>
              <w:spacing w:after="240"/>
              <w:jc w:val="center"/>
              <w:rPr>
                <w:rFonts w:ascii="Calibri" w:hAnsi="Calibri" w:cs="Calibri"/>
                <w:sz w:val="18"/>
                <w:szCs w:val="18"/>
              </w:rPr>
            </w:pPr>
            <w:r>
              <w:rPr>
                <w:rFonts w:ascii="Calibri" w:hAnsi="Calibri" w:cs="Calibri"/>
                <w:sz w:val="18"/>
                <w:szCs w:val="18"/>
              </w:rPr>
              <w:t>6kPa</w:t>
            </w:r>
          </w:p>
        </w:tc>
        <w:tc>
          <w:tcPr>
            <w:tcW w:w="1218" w:type="dxa"/>
            <w:vAlign w:val="center"/>
          </w:tcPr>
          <w:p w14:paraId="681B5EC7">
            <w:pPr>
              <w:spacing w:after="240"/>
              <w:jc w:val="center"/>
              <w:rPr>
                <w:rFonts w:ascii="Calibri" w:hAnsi="Calibri" w:cs="Calibri"/>
                <w:sz w:val="18"/>
                <w:szCs w:val="18"/>
              </w:rPr>
            </w:pPr>
            <w:r>
              <w:rPr>
                <w:rFonts w:ascii="Calibri" w:hAnsi="Calibri" w:cs="Calibri"/>
                <w:sz w:val="18"/>
                <w:szCs w:val="18"/>
              </w:rPr>
              <w:t>25Mpa</w:t>
            </w:r>
          </w:p>
        </w:tc>
        <w:tc>
          <w:tcPr>
            <w:tcW w:w="1219" w:type="dxa"/>
            <w:vAlign w:val="center"/>
          </w:tcPr>
          <w:p w14:paraId="7D0FD68D">
            <w:pPr>
              <w:spacing w:after="240"/>
              <w:jc w:val="center"/>
              <w:rPr>
                <w:rFonts w:ascii="Calibri" w:hAnsi="Calibri" w:cs="Calibri"/>
                <w:sz w:val="18"/>
                <w:szCs w:val="18"/>
              </w:rPr>
            </w:pPr>
            <w:r>
              <w:rPr>
                <w:rFonts w:ascii="Calibri" w:hAnsi="Calibri" w:cs="Calibri"/>
                <w:sz w:val="18"/>
                <w:szCs w:val="18"/>
              </w:rPr>
              <w:t>25Mpa</w:t>
            </w:r>
          </w:p>
        </w:tc>
        <w:tc>
          <w:tcPr>
            <w:tcW w:w="1219" w:type="dxa"/>
            <w:vAlign w:val="center"/>
          </w:tcPr>
          <w:p w14:paraId="63A6E365">
            <w:pPr>
              <w:spacing w:after="240"/>
              <w:jc w:val="center"/>
              <w:rPr>
                <w:rFonts w:ascii="Calibri" w:hAnsi="Calibri" w:cs="Calibri"/>
                <w:sz w:val="18"/>
                <w:szCs w:val="18"/>
              </w:rPr>
            </w:pPr>
            <w:r>
              <w:rPr>
                <w:rFonts w:ascii="Calibri" w:hAnsi="Calibri" w:cs="Calibri"/>
                <w:sz w:val="18"/>
                <w:szCs w:val="18"/>
              </w:rPr>
              <w:t>16Mpa</w:t>
            </w:r>
          </w:p>
        </w:tc>
      </w:tr>
      <w:tr w14:paraId="1098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6EB45EA9">
            <w:pPr>
              <w:spacing w:after="240"/>
              <w:jc w:val="center"/>
              <w:rPr>
                <w:rFonts w:ascii="Calibri" w:hAnsi="Calibri" w:cs="Calibri"/>
                <w:sz w:val="18"/>
                <w:szCs w:val="18"/>
              </w:rPr>
            </w:pPr>
            <w:r>
              <w:rPr>
                <w:rFonts w:ascii="Calibri" w:hAnsi="Calibri" w:cs="Calibri"/>
                <w:sz w:val="18"/>
                <w:szCs w:val="18"/>
              </w:rPr>
              <w:t>40kPa</w:t>
            </w:r>
          </w:p>
        </w:tc>
        <w:tc>
          <w:tcPr>
            <w:tcW w:w="1417" w:type="dxa"/>
            <w:vAlign w:val="center"/>
          </w:tcPr>
          <w:p w14:paraId="18A05B7A">
            <w:pPr>
              <w:spacing w:after="240"/>
              <w:jc w:val="center"/>
              <w:rPr>
                <w:rFonts w:ascii="Calibri" w:hAnsi="Calibri" w:cs="Calibri"/>
                <w:sz w:val="18"/>
                <w:szCs w:val="18"/>
              </w:rPr>
            </w:pPr>
            <w:r>
              <w:rPr>
                <w:rFonts w:ascii="Calibri" w:hAnsi="Calibri" w:cs="Calibri"/>
                <w:sz w:val="18"/>
                <w:szCs w:val="18"/>
              </w:rPr>
              <w:t>400Pa</w:t>
            </w:r>
            <w:r>
              <w:rPr>
                <w:rFonts w:hint="eastAsia" w:asciiTheme="minorEastAsia" w:hAnsiTheme="minorEastAsia" w:cstheme="minorEastAsia"/>
                <w:sz w:val="18"/>
                <w:szCs w:val="18"/>
              </w:rPr>
              <w:t>~</w:t>
            </w:r>
            <w:r>
              <w:rPr>
                <w:rFonts w:ascii="Calibri" w:hAnsi="Calibri" w:cs="Calibri"/>
                <w:sz w:val="18"/>
                <w:szCs w:val="18"/>
              </w:rPr>
              <w:t>40kPa</w:t>
            </w:r>
          </w:p>
        </w:tc>
        <w:tc>
          <w:tcPr>
            <w:tcW w:w="1380" w:type="dxa"/>
            <w:vAlign w:val="center"/>
          </w:tcPr>
          <w:p w14:paraId="5AE22851">
            <w:pPr>
              <w:spacing w:after="240"/>
              <w:jc w:val="center"/>
              <w:rPr>
                <w:rFonts w:ascii="Calibri" w:hAnsi="Calibri" w:cs="Calibri"/>
                <w:sz w:val="18"/>
                <w:szCs w:val="18"/>
              </w:rPr>
            </w:pPr>
            <w:r>
              <w:rPr>
                <w:rFonts w:ascii="Calibri" w:hAnsi="Calibri" w:cs="Calibri"/>
                <w:sz w:val="18"/>
                <w:szCs w:val="18"/>
              </w:rPr>
              <w:t>-40kPa</w:t>
            </w:r>
          </w:p>
        </w:tc>
        <w:tc>
          <w:tcPr>
            <w:tcW w:w="1218" w:type="dxa"/>
            <w:vAlign w:val="center"/>
          </w:tcPr>
          <w:p w14:paraId="313192D4">
            <w:pPr>
              <w:spacing w:after="240"/>
              <w:jc w:val="center"/>
              <w:rPr>
                <w:rFonts w:ascii="Calibri" w:hAnsi="Calibri" w:cs="Calibri"/>
                <w:sz w:val="18"/>
                <w:szCs w:val="18"/>
              </w:rPr>
            </w:pPr>
            <w:r>
              <w:rPr>
                <w:rFonts w:ascii="Calibri" w:hAnsi="Calibri" w:cs="Calibri"/>
                <w:sz w:val="18"/>
                <w:szCs w:val="18"/>
              </w:rPr>
              <w:t>40kPa</w:t>
            </w:r>
          </w:p>
        </w:tc>
        <w:tc>
          <w:tcPr>
            <w:tcW w:w="1218" w:type="dxa"/>
            <w:vAlign w:val="center"/>
          </w:tcPr>
          <w:p w14:paraId="55DA9BF7">
            <w:pPr>
              <w:spacing w:after="240"/>
              <w:jc w:val="center"/>
              <w:rPr>
                <w:rFonts w:ascii="Calibri" w:hAnsi="Calibri" w:cs="Calibri"/>
                <w:sz w:val="18"/>
                <w:szCs w:val="18"/>
              </w:rPr>
            </w:pPr>
            <w:r>
              <w:rPr>
                <w:rFonts w:ascii="Calibri" w:hAnsi="Calibri" w:cs="Calibri"/>
                <w:sz w:val="18"/>
                <w:szCs w:val="18"/>
              </w:rPr>
              <w:t>40Mpa</w:t>
            </w:r>
          </w:p>
        </w:tc>
        <w:tc>
          <w:tcPr>
            <w:tcW w:w="1219" w:type="dxa"/>
            <w:vAlign w:val="center"/>
          </w:tcPr>
          <w:p w14:paraId="3E9E417A">
            <w:pPr>
              <w:spacing w:after="240"/>
              <w:jc w:val="center"/>
              <w:rPr>
                <w:rFonts w:ascii="Calibri" w:hAnsi="Calibri" w:cs="Calibri"/>
                <w:sz w:val="18"/>
                <w:szCs w:val="18"/>
              </w:rPr>
            </w:pPr>
            <w:r>
              <w:rPr>
                <w:rFonts w:ascii="Calibri" w:hAnsi="Calibri" w:cs="Calibri"/>
                <w:sz w:val="18"/>
                <w:szCs w:val="18"/>
              </w:rPr>
              <w:t>25Mpa</w:t>
            </w:r>
          </w:p>
        </w:tc>
        <w:tc>
          <w:tcPr>
            <w:tcW w:w="1219" w:type="dxa"/>
            <w:vAlign w:val="center"/>
          </w:tcPr>
          <w:p w14:paraId="5842AAA1">
            <w:pPr>
              <w:spacing w:after="240"/>
              <w:jc w:val="center"/>
              <w:rPr>
                <w:rFonts w:ascii="Calibri" w:hAnsi="Calibri" w:cs="Calibri"/>
                <w:sz w:val="18"/>
                <w:szCs w:val="18"/>
              </w:rPr>
            </w:pPr>
            <w:r>
              <w:rPr>
                <w:rFonts w:ascii="Calibri" w:hAnsi="Calibri" w:cs="Calibri"/>
                <w:sz w:val="18"/>
                <w:szCs w:val="18"/>
              </w:rPr>
              <w:t>16Mpa</w:t>
            </w:r>
          </w:p>
        </w:tc>
      </w:tr>
      <w:tr w14:paraId="2BBE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4E979306">
            <w:pPr>
              <w:spacing w:after="240"/>
              <w:jc w:val="center"/>
              <w:rPr>
                <w:rFonts w:ascii="Calibri" w:hAnsi="Calibri" w:cs="Calibri"/>
                <w:sz w:val="18"/>
                <w:szCs w:val="18"/>
              </w:rPr>
            </w:pPr>
            <w:r>
              <w:rPr>
                <w:rFonts w:ascii="Calibri" w:hAnsi="Calibri" w:cs="Calibri"/>
                <w:sz w:val="18"/>
                <w:szCs w:val="18"/>
              </w:rPr>
              <w:t>250kPa</w:t>
            </w:r>
          </w:p>
        </w:tc>
        <w:tc>
          <w:tcPr>
            <w:tcW w:w="1417" w:type="dxa"/>
            <w:vAlign w:val="center"/>
          </w:tcPr>
          <w:p w14:paraId="27F027D8">
            <w:pPr>
              <w:spacing w:after="240"/>
              <w:jc w:val="center"/>
              <w:rPr>
                <w:rFonts w:ascii="Calibri" w:hAnsi="Calibri" w:cs="Calibri"/>
                <w:sz w:val="18"/>
                <w:szCs w:val="18"/>
              </w:rPr>
            </w:pPr>
            <w:r>
              <w:rPr>
                <w:rFonts w:ascii="Calibri" w:hAnsi="Calibri" w:cs="Calibri"/>
                <w:sz w:val="18"/>
                <w:szCs w:val="18"/>
              </w:rPr>
              <w:t>2.5kPa</w:t>
            </w:r>
            <w:r>
              <w:rPr>
                <w:rFonts w:hint="eastAsia" w:asciiTheme="minorEastAsia" w:hAnsiTheme="minorEastAsia" w:cstheme="minorEastAsia"/>
                <w:sz w:val="18"/>
                <w:szCs w:val="18"/>
              </w:rPr>
              <w:t>~</w:t>
            </w:r>
            <w:r>
              <w:rPr>
                <w:rFonts w:ascii="Calibri" w:hAnsi="Calibri" w:cs="Calibri"/>
                <w:sz w:val="18"/>
                <w:szCs w:val="18"/>
              </w:rPr>
              <w:t>250kPa</w:t>
            </w:r>
          </w:p>
        </w:tc>
        <w:tc>
          <w:tcPr>
            <w:tcW w:w="1380" w:type="dxa"/>
            <w:vAlign w:val="center"/>
          </w:tcPr>
          <w:p w14:paraId="43355B11">
            <w:pPr>
              <w:spacing w:after="240"/>
              <w:jc w:val="center"/>
              <w:rPr>
                <w:rFonts w:ascii="Calibri" w:hAnsi="Calibri" w:cs="Calibri"/>
                <w:sz w:val="18"/>
                <w:szCs w:val="18"/>
              </w:rPr>
            </w:pPr>
            <w:r>
              <w:rPr>
                <w:rFonts w:ascii="Calibri" w:hAnsi="Calibri" w:cs="Calibri"/>
                <w:sz w:val="18"/>
                <w:szCs w:val="18"/>
              </w:rPr>
              <w:t>-250kPa</w:t>
            </w:r>
          </w:p>
        </w:tc>
        <w:tc>
          <w:tcPr>
            <w:tcW w:w="1218" w:type="dxa"/>
            <w:vAlign w:val="center"/>
          </w:tcPr>
          <w:p w14:paraId="70F36D98">
            <w:pPr>
              <w:spacing w:after="240"/>
              <w:jc w:val="center"/>
              <w:rPr>
                <w:rFonts w:ascii="Calibri" w:hAnsi="Calibri" w:cs="Calibri"/>
                <w:sz w:val="18"/>
                <w:szCs w:val="18"/>
              </w:rPr>
            </w:pPr>
            <w:r>
              <w:rPr>
                <w:rFonts w:ascii="Calibri" w:hAnsi="Calibri" w:cs="Calibri"/>
                <w:sz w:val="18"/>
                <w:szCs w:val="18"/>
              </w:rPr>
              <w:t>250kPa</w:t>
            </w:r>
          </w:p>
        </w:tc>
        <w:tc>
          <w:tcPr>
            <w:tcW w:w="1218" w:type="dxa"/>
            <w:vAlign w:val="center"/>
          </w:tcPr>
          <w:p w14:paraId="45C058EE">
            <w:pPr>
              <w:spacing w:after="240"/>
              <w:jc w:val="center"/>
              <w:rPr>
                <w:rFonts w:ascii="Calibri" w:hAnsi="Calibri" w:cs="Calibri"/>
                <w:sz w:val="18"/>
                <w:szCs w:val="18"/>
              </w:rPr>
            </w:pPr>
            <w:r>
              <w:rPr>
                <w:rFonts w:ascii="Calibri" w:hAnsi="Calibri" w:cs="Calibri"/>
                <w:sz w:val="18"/>
                <w:szCs w:val="18"/>
              </w:rPr>
              <w:t>40Mpa</w:t>
            </w:r>
          </w:p>
        </w:tc>
        <w:tc>
          <w:tcPr>
            <w:tcW w:w="1219" w:type="dxa"/>
            <w:vAlign w:val="center"/>
          </w:tcPr>
          <w:p w14:paraId="7F206DE9">
            <w:pPr>
              <w:spacing w:after="240"/>
              <w:jc w:val="center"/>
              <w:rPr>
                <w:rFonts w:ascii="Calibri" w:hAnsi="Calibri" w:cs="Calibri"/>
                <w:sz w:val="18"/>
                <w:szCs w:val="18"/>
              </w:rPr>
            </w:pPr>
            <w:r>
              <w:rPr>
                <w:rFonts w:ascii="Calibri" w:hAnsi="Calibri" w:cs="Calibri"/>
                <w:sz w:val="18"/>
                <w:szCs w:val="18"/>
              </w:rPr>
              <w:t>25Mpa</w:t>
            </w:r>
          </w:p>
        </w:tc>
        <w:tc>
          <w:tcPr>
            <w:tcW w:w="1219" w:type="dxa"/>
            <w:vAlign w:val="center"/>
          </w:tcPr>
          <w:p w14:paraId="1A25807A">
            <w:pPr>
              <w:spacing w:after="240"/>
              <w:jc w:val="center"/>
              <w:rPr>
                <w:rFonts w:ascii="Calibri" w:hAnsi="Calibri" w:cs="Calibri"/>
                <w:sz w:val="18"/>
                <w:szCs w:val="18"/>
              </w:rPr>
            </w:pPr>
            <w:r>
              <w:rPr>
                <w:rFonts w:ascii="Calibri" w:hAnsi="Calibri" w:cs="Calibri"/>
                <w:sz w:val="18"/>
                <w:szCs w:val="18"/>
              </w:rPr>
              <w:t>16Mpa</w:t>
            </w:r>
          </w:p>
        </w:tc>
      </w:tr>
      <w:tr w14:paraId="79E2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492C69EA">
            <w:pPr>
              <w:spacing w:after="240"/>
              <w:jc w:val="center"/>
              <w:rPr>
                <w:rFonts w:ascii="Calibri" w:hAnsi="Calibri" w:cs="Calibri"/>
                <w:sz w:val="18"/>
                <w:szCs w:val="18"/>
              </w:rPr>
            </w:pPr>
            <w:r>
              <w:rPr>
                <w:rFonts w:ascii="Calibri" w:hAnsi="Calibri" w:cs="Calibri"/>
                <w:sz w:val="18"/>
                <w:szCs w:val="18"/>
              </w:rPr>
              <w:t>1MPa</w:t>
            </w:r>
          </w:p>
        </w:tc>
        <w:tc>
          <w:tcPr>
            <w:tcW w:w="1417" w:type="dxa"/>
            <w:vAlign w:val="center"/>
          </w:tcPr>
          <w:p w14:paraId="47E8117F">
            <w:pPr>
              <w:spacing w:after="240"/>
              <w:jc w:val="center"/>
              <w:rPr>
                <w:rFonts w:ascii="Calibri" w:hAnsi="Calibri" w:cs="Calibri"/>
                <w:sz w:val="18"/>
                <w:szCs w:val="18"/>
              </w:rPr>
            </w:pPr>
            <w:r>
              <w:rPr>
                <w:rFonts w:ascii="Calibri" w:hAnsi="Calibri" w:cs="Calibri"/>
                <w:sz w:val="18"/>
                <w:szCs w:val="18"/>
              </w:rPr>
              <w:t>10kPa</w:t>
            </w:r>
            <w:r>
              <w:rPr>
                <w:rFonts w:hint="eastAsia" w:asciiTheme="minorEastAsia" w:hAnsiTheme="minorEastAsia" w:cstheme="minorEastAsia"/>
                <w:sz w:val="18"/>
                <w:szCs w:val="18"/>
              </w:rPr>
              <w:t>~</w:t>
            </w:r>
            <w:r>
              <w:rPr>
                <w:rFonts w:ascii="Calibri" w:hAnsi="Calibri" w:cs="Calibri"/>
                <w:sz w:val="18"/>
                <w:szCs w:val="18"/>
              </w:rPr>
              <w:t>1MPa</w:t>
            </w:r>
          </w:p>
        </w:tc>
        <w:tc>
          <w:tcPr>
            <w:tcW w:w="1380" w:type="dxa"/>
            <w:vAlign w:val="center"/>
          </w:tcPr>
          <w:p w14:paraId="2CF406A9">
            <w:pPr>
              <w:spacing w:after="240"/>
              <w:jc w:val="center"/>
              <w:rPr>
                <w:rFonts w:ascii="Calibri" w:hAnsi="Calibri" w:cs="Calibri"/>
                <w:sz w:val="18"/>
                <w:szCs w:val="18"/>
              </w:rPr>
            </w:pPr>
            <w:r>
              <w:rPr>
                <w:rFonts w:ascii="Calibri" w:hAnsi="Calibri" w:cs="Calibri"/>
                <w:sz w:val="18"/>
                <w:szCs w:val="18"/>
              </w:rPr>
              <w:t>-500kPa</w:t>
            </w:r>
          </w:p>
        </w:tc>
        <w:tc>
          <w:tcPr>
            <w:tcW w:w="1218" w:type="dxa"/>
            <w:vAlign w:val="center"/>
          </w:tcPr>
          <w:p w14:paraId="28B04CD9">
            <w:pPr>
              <w:spacing w:after="240"/>
              <w:jc w:val="center"/>
              <w:rPr>
                <w:rFonts w:ascii="Calibri" w:hAnsi="Calibri" w:cs="Calibri"/>
                <w:sz w:val="18"/>
                <w:szCs w:val="18"/>
              </w:rPr>
            </w:pPr>
            <w:r>
              <w:rPr>
                <w:rFonts w:ascii="Calibri" w:hAnsi="Calibri" w:cs="Calibri"/>
                <w:sz w:val="18"/>
                <w:szCs w:val="18"/>
              </w:rPr>
              <w:t>1MPa</w:t>
            </w:r>
          </w:p>
        </w:tc>
        <w:tc>
          <w:tcPr>
            <w:tcW w:w="1218" w:type="dxa"/>
            <w:vAlign w:val="center"/>
          </w:tcPr>
          <w:p w14:paraId="0E80F74D">
            <w:pPr>
              <w:spacing w:after="240"/>
              <w:jc w:val="center"/>
              <w:rPr>
                <w:rFonts w:ascii="Calibri" w:hAnsi="Calibri" w:cs="Calibri"/>
                <w:sz w:val="18"/>
                <w:szCs w:val="18"/>
              </w:rPr>
            </w:pPr>
            <w:r>
              <w:rPr>
                <w:rFonts w:ascii="Calibri" w:hAnsi="Calibri" w:cs="Calibri"/>
                <w:sz w:val="18"/>
                <w:szCs w:val="18"/>
              </w:rPr>
              <w:t>40Mpa</w:t>
            </w:r>
          </w:p>
        </w:tc>
        <w:tc>
          <w:tcPr>
            <w:tcW w:w="1219" w:type="dxa"/>
            <w:vAlign w:val="center"/>
          </w:tcPr>
          <w:p w14:paraId="049C0FFB">
            <w:pPr>
              <w:spacing w:after="240"/>
              <w:jc w:val="center"/>
              <w:rPr>
                <w:rFonts w:ascii="Calibri" w:hAnsi="Calibri" w:cs="Calibri"/>
                <w:sz w:val="18"/>
                <w:szCs w:val="18"/>
              </w:rPr>
            </w:pPr>
            <w:r>
              <w:rPr>
                <w:rFonts w:ascii="Calibri" w:hAnsi="Calibri" w:cs="Calibri"/>
                <w:sz w:val="18"/>
                <w:szCs w:val="18"/>
              </w:rPr>
              <w:t>25Mpa</w:t>
            </w:r>
          </w:p>
        </w:tc>
        <w:tc>
          <w:tcPr>
            <w:tcW w:w="1219" w:type="dxa"/>
            <w:vAlign w:val="center"/>
          </w:tcPr>
          <w:p w14:paraId="721DBCD7">
            <w:pPr>
              <w:spacing w:after="240"/>
              <w:jc w:val="center"/>
              <w:rPr>
                <w:rFonts w:ascii="Calibri" w:hAnsi="Calibri" w:cs="Calibri"/>
                <w:sz w:val="18"/>
                <w:szCs w:val="18"/>
              </w:rPr>
            </w:pPr>
            <w:r>
              <w:rPr>
                <w:rFonts w:ascii="Calibri" w:hAnsi="Calibri" w:cs="Calibri"/>
                <w:sz w:val="18"/>
                <w:szCs w:val="18"/>
              </w:rPr>
              <w:t>16Mpa</w:t>
            </w:r>
          </w:p>
        </w:tc>
      </w:tr>
      <w:tr w14:paraId="1F1E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7DB64D96">
            <w:pPr>
              <w:spacing w:after="240"/>
              <w:jc w:val="center"/>
              <w:rPr>
                <w:rFonts w:ascii="Calibri" w:hAnsi="Calibri" w:cs="Calibri"/>
                <w:sz w:val="18"/>
                <w:szCs w:val="18"/>
              </w:rPr>
            </w:pPr>
            <w:r>
              <w:rPr>
                <w:rFonts w:ascii="Calibri" w:hAnsi="Calibri" w:cs="Calibri"/>
                <w:sz w:val="18"/>
                <w:szCs w:val="18"/>
              </w:rPr>
              <w:t>3MPa</w:t>
            </w:r>
          </w:p>
        </w:tc>
        <w:tc>
          <w:tcPr>
            <w:tcW w:w="1417" w:type="dxa"/>
            <w:vAlign w:val="center"/>
          </w:tcPr>
          <w:p w14:paraId="55CB7365">
            <w:pPr>
              <w:spacing w:after="240"/>
              <w:jc w:val="center"/>
              <w:rPr>
                <w:rFonts w:ascii="Calibri" w:hAnsi="Calibri" w:cs="Calibri"/>
                <w:sz w:val="18"/>
                <w:szCs w:val="18"/>
              </w:rPr>
            </w:pPr>
            <w:r>
              <w:rPr>
                <w:rFonts w:ascii="Calibri" w:hAnsi="Calibri" w:cs="Calibri"/>
                <w:sz w:val="18"/>
                <w:szCs w:val="18"/>
              </w:rPr>
              <w:t>30kPa</w:t>
            </w:r>
            <w:r>
              <w:rPr>
                <w:rFonts w:hint="eastAsia" w:asciiTheme="minorEastAsia" w:hAnsiTheme="minorEastAsia" w:cstheme="minorEastAsia"/>
                <w:sz w:val="18"/>
                <w:szCs w:val="18"/>
              </w:rPr>
              <w:t>~</w:t>
            </w:r>
            <w:r>
              <w:rPr>
                <w:rFonts w:ascii="Calibri" w:hAnsi="Calibri" w:cs="Calibri"/>
                <w:sz w:val="18"/>
                <w:szCs w:val="18"/>
              </w:rPr>
              <w:t>3MPa</w:t>
            </w:r>
          </w:p>
        </w:tc>
        <w:tc>
          <w:tcPr>
            <w:tcW w:w="1380" w:type="dxa"/>
            <w:vAlign w:val="center"/>
          </w:tcPr>
          <w:p w14:paraId="7916C5ED">
            <w:pPr>
              <w:spacing w:after="240"/>
              <w:jc w:val="center"/>
              <w:rPr>
                <w:rFonts w:ascii="Calibri" w:hAnsi="Calibri" w:cs="Calibri"/>
                <w:sz w:val="18"/>
                <w:szCs w:val="18"/>
              </w:rPr>
            </w:pPr>
            <w:r>
              <w:rPr>
                <w:rFonts w:ascii="Calibri" w:hAnsi="Calibri" w:cs="Calibri"/>
                <w:sz w:val="18"/>
                <w:szCs w:val="18"/>
              </w:rPr>
              <w:t>-500kPa</w:t>
            </w:r>
          </w:p>
        </w:tc>
        <w:tc>
          <w:tcPr>
            <w:tcW w:w="1218" w:type="dxa"/>
            <w:vAlign w:val="center"/>
          </w:tcPr>
          <w:p w14:paraId="79B405F0">
            <w:pPr>
              <w:spacing w:after="240"/>
              <w:jc w:val="center"/>
              <w:rPr>
                <w:rFonts w:ascii="Calibri" w:hAnsi="Calibri" w:cs="Calibri"/>
                <w:sz w:val="18"/>
                <w:szCs w:val="18"/>
              </w:rPr>
            </w:pPr>
            <w:r>
              <w:rPr>
                <w:rFonts w:ascii="Calibri" w:hAnsi="Calibri" w:cs="Calibri"/>
                <w:sz w:val="18"/>
                <w:szCs w:val="18"/>
              </w:rPr>
              <w:t>3MPa</w:t>
            </w:r>
          </w:p>
        </w:tc>
        <w:tc>
          <w:tcPr>
            <w:tcW w:w="1218" w:type="dxa"/>
            <w:vAlign w:val="center"/>
          </w:tcPr>
          <w:p w14:paraId="0A54B74F">
            <w:pPr>
              <w:spacing w:after="240"/>
              <w:jc w:val="center"/>
              <w:rPr>
                <w:rFonts w:ascii="Calibri" w:hAnsi="Calibri" w:cs="Calibri"/>
                <w:sz w:val="18"/>
                <w:szCs w:val="18"/>
              </w:rPr>
            </w:pPr>
            <w:r>
              <w:rPr>
                <w:rFonts w:ascii="Calibri" w:hAnsi="Calibri" w:cs="Calibri"/>
                <w:sz w:val="18"/>
                <w:szCs w:val="18"/>
              </w:rPr>
              <w:t>40Mpa</w:t>
            </w:r>
          </w:p>
        </w:tc>
        <w:tc>
          <w:tcPr>
            <w:tcW w:w="1219" w:type="dxa"/>
            <w:vAlign w:val="center"/>
          </w:tcPr>
          <w:p w14:paraId="6F09138F">
            <w:pPr>
              <w:spacing w:after="240"/>
              <w:jc w:val="center"/>
              <w:rPr>
                <w:rFonts w:ascii="Calibri" w:hAnsi="Calibri" w:cs="Calibri"/>
                <w:sz w:val="18"/>
                <w:szCs w:val="18"/>
              </w:rPr>
            </w:pPr>
            <w:r>
              <w:rPr>
                <w:rFonts w:ascii="Calibri" w:hAnsi="Calibri" w:cs="Calibri"/>
                <w:sz w:val="18"/>
                <w:szCs w:val="18"/>
              </w:rPr>
              <w:t>25Mpa</w:t>
            </w:r>
          </w:p>
        </w:tc>
        <w:tc>
          <w:tcPr>
            <w:tcW w:w="1219" w:type="dxa"/>
            <w:vAlign w:val="center"/>
          </w:tcPr>
          <w:p w14:paraId="4A404830">
            <w:pPr>
              <w:spacing w:after="240"/>
              <w:jc w:val="center"/>
              <w:rPr>
                <w:rFonts w:ascii="Calibri" w:hAnsi="Calibri" w:cs="Calibri"/>
                <w:sz w:val="18"/>
                <w:szCs w:val="18"/>
              </w:rPr>
            </w:pPr>
            <w:r>
              <w:rPr>
                <w:rFonts w:ascii="Calibri" w:hAnsi="Calibri" w:cs="Calibri"/>
                <w:sz w:val="18"/>
                <w:szCs w:val="18"/>
              </w:rPr>
              <w:t>3Mpa</w:t>
            </w:r>
          </w:p>
        </w:tc>
      </w:tr>
      <w:tr w14:paraId="4C34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66BE6426">
            <w:pPr>
              <w:spacing w:after="240"/>
              <w:jc w:val="center"/>
              <w:rPr>
                <w:rFonts w:ascii="Calibri" w:hAnsi="Calibri" w:cs="Calibri"/>
                <w:sz w:val="18"/>
                <w:szCs w:val="18"/>
              </w:rPr>
            </w:pPr>
            <w:r>
              <w:rPr>
                <w:rFonts w:ascii="Calibri" w:hAnsi="Calibri" w:cs="Calibri"/>
                <w:sz w:val="18"/>
                <w:szCs w:val="18"/>
              </w:rPr>
              <w:t>10Mpa</w:t>
            </w:r>
          </w:p>
        </w:tc>
        <w:tc>
          <w:tcPr>
            <w:tcW w:w="1417" w:type="dxa"/>
            <w:vAlign w:val="center"/>
          </w:tcPr>
          <w:p w14:paraId="3114FE11">
            <w:pPr>
              <w:spacing w:after="240"/>
              <w:jc w:val="center"/>
              <w:rPr>
                <w:rFonts w:ascii="Calibri" w:hAnsi="Calibri" w:cs="Calibri"/>
                <w:sz w:val="18"/>
                <w:szCs w:val="18"/>
              </w:rPr>
            </w:pPr>
            <w:r>
              <w:rPr>
                <w:rFonts w:ascii="Calibri" w:hAnsi="Calibri" w:cs="Calibri"/>
                <w:sz w:val="18"/>
                <w:szCs w:val="18"/>
              </w:rPr>
              <w:t>100kPa</w:t>
            </w:r>
            <w:r>
              <w:rPr>
                <w:rFonts w:hint="eastAsia" w:asciiTheme="minorEastAsia" w:hAnsiTheme="minorEastAsia" w:cstheme="minorEastAsia"/>
                <w:sz w:val="18"/>
                <w:szCs w:val="18"/>
              </w:rPr>
              <w:t>~</w:t>
            </w:r>
            <w:r>
              <w:rPr>
                <w:rFonts w:ascii="Calibri" w:hAnsi="Calibri" w:cs="Calibri"/>
                <w:sz w:val="18"/>
                <w:szCs w:val="18"/>
              </w:rPr>
              <w:t>10Mpa</w:t>
            </w:r>
          </w:p>
        </w:tc>
        <w:tc>
          <w:tcPr>
            <w:tcW w:w="1380" w:type="dxa"/>
            <w:vAlign w:val="center"/>
          </w:tcPr>
          <w:p w14:paraId="0D639A1C">
            <w:pPr>
              <w:spacing w:after="240"/>
              <w:jc w:val="center"/>
              <w:rPr>
                <w:rFonts w:ascii="Calibri" w:hAnsi="Calibri" w:cs="Calibri"/>
                <w:sz w:val="18"/>
                <w:szCs w:val="18"/>
              </w:rPr>
            </w:pPr>
            <w:r>
              <w:rPr>
                <w:rFonts w:ascii="Calibri" w:hAnsi="Calibri" w:cs="Calibri"/>
                <w:sz w:val="18"/>
                <w:szCs w:val="18"/>
              </w:rPr>
              <w:t>-500kPa</w:t>
            </w:r>
          </w:p>
        </w:tc>
        <w:tc>
          <w:tcPr>
            <w:tcW w:w="1218" w:type="dxa"/>
            <w:vAlign w:val="center"/>
          </w:tcPr>
          <w:p w14:paraId="411BE609">
            <w:pPr>
              <w:spacing w:after="240"/>
              <w:jc w:val="center"/>
              <w:rPr>
                <w:rFonts w:ascii="Calibri" w:hAnsi="Calibri" w:cs="Calibri"/>
                <w:sz w:val="18"/>
                <w:szCs w:val="18"/>
              </w:rPr>
            </w:pPr>
            <w:r>
              <w:rPr>
                <w:rFonts w:ascii="Calibri" w:hAnsi="Calibri" w:cs="Calibri"/>
                <w:sz w:val="18"/>
                <w:szCs w:val="18"/>
              </w:rPr>
              <w:t>10Mpa</w:t>
            </w:r>
          </w:p>
        </w:tc>
        <w:tc>
          <w:tcPr>
            <w:tcW w:w="1218" w:type="dxa"/>
            <w:vAlign w:val="center"/>
          </w:tcPr>
          <w:p w14:paraId="6654B425">
            <w:pPr>
              <w:spacing w:after="240"/>
              <w:jc w:val="center"/>
              <w:rPr>
                <w:rFonts w:ascii="Calibri" w:hAnsi="Calibri" w:cs="Calibri"/>
                <w:sz w:val="18"/>
                <w:szCs w:val="18"/>
              </w:rPr>
            </w:pPr>
            <w:r>
              <w:rPr>
                <w:rFonts w:ascii="Calibri" w:hAnsi="Calibri" w:cs="Calibri"/>
                <w:sz w:val="18"/>
                <w:szCs w:val="18"/>
              </w:rPr>
              <w:t>40Mpa</w:t>
            </w:r>
          </w:p>
        </w:tc>
        <w:tc>
          <w:tcPr>
            <w:tcW w:w="1219" w:type="dxa"/>
            <w:vAlign w:val="center"/>
          </w:tcPr>
          <w:p w14:paraId="5A8FD737">
            <w:pPr>
              <w:spacing w:after="240"/>
              <w:jc w:val="center"/>
              <w:rPr>
                <w:rFonts w:ascii="Calibri" w:hAnsi="Calibri" w:cs="Calibri"/>
                <w:sz w:val="18"/>
                <w:szCs w:val="18"/>
              </w:rPr>
            </w:pPr>
            <w:r>
              <w:rPr>
                <w:rFonts w:ascii="Calibri" w:hAnsi="Calibri" w:cs="Calibri"/>
                <w:sz w:val="18"/>
                <w:szCs w:val="18"/>
              </w:rPr>
              <w:t>25Mpa</w:t>
            </w:r>
          </w:p>
        </w:tc>
        <w:tc>
          <w:tcPr>
            <w:tcW w:w="1219" w:type="dxa"/>
            <w:vAlign w:val="center"/>
          </w:tcPr>
          <w:p w14:paraId="5B4048C6">
            <w:pPr>
              <w:spacing w:after="240"/>
              <w:jc w:val="center"/>
              <w:rPr>
                <w:rFonts w:ascii="Calibri" w:hAnsi="Calibri" w:cs="Calibri"/>
                <w:sz w:val="18"/>
                <w:szCs w:val="18"/>
              </w:rPr>
            </w:pPr>
            <w:r>
              <w:rPr>
                <w:rFonts w:ascii="Calibri" w:hAnsi="Calibri" w:cs="Calibri"/>
                <w:sz w:val="18"/>
                <w:szCs w:val="18"/>
              </w:rPr>
              <w:t>3Mpa</w:t>
            </w:r>
          </w:p>
        </w:tc>
      </w:tr>
      <w:tr w14:paraId="7D86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9" w:type="dxa"/>
            <w:gridSpan w:val="7"/>
          </w:tcPr>
          <w:p w14:paraId="1C06AFB9">
            <w:pPr>
              <w:spacing w:after="240"/>
              <w:rPr>
                <w:rFonts w:cstheme="minorHAnsi"/>
                <w:sz w:val="18"/>
                <w:szCs w:val="18"/>
              </w:rPr>
            </w:pPr>
            <w:r>
              <w:rPr>
                <w:rFonts w:cstheme="minorHAnsi"/>
                <w:sz w:val="18"/>
                <w:szCs w:val="18"/>
              </w:rPr>
              <w:t xml:space="preserve">Set the high and low limit requirements：The low and high limit values are taken within the upper range. </w:t>
            </w:r>
          </w:p>
          <w:p w14:paraId="4790151D">
            <w:pPr>
              <w:spacing w:after="240"/>
              <w:rPr>
                <w:rFonts w:cstheme="minorHAnsi"/>
                <w:sz w:val="18"/>
                <w:szCs w:val="18"/>
              </w:rPr>
            </w:pPr>
            <w:r>
              <w:rPr>
                <w:rFonts w:cstheme="minorHAnsi"/>
                <w:sz w:val="18"/>
                <w:szCs w:val="18"/>
              </w:rPr>
              <w:t>When | URV | ≥ | LRV |, | URV | ≥ minimum range must be met; when | URV | ≤ | LRV |, | LRV | ≥ minimum range must be concealed</w:t>
            </w:r>
          </w:p>
        </w:tc>
      </w:tr>
      <w:tr w14:paraId="5C3C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9" w:type="dxa"/>
            <w:gridSpan w:val="7"/>
          </w:tcPr>
          <w:p w14:paraId="36E3CD02">
            <w:pPr>
              <w:spacing w:after="240"/>
              <w:rPr>
                <w:rFonts w:cstheme="minorHAnsi"/>
                <w:sz w:val="18"/>
                <w:szCs w:val="18"/>
              </w:rPr>
            </w:pPr>
            <w:r>
              <w:rPr>
                <w:rFonts w:cstheme="minorHAnsi"/>
                <w:sz w:val="18"/>
                <w:szCs w:val="18"/>
              </w:rPr>
              <w:t>Overpressure limit value: Depending on the pressure value of the weakest component, which is the maximum pressure of the sensor, not the maximum pressure of the product itself.</w:t>
            </w:r>
          </w:p>
        </w:tc>
      </w:tr>
    </w:tbl>
    <w:p w14:paraId="19D6F0FA">
      <w:pPr>
        <w:pStyle w:val="61"/>
        <w:numPr>
          <w:ilvl w:val="0"/>
          <w:numId w:val="28"/>
        </w:numPr>
        <w:spacing w:after="240"/>
        <w:ind w:firstLineChars="0"/>
        <w:rPr>
          <w:rFonts w:cstheme="minorHAnsi"/>
          <w:b/>
        </w:rPr>
      </w:pPr>
      <w:r>
        <w:rPr>
          <w:rFonts w:cstheme="minorHAnsi"/>
          <w:b/>
        </w:rPr>
        <w:t>Reference accuracy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5981"/>
      </w:tblGrid>
      <w:tr w14:paraId="694B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47" w:type="dxa"/>
          </w:tcPr>
          <w:p w14:paraId="65E75726">
            <w:pPr>
              <w:spacing w:after="240"/>
              <w:rPr>
                <w:rFonts w:cstheme="minorHAnsi"/>
                <w:sz w:val="18"/>
                <w:szCs w:val="18"/>
              </w:rPr>
            </w:pPr>
            <w:r>
              <w:rPr>
                <w:rFonts w:cstheme="minorHAnsi"/>
                <w:sz w:val="18"/>
                <w:szCs w:val="18"/>
              </w:rPr>
              <w:t>Range</w:t>
            </w:r>
          </w:p>
        </w:tc>
        <w:tc>
          <w:tcPr>
            <w:tcW w:w="5981" w:type="dxa"/>
          </w:tcPr>
          <w:p w14:paraId="77072CB6">
            <w:pPr>
              <w:spacing w:after="240"/>
              <w:rPr>
                <w:rFonts w:cstheme="minorHAnsi"/>
                <w:sz w:val="18"/>
                <w:szCs w:val="18"/>
              </w:rPr>
            </w:pPr>
            <w:r>
              <w:rPr>
                <w:rFonts w:cstheme="minorHAnsi"/>
                <w:sz w:val="18"/>
                <w:szCs w:val="18"/>
              </w:rPr>
              <w:t>Reference accuracy (including linearity, hysteresis, and repeatability)</w:t>
            </w:r>
          </w:p>
        </w:tc>
      </w:tr>
      <w:tr w14:paraId="6429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045C36A6">
            <w:pPr>
              <w:spacing w:before="120" w:beforeLines="50" w:after="120" w:afterLines="50"/>
              <w:rPr>
                <w:rFonts w:ascii="Calibri" w:hAnsi="Calibri" w:cs="Calibri"/>
                <w:sz w:val="18"/>
                <w:szCs w:val="18"/>
              </w:rPr>
            </w:pPr>
            <w:r>
              <w:rPr>
                <w:rFonts w:hint="eastAsia" w:ascii="Calibri" w:hAnsi="Calibri" w:cs="Calibri"/>
                <w:sz w:val="18"/>
                <w:szCs w:val="18"/>
              </w:rPr>
              <w:t>250kPa、1MPa、3MPa、10MPa</w:t>
            </w:r>
          </w:p>
        </w:tc>
        <w:tc>
          <w:tcPr>
            <w:tcW w:w="5981" w:type="dxa"/>
          </w:tcPr>
          <w:p w14:paraId="60A9251E">
            <w:pPr>
              <w:spacing w:after="240"/>
              <w:rPr>
                <w:rFonts w:cstheme="minorHAnsi"/>
                <w:sz w:val="18"/>
                <w:szCs w:val="18"/>
              </w:rPr>
            </w:pPr>
            <w:r>
              <w:rPr>
                <w:rFonts w:cstheme="minorHAnsi"/>
                <w:sz w:val="18"/>
                <w:szCs w:val="18"/>
              </w:rPr>
              <w:t>±0.075%SPAN</w:t>
            </w:r>
          </w:p>
          <w:p w14:paraId="5401CD2F">
            <w:pPr>
              <w:spacing w:after="240"/>
              <w:rPr>
                <w:rFonts w:cstheme="minorHAnsi"/>
                <w:sz w:val="18"/>
                <w:szCs w:val="18"/>
              </w:rPr>
            </w:pPr>
            <w:r>
              <w:rPr>
                <w:rFonts w:cstheme="minorHAnsi"/>
                <w:sz w:val="18"/>
                <w:szCs w:val="18"/>
              </w:rPr>
              <w:t>For ranges less than 10:1, accuracy: ± (0.0075 * TD)% * SPAN</w:t>
            </w:r>
          </w:p>
        </w:tc>
      </w:tr>
      <w:tr w14:paraId="1100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22D6823E">
            <w:pPr>
              <w:spacing w:before="120" w:beforeLines="50" w:after="120" w:afterLines="50"/>
              <w:rPr>
                <w:rFonts w:ascii="Calibri" w:hAnsi="Calibri" w:cs="Calibri"/>
                <w:sz w:val="18"/>
                <w:szCs w:val="18"/>
              </w:rPr>
            </w:pPr>
            <w:r>
              <w:rPr>
                <w:rFonts w:hint="eastAsia" w:ascii="Calibri" w:hAnsi="Calibri" w:cs="Calibri"/>
                <w:sz w:val="18"/>
                <w:szCs w:val="18"/>
              </w:rPr>
              <w:t>3kPa、6kPa、40kPa</w:t>
            </w:r>
          </w:p>
        </w:tc>
        <w:tc>
          <w:tcPr>
            <w:tcW w:w="5981" w:type="dxa"/>
          </w:tcPr>
          <w:p w14:paraId="1A4F3D9F">
            <w:pPr>
              <w:spacing w:after="240"/>
              <w:rPr>
                <w:rFonts w:cstheme="minorHAnsi"/>
                <w:sz w:val="18"/>
                <w:szCs w:val="18"/>
              </w:rPr>
            </w:pPr>
            <w:r>
              <w:rPr>
                <w:rFonts w:cstheme="minorHAnsi"/>
                <w:sz w:val="18"/>
                <w:szCs w:val="18"/>
              </w:rPr>
              <w:t>±0.075%SPAN</w:t>
            </w:r>
          </w:p>
          <w:p w14:paraId="6CFBBFF8">
            <w:pPr>
              <w:spacing w:after="240"/>
              <w:rPr>
                <w:rFonts w:cstheme="minorHAnsi"/>
                <w:sz w:val="18"/>
                <w:szCs w:val="18"/>
              </w:rPr>
            </w:pPr>
            <w:r>
              <w:rPr>
                <w:rFonts w:cstheme="minorHAnsi"/>
                <w:sz w:val="18"/>
                <w:szCs w:val="18"/>
              </w:rPr>
              <w:t>For ranges less than 5:1, accuracy:</w:t>
            </w:r>
            <w:r>
              <w:rPr>
                <w:rFonts w:hint="eastAsia" w:ascii="Calibri" w:hAnsi="Calibri" w:cs="Calibri"/>
                <w:sz w:val="18"/>
                <w:szCs w:val="18"/>
              </w:rPr>
              <w:t>±(0.015*TD)%*SPAN</w:t>
            </w:r>
          </w:p>
        </w:tc>
      </w:tr>
      <w:tr w14:paraId="6BA8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2"/>
          </w:tcPr>
          <w:p w14:paraId="5CD4D2CE">
            <w:pPr>
              <w:spacing w:after="240"/>
              <w:rPr>
                <w:rFonts w:cstheme="minorHAnsi"/>
                <w:sz w:val="18"/>
                <w:szCs w:val="18"/>
              </w:rPr>
            </w:pPr>
            <w:r>
              <w:rPr>
                <w:rFonts w:cstheme="minorHAnsi"/>
                <w:sz w:val="18"/>
                <w:szCs w:val="18"/>
              </w:rPr>
              <w:t>The square root output accuracy is 1.5 times that of the above linear reference accuracy</w:t>
            </w:r>
          </w:p>
        </w:tc>
      </w:tr>
      <w:tr w14:paraId="5A9A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2"/>
          </w:tcPr>
          <w:p w14:paraId="2BC866FD">
            <w:pPr>
              <w:spacing w:after="240"/>
              <w:rPr>
                <w:rFonts w:cstheme="minorHAnsi"/>
                <w:sz w:val="18"/>
                <w:szCs w:val="18"/>
              </w:rPr>
            </w:pPr>
            <w:r>
              <w:rPr>
                <w:rFonts w:cstheme="minorHAnsi"/>
                <w:sz w:val="18"/>
                <w:szCs w:val="18"/>
              </w:rPr>
              <w:t>Note 1, TD (Turn down) is the range ratio, when | URV | ≥ | LRV |, TD=URL/ | LRV |</w:t>
            </w:r>
          </w:p>
          <w:p w14:paraId="4223CBE8">
            <w:pPr>
              <w:spacing w:after="240"/>
              <w:rPr>
                <w:rFonts w:cstheme="minorHAnsi"/>
                <w:sz w:val="18"/>
                <w:szCs w:val="18"/>
              </w:rPr>
            </w:pPr>
            <w:r>
              <w:rPr>
                <w:rFonts w:cstheme="minorHAnsi"/>
                <w:sz w:val="18"/>
                <w:szCs w:val="18"/>
              </w:rPr>
              <w:t>When | URV | ≤ | LRV |, TD=URL/ | LRV |</w:t>
            </w:r>
          </w:p>
          <w:p w14:paraId="72524E82">
            <w:pPr>
              <w:spacing w:after="240"/>
              <w:rPr>
                <w:rFonts w:cstheme="minorHAnsi"/>
                <w:sz w:val="18"/>
                <w:szCs w:val="18"/>
              </w:rPr>
            </w:pPr>
            <w:r>
              <w:rPr>
                <w:rFonts w:cstheme="minorHAnsi"/>
                <w:sz w:val="18"/>
                <w:szCs w:val="18"/>
              </w:rPr>
              <w:t>Note 2: SPAN refers to range difference: SPAN=|URV-LRV|</w:t>
            </w:r>
          </w:p>
        </w:tc>
      </w:tr>
    </w:tbl>
    <w:p w14:paraId="7CBDE49B">
      <w:pPr>
        <w:numPr>
          <w:ilvl w:val="0"/>
          <w:numId w:val="28"/>
        </w:numPr>
        <w:spacing w:before="240" w:after="240"/>
        <w:rPr>
          <w:rFonts w:eastAsia="微软雅黑" w:cstheme="minorHAnsi"/>
          <w:b/>
          <w:sz w:val="18"/>
          <w:szCs w:val="18"/>
        </w:rPr>
      </w:pPr>
      <w:r>
        <w:rPr>
          <w:rFonts w:eastAsia="微软雅黑" w:cstheme="minorHAnsi"/>
          <w:b/>
          <w:sz w:val="18"/>
          <w:szCs w:val="18"/>
        </w:rPr>
        <w:t>Ambient temperature influence</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377E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4" w:type="dxa"/>
            <w:vAlign w:val="center"/>
          </w:tcPr>
          <w:p w14:paraId="1BF80D8A">
            <w:pPr>
              <w:spacing w:after="240"/>
              <w:rPr>
                <w:rFonts w:cstheme="minorHAnsi"/>
                <w:b/>
                <w:sz w:val="18"/>
                <w:szCs w:val="18"/>
              </w:rPr>
            </w:pPr>
            <w:r>
              <w:rPr>
                <w:rFonts w:eastAsia="微软雅黑" w:cstheme="minorHAnsi"/>
                <w:sz w:val="18"/>
                <w:szCs w:val="18"/>
              </w:rPr>
              <w:t>Total impact for every 10</w:t>
            </w:r>
            <w:r>
              <w:rPr>
                <w:rFonts w:ascii="Cambria Math" w:hAnsi="Cambria Math" w:cs="Cambria Math"/>
                <w:sz w:val="18"/>
                <w:szCs w:val="18"/>
              </w:rPr>
              <w:t>℃</w:t>
            </w:r>
            <w:r>
              <w:rPr>
                <w:rFonts w:eastAsia="微软雅黑" w:cstheme="minorHAnsi"/>
                <w:sz w:val="18"/>
                <w:szCs w:val="18"/>
              </w:rPr>
              <w:t xml:space="preserve"> within the-40-85</w:t>
            </w:r>
            <w:r>
              <w:rPr>
                <w:rFonts w:ascii="Cambria Math" w:hAnsi="Cambria Math" w:cs="Cambria Math"/>
                <w:sz w:val="18"/>
                <w:szCs w:val="18"/>
              </w:rPr>
              <w:t>℃</w:t>
            </w:r>
            <w:r>
              <w:rPr>
                <w:rFonts w:eastAsia="微软雅黑" w:cstheme="minorHAnsi"/>
                <w:sz w:val="18"/>
                <w:szCs w:val="18"/>
              </w:rPr>
              <w:t xml:space="preserve"> range</w:t>
            </w:r>
          </w:p>
        </w:tc>
        <w:tc>
          <w:tcPr>
            <w:tcW w:w="4264" w:type="dxa"/>
            <w:vAlign w:val="center"/>
          </w:tcPr>
          <w:p w14:paraId="162C2B18">
            <w:pPr>
              <w:spacing w:after="240"/>
              <w:rPr>
                <w:rFonts w:cstheme="minorHAnsi"/>
                <w:b/>
                <w:sz w:val="18"/>
                <w:szCs w:val="18"/>
              </w:rPr>
            </w:pPr>
            <w:r>
              <w:rPr>
                <w:rFonts w:ascii="Calibri" w:hAnsi="Calibri" w:cs="Calibri"/>
                <w:sz w:val="18"/>
                <w:szCs w:val="18"/>
              </w:rPr>
              <w:t>±0.075%URL</w:t>
            </w:r>
          </w:p>
        </w:tc>
      </w:tr>
    </w:tbl>
    <w:p w14:paraId="79019D4D">
      <w:pPr>
        <w:numPr>
          <w:ilvl w:val="0"/>
          <w:numId w:val="28"/>
        </w:numPr>
        <w:spacing w:before="240" w:after="240"/>
        <w:rPr>
          <w:rFonts w:eastAsia="微软雅黑" w:cstheme="minorHAnsi"/>
          <w:b/>
          <w:sz w:val="18"/>
          <w:szCs w:val="18"/>
        </w:rPr>
      </w:pPr>
      <w:r>
        <w:rPr>
          <w:rFonts w:eastAsia="微软雅黑" w:cstheme="minorHAnsi"/>
          <w:b/>
          <w:sz w:val="18"/>
          <w:szCs w:val="18"/>
        </w:rPr>
        <w:t>Static pressure influence</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31A4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4264" w:type="dxa"/>
            <w:vAlign w:val="center"/>
          </w:tcPr>
          <w:p w14:paraId="4DFC8D41">
            <w:pPr>
              <w:spacing w:after="240"/>
              <w:rPr>
                <w:rFonts w:eastAsia="微软雅黑" w:cstheme="minorHAnsi"/>
                <w:sz w:val="18"/>
                <w:szCs w:val="18"/>
              </w:rPr>
            </w:pPr>
            <w:r>
              <w:rPr>
                <w:rFonts w:hint="eastAsia" w:eastAsia="微软雅黑" w:cstheme="minorHAnsi"/>
                <w:sz w:val="18"/>
                <w:szCs w:val="18"/>
              </w:rPr>
              <w:t>Range ≤ 6kPa</w:t>
            </w:r>
          </w:p>
        </w:tc>
        <w:tc>
          <w:tcPr>
            <w:tcW w:w="4264" w:type="dxa"/>
          </w:tcPr>
          <w:p w14:paraId="6CC3E13C">
            <w:pPr>
              <w:spacing w:after="240"/>
              <w:rPr>
                <w:rFonts w:eastAsia="微软雅黑" w:cstheme="minorHAnsi"/>
                <w:sz w:val="18"/>
                <w:szCs w:val="18"/>
              </w:rPr>
            </w:pPr>
            <w:r>
              <w:rPr>
                <w:rFonts w:eastAsia="微软雅黑" w:cstheme="minorHAnsi"/>
                <w:sz w:val="18"/>
                <w:szCs w:val="18"/>
              </w:rPr>
              <w:t>± 0.1% upper range limit/4MPa</w:t>
            </w:r>
          </w:p>
        </w:tc>
      </w:tr>
      <w:tr w14:paraId="06D9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4" w:type="dxa"/>
            <w:vAlign w:val="center"/>
          </w:tcPr>
          <w:p w14:paraId="14A1839D">
            <w:pPr>
              <w:spacing w:after="240"/>
              <w:rPr>
                <w:rFonts w:eastAsia="微软雅黑" w:cstheme="minorHAnsi"/>
                <w:sz w:val="18"/>
                <w:szCs w:val="18"/>
              </w:rPr>
            </w:pPr>
            <w:r>
              <w:rPr>
                <w:rFonts w:hint="eastAsia" w:eastAsia="微软雅黑" w:cstheme="minorHAnsi"/>
                <w:sz w:val="18"/>
                <w:szCs w:val="18"/>
              </w:rPr>
              <w:t>Range ≥ 40kPa</w:t>
            </w:r>
          </w:p>
        </w:tc>
        <w:tc>
          <w:tcPr>
            <w:tcW w:w="4264" w:type="dxa"/>
          </w:tcPr>
          <w:p w14:paraId="1342DB08">
            <w:pPr>
              <w:spacing w:after="240"/>
              <w:rPr>
                <w:rFonts w:eastAsia="微软雅黑" w:cstheme="minorHAnsi"/>
                <w:sz w:val="18"/>
                <w:szCs w:val="18"/>
              </w:rPr>
            </w:pPr>
            <w:r>
              <w:rPr>
                <w:rFonts w:eastAsia="微软雅黑" w:cstheme="minorHAnsi"/>
                <w:sz w:val="18"/>
                <w:szCs w:val="18"/>
              </w:rPr>
              <w:t>± 0.1% upper range limit/10Mpa</w:t>
            </w:r>
          </w:p>
        </w:tc>
      </w:tr>
    </w:tbl>
    <w:p w14:paraId="5EA44BD8">
      <w:pPr>
        <w:numPr>
          <w:ilvl w:val="0"/>
          <w:numId w:val="28"/>
        </w:numPr>
        <w:spacing w:before="240" w:after="240"/>
        <w:rPr>
          <w:rFonts w:eastAsia="微软雅黑" w:cstheme="minorHAnsi"/>
          <w:b/>
          <w:sz w:val="18"/>
          <w:szCs w:val="18"/>
        </w:rPr>
      </w:pPr>
      <w:r>
        <w:rPr>
          <w:rFonts w:eastAsia="微软雅黑" w:cstheme="minorHAnsi"/>
          <w:b/>
          <w:sz w:val="18"/>
          <w:szCs w:val="18"/>
        </w:rPr>
        <w:t>Power supply influence</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3FD7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8" w:type="dxa"/>
          </w:tcPr>
          <w:p w14:paraId="5FFE74E9">
            <w:pPr>
              <w:spacing w:after="240"/>
              <w:rPr>
                <w:rFonts w:cstheme="minorHAnsi"/>
                <w:sz w:val="18"/>
                <w:szCs w:val="18"/>
              </w:rPr>
            </w:pPr>
            <w:r>
              <w:rPr>
                <w:rFonts w:eastAsia="微软雅黑" w:cstheme="minorHAnsi"/>
                <w:sz w:val="18"/>
                <w:szCs w:val="18"/>
              </w:rPr>
              <w:t>The zero and range changes shall not exceed the ± 0.005% upper range limit / V</w:t>
            </w:r>
          </w:p>
        </w:tc>
      </w:tr>
    </w:tbl>
    <w:p w14:paraId="58D95066">
      <w:pPr>
        <w:numPr>
          <w:ilvl w:val="0"/>
          <w:numId w:val="28"/>
        </w:numPr>
        <w:spacing w:before="240" w:after="240"/>
        <w:rPr>
          <w:rFonts w:eastAsia="微软雅黑" w:cstheme="minorHAnsi"/>
          <w:b/>
          <w:sz w:val="18"/>
          <w:szCs w:val="18"/>
        </w:rPr>
      </w:pPr>
      <w:r>
        <w:rPr>
          <w:rFonts w:eastAsia="微软雅黑" w:cstheme="minorHAnsi"/>
          <w:b/>
          <w:sz w:val="18"/>
          <w:szCs w:val="18"/>
        </w:rPr>
        <w:t>Stability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0659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vAlign w:val="center"/>
          </w:tcPr>
          <w:p w14:paraId="23EE41A8">
            <w:pPr>
              <w:spacing w:after="240"/>
              <w:rPr>
                <w:rFonts w:eastAsia="微软雅黑" w:cstheme="minorHAnsi"/>
                <w:sz w:val="18"/>
                <w:szCs w:val="18"/>
              </w:rPr>
            </w:pPr>
            <w:r>
              <w:rPr>
                <w:rFonts w:eastAsia="微软雅黑" w:cstheme="minorHAnsi"/>
                <w:sz w:val="18"/>
                <w:szCs w:val="18"/>
              </w:rPr>
              <w:t xml:space="preserve">Annual stability: ± 0.2% </w:t>
            </w:r>
            <w:r>
              <w:rPr>
                <w:rFonts w:cstheme="minorHAnsi"/>
                <w:sz w:val="18"/>
                <w:szCs w:val="18"/>
              </w:rPr>
              <w:t>URL</w:t>
            </w:r>
            <w:r>
              <w:rPr>
                <w:rFonts w:eastAsia="微软雅黑" w:cstheme="minorHAnsi"/>
                <w:sz w:val="18"/>
                <w:szCs w:val="18"/>
              </w:rPr>
              <w:t xml:space="preserve"> /5 years</w:t>
            </w:r>
          </w:p>
        </w:tc>
      </w:tr>
    </w:tbl>
    <w:p w14:paraId="35781023">
      <w:pPr>
        <w:spacing w:after="240"/>
      </w:pPr>
    </w:p>
    <w:p w14:paraId="5A0FDA04">
      <w:pPr>
        <w:pStyle w:val="4"/>
        <w:spacing w:before="120" w:beforeLines="50" w:after="120" w:afterLines="50"/>
        <w:rPr>
          <w:rFonts w:asciiTheme="minorHAnsi" w:hAnsiTheme="minorHAnsi" w:cstheme="minorHAnsi"/>
        </w:rPr>
      </w:pPr>
      <w:bookmarkStart w:id="213" w:name="_Toc199429864"/>
      <w:r>
        <w:rPr>
          <w:rFonts w:asciiTheme="minorHAnsi" w:hAnsiTheme="minorHAnsi" w:cstheme="minorHAnsi"/>
        </w:rPr>
        <w:t>NCS-PT105IIM Absolute pressure transmitter performance index</w:t>
      </w:r>
      <w:bookmarkEnd w:id="213"/>
    </w:p>
    <w:p w14:paraId="2D2BBA59">
      <w:pPr>
        <w:numPr>
          <w:ilvl w:val="0"/>
          <w:numId w:val="28"/>
        </w:numPr>
        <w:spacing w:after="120" w:afterLines="50"/>
        <w:rPr>
          <w:rFonts w:cstheme="minorHAnsi"/>
          <w:b/>
        </w:rPr>
      </w:pPr>
      <w:r>
        <w:rPr>
          <w:rFonts w:cstheme="minorHAnsi"/>
          <w:b/>
        </w:rPr>
        <w:t>Range and range limit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3136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shd w:val="clear" w:color="auto" w:fill="BFBFBF"/>
            <w:vAlign w:val="center"/>
          </w:tcPr>
          <w:p w14:paraId="0198BB95">
            <w:pPr>
              <w:spacing w:after="240"/>
              <w:rPr>
                <w:rFonts w:cstheme="minorHAnsi"/>
                <w:sz w:val="18"/>
                <w:szCs w:val="18"/>
              </w:rPr>
            </w:pPr>
            <w:bookmarkStart w:id="214" w:name="_Hlk99174147"/>
            <w:r>
              <w:rPr>
                <w:rFonts w:cstheme="minorHAnsi"/>
                <w:sz w:val="18"/>
                <w:szCs w:val="18"/>
              </w:rPr>
              <w:t>Nominal range</w:t>
            </w:r>
          </w:p>
        </w:tc>
        <w:tc>
          <w:tcPr>
            <w:tcW w:w="1705" w:type="dxa"/>
            <w:shd w:val="clear" w:color="auto" w:fill="BFBFBF"/>
            <w:vAlign w:val="center"/>
          </w:tcPr>
          <w:p w14:paraId="5B60EF09">
            <w:pPr>
              <w:spacing w:after="240"/>
              <w:rPr>
                <w:rFonts w:cstheme="minorHAnsi"/>
                <w:sz w:val="18"/>
                <w:szCs w:val="18"/>
              </w:rPr>
            </w:pPr>
            <w:r>
              <w:rPr>
                <w:rFonts w:cstheme="minorHAnsi"/>
                <w:sz w:val="18"/>
                <w:szCs w:val="18"/>
              </w:rPr>
              <w:t>Range of measurement</w:t>
            </w:r>
          </w:p>
        </w:tc>
        <w:tc>
          <w:tcPr>
            <w:tcW w:w="1706" w:type="dxa"/>
            <w:shd w:val="clear" w:color="auto" w:fill="BFBFBF"/>
            <w:vAlign w:val="center"/>
          </w:tcPr>
          <w:p w14:paraId="30BF170B">
            <w:pPr>
              <w:spacing w:after="240"/>
              <w:rPr>
                <w:rFonts w:cstheme="minorHAnsi"/>
                <w:sz w:val="18"/>
                <w:szCs w:val="18"/>
              </w:rPr>
            </w:pPr>
            <w:r>
              <w:rPr>
                <w:rFonts w:cstheme="minorHAnsi"/>
                <w:sz w:val="18"/>
                <w:szCs w:val="18"/>
              </w:rPr>
              <w:t>Lower range limit</w:t>
            </w:r>
          </w:p>
        </w:tc>
        <w:tc>
          <w:tcPr>
            <w:tcW w:w="1706" w:type="dxa"/>
            <w:shd w:val="clear" w:color="auto" w:fill="BFBFBF"/>
            <w:vAlign w:val="center"/>
          </w:tcPr>
          <w:p w14:paraId="2DE3E015">
            <w:pPr>
              <w:spacing w:after="240"/>
              <w:rPr>
                <w:rFonts w:cstheme="minorHAnsi"/>
                <w:sz w:val="18"/>
                <w:szCs w:val="18"/>
              </w:rPr>
            </w:pPr>
            <w:r>
              <w:rPr>
                <w:rFonts w:cstheme="minorHAnsi"/>
                <w:sz w:val="18"/>
                <w:szCs w:val="18"/>
              </w:rPr>
              <w:t>Upper range limit</w:t>
            </w:r>
          </w:p>
        </w:tc>
        <w:tc>
          <w:tcPr>
            <w:tcW w:w="1706" w:type="dxa"/>
            <w:shd w:val="clear" w:color="auto" w:fill="BFBFBF"/>
            <w:vAlign w:val="center"/>
          </w:tcPr>
          <w:p w14:paraId="1A184C5D">
            <w:pPr>
              <w:spacing w:after="240"/>
              <w:rPr>
                <w:rFonts w:cstheme="minorHAnsi"/>
                <w:sz w:val="18"/>
                <w:szCs w:val="18"/>
              </w:rPr>
            </w:pPr>
            <w:r>
              <w:rPr>
                <w:rFonts w:cstheme="minorHAnsi"/>
                <w:sz w:val="18"/>
                <w:szCs w:val="18"/>
              </w:rPr>
              <w:t>Overload</w:t>
            </w:r>
          </w:p>
        </w:tc>
      </w:tr>
      <w:bookmarkEnd w:id="214"/>
      <w:tr w14:paraId="32C8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705" w:type="dxa"/>
            <w:vAlign w:val="center"/>
          </w:tcPr>
          <w:p w14:paraId="0BD79FFA">
            <w:pPr>
              <w:spacing w:after="240"/>
              <w:jc w:val="center"/>
              <w:rPr>
                <w:rFonts w:ascii="Calibri" w:hAnsi="Calibri" w:cs="Calibri"/>
                <w:sz w:val="18"/>
                <w:szCs w:val="18"/>
              </w:rPr>
            </w:pPr>
            <w:r>
              <w:rPr>
                <w:rFonts w:ascii="Calibri" w:hAnsi="Calibri" w:cs="Calibri"/>
                <w:sz w:val="18"/>
                <w:szCs w:val="18"/>
              </w:rPr>
              <w:t>40kPa</w:t>
            </w:r>
          </w:p>
        </w:tc>
        <w:tc>
          <w:tcPr>
            <w:tcW w:w="1705" w:type="dxa"/>
            <w:vAlign w:val="center"/>
          </w:tcPr>
          <w:p w14:paraId="6A20F53C">
            <w:pPr>
              <w:spacing w:after="240"/>
              <w:jc w:val="center"/>
              <w:rPr>
                <w:rFonts w:ascii="Calibri" w:hAnsi="Calibri" w:cs="Calibri"/>
                <w:sz w:val="18"/>
                <w:szCs w:val="18"/>
              </w:rPr>
            </w:pPr>
            <w:r>
              <w:rPr>
                <w:rFonts w:ascii="Calibri" w:hAnsi="Calibri" w:cs="Calibri"/>
                <w:sz w:val="18"/>
                <w:szCs w:val="18"/>
              </w:rPr>
              <w:t>20kPa</w:t>
            </w:r>
            <w:r>
              <w:rPr>
                <w:rFonts w:hint="eastAsia" w:asciiTheme="minorEastAsia" w:hAnsiTheme="minorEastAsia" w:cstheme="minorEastAsia"/>
                <w:sz w:val="18"/>
                <w:szCs w:val="18"/>
              </w:rPr>
              <w:t>~</w:t>
            </w:r>
            <w:r>
              <w:rPr>
                <w:rFonts w:ascii="Calibri" w:hAnsi="Calibri" w:cs="Calibri"/>
                <w:sz w:val="18"/>
                <w:szCs w:val="18"/>
              </w:rPr>
              <w:t>40kPa</w:t>
            </w:r>
          </w:p>
        </w:tc>
        <w:tc>
          <w:tcPr>
            <w:tcW w:w="1706" w:type="dxa"/>
            <w:vAlign w:val="center"/>
          </w:tcPr>
          <w:p w14:paraId="0D6D0093">
            <w:pPr>
              <w:spacing w:after="240"/>
              <w:jc w:val="center"/>
              <w:rPr>
                <w:rFonts w:ascii="Calibri" w:hAnsi="Calibri" w:cs="Calibri"/>
                <w:sz w:val="18"/>
                <w:szCs w:val="18"/>
              </w:rPr>
            </w:pPr>
            <w:r>
              <w:rPr>
                <w:rFonts w:ascii="Calibri" w:hAnsi="Calibri" w:cs="Calibri"/>
                <w:sz w:val="18"/>
                <w:szCs w:val="18"/>
              </w:rPr>
              <w:t>0kPa</w:t>
            </w:r>
          </w:p>
        </w:tc>
        <w:tc>
          <w:tcPr>
            <w:tcW w:w="1706" w:type="dxa"/>
            <w:vAlign w:val="center"/>
          </w:tcPr>
          <w:p w14:paraId="29BBD1F5">
            <w:pPr>
              <w:spacing w:after="240"/>
              <w:jc w:val="center"/>
              <w:rPr>
                <w:rFonts w:ascii="Calibri" w:hAnsi="Calibri" w:cs="Calibri"/>
                <w:sz w:val="18"/>
                <w:szCs w:val="18"/>
              </w:rPr>
            </w:pPr>
            <w:r>
              <w:rPr>
                <w:rFonts w:ascii="Calibri" w:hAnsi="Calibri" w:cs="Calibri"/>
                <w:sz w:val="18"/>
                <w:szCs w:val="18"/>
              </w:rPr>
              <w:t>40kPa</w:t>
            </w:r>
          </w:p>
        </w:tc>
        <w:tc>
          <w:tcPr>
            <w:tcW w:w="1706" w:type="dxa"/>
            <w:vAlign w:val="center"/>
          </w:tcPr>
          <w:p w14:paraId="25727394">
            <w:pPr>
              <w:spacing w:after="240"/>
              <w:jc w:val="center"/>
              <w:rPr>
                <w:rFonts w:ascii="Calibri" w:hAnsi="Calibri" w:cs="Calibri"/>
                <w:sz w:val="18"/>
                <w:szCs w:val="18"/>
              </w:rPr>
            </w:pPr>
            <w:r>
              <w:rPr>
                <w:rFonts w:ascii="Calibri" w:hAnsi="Calibri" w:cs="Calibri"/>
                <w:sz w:val="18"/>
                <w:szCs w:val="18"/>
              </w:rPr>
              <w:t>16MPa</w:t>
            </w:r>
          </w:p>
        </w:tc>
      </w:tr>
      <w:tr w14:paraId="19C6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5C1B2872">
            <w:pPr>
              <w:spacing w:after="240"/>
              <w:jc w:val="center"/>
              <w:rPr>
                <w:rFonts w:ascii="Calibri" w:hAnsi="Calibri" w:cs="Calibri"/>
                <w:sz w:val="18"/>
                <w:szCs w:val="18"/>
              </w:rPr>
            </w:pPr>
            <w:r>
              <w:rPr>
                <w:rFonts w:ascii="Calibri" w:hAnsi="Calibri" w:cs="Calibri"/>
                <w:sz w:val="18"/>
                <w:szCs w:val="18"/>
              </w:rPr>
              <w:t>250kPa</w:t>
            </w:r>
          </w:p>
        </w:tc>
        <w:tc>
          <w:tcPr>
            <w:tcW w:w="1705" w:type="dxa"/>
            <w:vAlign w:val="center"/>
          </w:tcPr>
          <w:p w14:paraId="18EB850B">
            <w:pPr>
              <w:spacing w:after="240"/>
              <w:jc w:val="center"/>
              <w:rPr>
                <w:rFonts w:ascii="Calibri" w:hAnsi="Calibri" w:cs="Calibri"/>
                <w:sz w:val="18"/>
                <w:szCs w:val="18"/>
              </w:rPr>
            </w:pPr>
            <w:r>
              <w:rPr>
                <w:rFonts w:ascii="Calibri" w:hAnsi="Calibri" w:cs="Calibri"/>
                <w:sz w:val="18"/>
                <w:szCs w:val="18"/>
              </w:rPr>
              <w:t>50kPa</w:t>
            </w:r>
            <w:r>
              <w:rPr>
                <w:rFonts w:hint="eastAsia" w:asciiTheme="minorEastAsia" w:hAnsiTheme="minorEastAsia" w:cstheme="minorEastAsia"/>
                <w:sz w:val="18"/>
                <w:szCs w:val="18"/>
              </w:rPr>
              <w:t>~</w:t>
            </w:r>
            <w:r>
              <w:rPr>
                <w:rFonts w:ascii="Calibri" w:hAnsi="Calibri" w:cs="Calibri"/>
                <w:sz w:val="18"/>
                <w:szCs w:val="18"/>
              </w:rPr>
              <w:t>250kPa</w:t>
            </w:r>
          </w:p>
        </w:tc>
        <w:tc>
          <w:tcPr>
            <w:tcW w:w="1706" w:type="dxa"/>
            <w:vAlign w:val="center"/>
          </w:tcPr>
          <w:p w14:paraId="1E5BB27E">
            <w:pPr>
              <w:spacing w:after="240"/>
              <w:jc w:val="center"/>
              <w:rPr>
                <w:rFonts w:ascii="Calibri" w:hAnsi="Calibri" w:cs="Calibri"/>
                <w:sz w:val="18"/>
                <w:szCs w:val="18"/>
              </w:rPr>
            </w:pPr>
            <w:r>
              <w:rPr>
                <w:rFonts w:ascii="Calibri" w:hAnsi="Calibri" w:cs="Calibri"/>
                <w:sz w:val="18"/>
                <w:szCs w:val="18"/>
              </w:rPr>
              <w:t>0kPa</w:t>
            </w:r>
          </w:p>
        </w:tc>
        <w:tc>
          <w:tcPr>
            <w:tcW w:w="1706" w:type="dxa"/>
            <w:vAlign w:val="center"/>
          </w:tcPr>
          <w:p w14:paraId="3EDB47CB">
            <w:pPr>
              <w:spacing w:after="240"/>
              <w:jc w:val="center"/>
              <w:rPr>
                <w:rFonts w:ascii="Calibri" w:hAnsi="Calibri" w:cs="Calibri"/>
                <w:sz w:val="18"/>
                <w:szCs w:val="18"/>
              </w:rPr>
            </w:pPr>
            <w:r>
              <w:rPr>
                <w:rFonts w:ascii="Calibri" w:hAnsi="Calibri" w:cs="Calibri"/>
                <w:sz w:val="18"/>
                <w:szCs w:val="18"/>
              </w:rPr>
              <w:t>250kPa</w:t>
            </w:r>
          </w:p>
        </w:tc>
        <w:tc>
          <w:tcPr>
            <w:tcW w:w="1706" w:type="dxa"/>
            <w:vAlign w:val="center"/>
          </w:tcPr>
          <w:p w14:paraId="7D5DFD2D">
            <w:pPr>
              <w:spacing w:after="240"/>
              <w:jc w:val="center"/>
              <w:rPr>
                <w:rFonts w:ascii="Calibri" w:hAnsi="Calibri" w:cs="Calibri"/>
                <w:sz w:val="18"/>
                <w:szCs w:val="18"/>
              </w:rPr>
            </w:pPr>
            <w:r>
              <w:rPr>
                <w:rFonts w:ascii="Calibri" w:hAnsi="Calibri" w:cs="Calibri"/>
                <w:sz w:val="18"/>
                <w:szCs w:val="18"/>
              </w:rPr>
              <w:t>16MPa</w:t>
            </w:r>
          </w:p>
        </w:tc>
      </w:tr>
      <w:tr w14:paraId="58EE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739B2F0A">
            <w:pPr>
              <w:spacing w:after="240"/>
              <w:jc w:val="center"/>
              <w:rPr>
                <w:rFonts w:ascii="Calibri" w:hAnsi="Calibri" w:cs="Calibri"/>
                <w:sz w:val="18"/>
                <w:szCs w:val="18"/>
              </w:rPr>
            </w:pPr>
            <w:r>
              <w:rPr>
                <w:rFonts w:ascii="Calibri" w:hAnsi="Calibri" w:cs="Calibri"/>
                <w:sz w:val="18"/>
                <w:szCs w:val="18"/>
              </w:rPr>
              <w:t>1MPa</w:t>
            </w:r>
          </w:p>
        </w:tc>
        <w:tc>
          <w:tcPr>
            <w:tcW w:w="1705" w:type="dxa"/>
            <w:vAlign w:val="center"/>
          </w:tcPr>
          <w:p w14:paraId="236879E3">
            <w:pPr>
              <w:spacing w:after="240"/>
              <w:jc w:val="center"/>
              <w:rPr>
                <w:rFonts w:ascii="Calibri" w:hAnsi="Calibri" w:cs="Calibri"/>
                <w:sz w:val="18"/>
                <w:szCs w:val="18"/>
              </w:rPr>
            </w:pPr>
            <w:r>
              <w:rPr>
                <w:rFonts w:ascii="Calibri" w:hAnsi="Calibri" w:cs="Calibri"/>
                <w:sz w:val="18"/>
                <w:szCs w:val="18"/>
              </w:rPr>
              <w:t>200kPa</w:t>
            </w:r>
            <w:r>
              <w:rPr>
                <w:rFonts w:hint="eastAsia" w:asciiTheme="minorEastAsia" w:hAnsiTheme="minorEastAsia" w:cstheme="minorEastAsia"/>
                <w:sz w:val="18"/>
                <w:szCs w:val="18"/>
              </w:rPr>
              <w:t>~</w:t>
            </w:r>
            <w:r>
              <w:rPr>
                <w:rFonts w:ascii="Calibri" w:hAnsi="Calibri" w:cs="Calibri"/>
                <w:sz w:val="18"/>
                <w:szCs w:val="18"/>
              </w:rPr>
              <w:t>1MPa</w:t>
            </w:r>
          </w:p>
        </w:tc>
        <w:tc>
          <w:tcPr>
            <w:tcW w:w="1706" w:type="dxa"/>
            <w:vAlign w:val="center"/>
          </w:tcPr>
          <w:p w14:paraId="7A18B8A0">
            <w:pPr>
              <w:spacing w:after="240"/>
              <w:jc w:val="center"/>
              <w:rPr>
                <w:rFonts w:ascii="Calibri" w:hAnsi="Calibri" w:cs="Calibri"/>
                <w:sz w:val="18"/>
                <w:szCs w:val="18"/>
              </w:rPr>
            </w:pPr>
            <w:r>
              <w:rPr>
                <w:rFonts w:ascii="Calibri" w:hAnsi="Calibri" w:cs="Calibri"/>
                <w:sz w:val="18"/>
                <w:szCs w:val="18"/>
              </w:rPr>
              <w:t>0kPa</w:t>
            </w:r>
          </w:p>
        </w:tc>
        <w:tc>
          <w:tcPr>
            <w:tcW w:w="1706" w:type="dxa"/>
            <w:vAlign w:val="center"/>
          </w:tcPr>
          <w:p w14:paraId="216FD70D">
            <w:pPr>
              <w:spacing w:after="240"/>
              <w:jc w:val="center"/>
              <w:rPr>
                <w:rFonts w:ascii="Calibri" w:hAnsi="Calibri" w:cs="Calibri"/>
                <w:sz w:val="18"/>
                <w:szCs w:val="18"/>
              </w:rPr>
            </w:pPr>
            <w:r>
              <w:rPr>
                <w:rFonts w:ascii="Calibri" w:hAnsi="Calibri" w:cs="Calibri"/>
                <w:sz w:val="18"/>
                <w:szCs w:val="18"/>
              </w:rPr>
              <w:t>1MPa</w:t>
            </w:r>
          </w:p>
        </w:tc>
        <w:tc>
          <w:tcPr>
            <w:tcW w:w="1706" w:type="dxa"/>
            <w:vAlign w:val="center"/>
          </w:tcPr>
          <w:p w14:paraId="5A99CA30">
            <w:pPr>
              <w:spacing w:after="240"/>
              <w:jc w:val="center"/>
              <w:rPr>
                <w:rFonts w:ascii="Calibri" w:hAnsi="Calibri" w:cs="Calibri"/>
                <w:sz w:val="18"/>
                <w:szCs w:val="18"/>
              </w:rPr>
            </w:pPr>
            <w:r>
              <w:rPr>
                <w:rFonts w:ascii="Calibri" w:hAnsi="Calibri" w:cs="Calibri"/>
                <w:sz w:val="18"/>
                <w:szCs w:val="18"/>
              </w:rPr>
              <w:t>16MPa</w:t>
            </w:r>
          </w:p>
        </w:tc>
      </w:tr>
      <w:tr w14:paraId="2F04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513E87CC">
            <w:pPr>
              <w:spacing w:after="240"/>
              <w:jc w:val="center"/>
              <w:rPr>
                <w:rFonts w:ascii="Calibri" w:hAnsi="Calibri" w:cs="Calibri"/>
                <w:sz w:val="18"/>
                <w:szCs w:val="18"/>
              </w:rPr>
            </w:pPr>
            <w:r>
              <w:rPr>
                <w:rFonts w:ascii="Calibri" w:hAnsi="Calibri" w:cs="Calibri"/>
                <w:sz w:val="18"/>
                <w:szCs w:val="18"/>
              </w:rPr>
              <w:t>10MPa</w:t>
            </w:r>
          </w:p>
        </w:tc>
        <w:tc>
          <w:tcPr>
            <w:tcW w:w="1705" w:type="dxa"/>
            <w:vAlign w:val="center"/>
          </w:tcPr>
          <w:p w14:paraId="66EC71ED">
            <w:pPr>
              <w:spacing w:after="240"/>
              <w:jc w:val="center"/>
              <w:rPr>
                <w:rFonts w:ascii="Calibri" w:hAnsi="Calibri" w:cs="Calibri"/>
                <w:sz w:val="18"/>
                <w:szCs w:val="18"/>
              </w:rPr>
            </w:pPr>
            <w:r>
              <w:rPr>
                <w:rFonts w:ascii="Calibri" w:hAnsi="Calibri" w:cs="Calibri"/>
                <w:sz w:val="18"/>
                <w:szCs w:val="18"/>
              </w:rPr>
              <w:t>1Mpa</w:t>
            </w:r>
            <w:r>
              <w:rPr>
                <w:rFonts w:hint="eastAsia" w:asciiTheme="minorEastAsia" w:hAnsiTheme="minorEastAsia" w:cstheme="minorEastAsia"/>
                <w:sz w:val="18"/>
                <w:szCs w:val="18"/>
              </w:rPr>
              <w:t>~</w:t>
            </w:r>
            <w:r>
              <w:rPr>
                <w:rFonts w:ascii="Calibri" w:hAnsi="Calibri" w:cs="Calibri"/>
                <w:sz w:val="18"/>
                <w:szCs w:val="18"/>
              </w:rPr>
              <w:t>10MPa</w:t>
            </w:r>
          </w:p>
        </w:tc>
        <w:tc>
          <w:tcPr>
            <w:tcW w:w="1706" w:type="dxa"/>
            <w:vAlign w:val="center"/>
          </w:tcPr>
          <w:p w14:paraId="17DB829E">
            <w:pPr>
              <w:spacing w:after="240"/>
              <w:jc w:val="center"/>
              <w:rPr>
                <w:rFonts w:ascii="Calibri" w:hAnsi="Calibri" w:cs="Calibri"/>
                <w:sz w:val="18"/>
                <w:szCs w:val="18"/>
              </w:rPr>
            </w:pPr>
            <w:r>
              <w:rPr>
                <w:rFonts w:ascii="Calibri" w:hAnsi="Calibri" w:cs="Calibri"/>
                <w:sz w:val="18"/>
                <w:szCs w:val="18"/>
              </w:rPr>
              <w:t>0kPa</w:t>
            </w:r>
          </w:p>
        </w:tc>
        <w:tc>
          <w:tcPr>
            <w:tcW w:w="1706" w:type="dxa"/>
            <w:vAlign w:val="center"/>
          </w:tcPr>
          <w:p w14:paraId="5B2EA1FE">
            <w:pPr>
              <w:spacing w:after="240"/>
              <w:jc w:val="center"/>
              <w:rPr>
                <w:rFonts w:ascii="Calibri" w:hAnsi="Calibri" w:cs="Calibri"/>
                <w:sz w:val="18"/>
                <w:szCs w:val="18"/>
              </w:rPr>
            </w:pPr>
            <w:r>
              <w:rPr>
                <w:rFonts w:ascii="Calibri" w:hAnsi="Calibri" w:cs="Calibri"/>
                <w:sz w:val="18"/>
                <w:szCs w:val="18"/>
              </w:rPr>
              <w:t>10MPa</w:t>
            </w:r>
          </w:p>
        </w:tc>
        <w:tc>
          <w:tcPr>
            <w:tcW w:w="1706" w:type="dxa"/>
            <w:vAlign w:val="center"/>
          </w:tcPr>
          <w:p w14:paraId="270968C3">
            <w:pPr>
              <w:spacing w:after="240"/>
              <w:jc w:val="center"/>
              <w:rPr>
                <w:rFonts w:ascii="Calibri" w:hAnsi="Calibri" w:cs="Calibri"/>
                <w:sz w:val="18"/>
                <w:szCs w:val="18"/>
              </w:rPr>
            </w:pPr>
            <w:r>
              <w:rPr>
                <w:rFonts w:ascii="Calibri" w:hAnsi="Calibri" w:cs="Calibri"/>
                <w:sz w:val="18"/>
                <w:szCs w:val="18"/>
              </w:rPr>
              <w:t>20MPa</w:t>
            </w:r>
          </w:p>
        </w:tc>
      </w:tr>
      <w:tr w14:paraId="1B60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6707053C">
            <w:pPr>
              <w:spacing w:after="240"/>
              <w:jc w:val="center"/>
              <w:rPr>
                <w:rFonts w:ascii="Calibri" w:hAnsi="Calibri" w:cs="Calibri"/>
                <w:sz w:val="18"/>
                <w:szCs w:val="18"/>
              </w:rPr>
            </w:pPr>
            <w:r>
              <w:rPr>
                <w:rFonts w:hint="eastAsia" w:ascii="Calibri" w:hAnsi="Calibri" w:cs="Calibri"/>
                <w:sz w:val="18"/>
                <w:szCs w:val="18"/>
              </w:rPr>
              <w:t>40MPa</w:t>
            </w:r>
          </w:p>
        </w:tc>
        <w:tc>
          <w:tcPr>
            <w:tcW w:w="1705" w:type="dxa"/>
            <w:vAlign w:val="center"/>
          </w:tcPr>
          <w:p w14:paraId="1360CBA1">
            <w:pPr>
              <w:spacing w:after="240"/>
              <w:jc w:val="center"/>
              <w:rPr>
                <w:rFonts w:ascii="Calibri" w:hAnsi="Calibri" w:cs="Calibri"/>
                <w:sz w:val="18"/>
                <w:szCs w:val="18"/>
              </w:rPr>
            </w:pPr>
            <w:r>
              <w:rPr>
                <w:rFonts w:hint="eastAsia" w:ascii="Calibri" w:hAnsi="Calibri" w:cs="Calibri"/>
                <w:sz w:val="18"/>
                <w:szCs w:val="18"/>
              </w:rPr>
              <w:t>4MPa</w:t>
            </w:r>
            <w:r>
              <w:rPr>
                <w:rFonts w:hint="eastAsia" w:asciiTheme="minorEastAsia" w:hAnsiTheme="minorEastAsia" w:cstheme="minorEastAsia"/>
                <w:sz w:val="18"/>
                <w:szCs w:val="18"/>
              </w:rPr>
              <w:t>~</w:t>
            </w:r>
            <w:r>
              <w:rPr>
                <w:rFonts w:hint="eastAsia" w:ascii="Calibri" w:hAnsi="Calibri" w:cs="Calibri"/>
                <w:sz w:val="18"/>
                <w:szCs w:val="18"/>
              </w:rPr>
              <w:t>40MPa</w:t>
            </w:r>
          </w:p>
        </w:tc>
        <w:tc>
          <w:tcPr>
            <w:tcW w:w="1706" w:type="dxa"/>
            <w:vAlign w:val="center"/>
          </w:tcPr>
          <w:p w14:paraId="0370AA7F">
            <w:pPr>
              <w:spacing w:after="240"/>
              <w:jc w:val="center"/>
              <w:rPr>
                <w:rFonts w:ascii="Calibri" w:hAnsi="Calibri" w:cs="Calibri"/>
                <w:sz w:val="18"/>
                <w:szCs w:val="18"/>
              </w:rPr>
            </w:pPr>
            <w:r>
              <w:rPr>
                <w:rFonts w:hint="eastAsia" w:ascii="Calibri" w:hAnsi="Calibri" w:cs="Calibri"/>
                <w:sz w:val="18"/>
                <w:szCs w:val="18"/>
              </w:rPr>
              <w:t>0</w:t>
            </w:r>
            <w:r>
              <w:rPr>
                <w:rFonts w:ascii="Calibri" w:hAnsi="Calibri" w:cs="Calibri"/>
                <w:sz w:val="18"/>
                <w:szCs w:val="18"/>
              </w:rPr>
              <w:t>KPa</w:t>
            </w:r>
          </w:p>
        </w:tc>
        <w:tc>
          <w:tcPr>
            <w:tcW w:w="1706" w:type="dxa"/>
            <w:vAlign w:val="center"/>
          </w:tcPr>
          <w:p w14:paraId="144976CC">
            <w:pPr>
              <w:spacing w:after="240"/>
              <w:jc w:val="center"/>
              <w:rPr>
                <w:rFonts w:ascii="Calibri" w:hAnsi="Calibri" w:cs="Calibri"/>
                <w:sz w:val="18"/>
                <w:szCs w:val="18"/>
              </w:rPr>
            </w:pPr>
            <w:r>
              <w:rPr>
                <w:rFonts w:ascii="Calibri" w:hAnsi="Calibri" w:cs="Calibri"/>
                <w:sz w:val="18"/>
                <w:szCs w:val="18"/>
              </w:rPr>
              <w:t>40MPa</w:t>
            </w:r>
          </w:p>
        </w:tc>
        <w:tc>
          <w:tcPr>
            <w:tcW w:w="1706" w:type="dxa"/>
            <w:vAlign w:val="center"/>
          </w:tcPr>
          <w:p w14:paraId="615F2D79">
            <w:pPr>
              <w:spacing w:after="240"/>
              <w:jc w:val="center"/>
              <w:rPr>
                <w:rFonts w:ascii="Calibri" w:hAnsi="Calibri" w:cs="Calibri"/>
                <w:sz w:val="18"/>
                <w:szCs w:val="18"/>
              </w:rPr>
            </w:pPr>
            <w:r>
              <w:rPr>
                <w:rFonts w:ascii="Calibri" w:hAnsi="Calibri" w:cs="Calibri"/>
                <w:sz w:val="18"/>
                <w:szCs w:val="18"/>
              </w:rPr>
              <w:t>80MPa</w:t>
            </w:r>
          </w:p>
        </w:tc>
      </w:tr>
      <w:tr w14:paraId="20D1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5"/>
          </w:tcPr>
          <w:p w14:paraId="5E05D537">
            <w:pPr>
              <w:spacing w:after="240"/>
              <w:rPr>
                <w:rFonts w:cstheme="minorHAnsi"/>
                <w:sz w:val="18"/>
                <w:szCs w:val="18"/>
              </w:rPr>
            </w:pPr>
            <w:r>
              <w:rPr>
                <w:rFonts w:cstheme="minorHAnsi"/>
                <w:sz w:val="18"/>
                <w:szCs w:val="18"/>
              </w:rPr>
              <w:t>Set the high and low limit requirements：The low and high limit values are taken within the upper range.  When URV-LRV ≥ minimum range</w:t>
            </w:r>
          </w:p>
        </w:tc>
      </w:tr>
      <w:tr w14:paraId="7B40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5"/>
          </w:tcPr>
          <w:p w14:paraId="1F00C2DE">
            <w:pPr>
              <w:spacing w:after="240"/>
              <w:rPr>
                <w:rFonts w:cstheme="minorHAnsi"/>
                <w:sz w:val="18"/>
                <w:szCs w:val="18"/>
              </w:rPr>
            </w:pPr>
            <w:r>
              <w:rPr>
                <w:rFonts w:cstheme="minorHAnsi"/>
                <w:sz w:val="18"/>
                <w:szCs w:val="18"/>
              </w:rPr>
              <w:t>Overpressure limit value: It depends on the pressure value of the weakest part with the pressure bearing capacity. This overload pressure is the maximum pressure that the sensor can bear, not the maximum pressure that the product itself can bear.</w:t>
            </w:r>
          </w:p>
        </w:tc>
      </w:tr>
    </w:tbl>
    <w:p w14:paraId="76A87648">
      <w:pPr>
        <w:pStyle w:val="61"/>
        <w:numPr>
          <w:ilvl w:val="0"/>
          <w:numId w:val="28"/>
        </w:numPr>
        <w:spacing w:after="240"/>
        <w:ind w:firstLineChars="0"/>
        <w:rPr>
          <w:rFonts w:cstheme="minorHAnsi"/>
          <w:b/>
        </w:rPr>
      </w:pPr>
      <w:r>
        <w:rPr>
          <w:rFonts w:cstheme="minorHAnsi"/>
          <w:b/>
        </w:rPr>
        <w:t>Reference accuracy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5981"/>
      </w:tblGrid>
      <w:tr w14:paraId="4044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37CE8CA3">
            <w:pPr>
              <w:spacing w:after="240"/>
              <w:rPr>
                <w:rFonts w:cstheme="minorHAnsi"/>
                <w:sz w:val="18"/>
                <w:szCs w:val="18"/>
              </w:rPr>
            </w:pPr>
            <w:r>
              <w:rPr>
                <w:rFonts w:cstheme="minorHAnsi"/>
                <w:sz w:val="18"/>
                <w:szCs w:val="18"/>
              </w:rPr>
              <w:t>Range</w:t>
            </w:r>
          </w:p>
        </w:tc>
        <w:tc>
          <w:tcPr>
            <w:tcW w:w="5981" w:type="dxa"/>
          </w:tcPr>
          <w:p w14:paraId="09F61306">
            <w:pPr>
              <w:spacing w:after="240"/>
              <w:rPr>
                <w:rFonts w:cstheme="minorHAnsi"/>
                <w:sz w:val="18"/>
                <w:szCs w:val="18"/>
              </w:rPr>
            </w:pPr>
            <w:r>
              <w:rPr>
                <w:rFonts w:cstheme="minorHAnsi"/>
                <w:sz w:val="18"/>
                <w:szCs w:val="18"/>
              </w:rPr>
              <w:t>Reference accuracy (including linearity, hysteresis, and repeatability)</w:t>
            </w:r>
          </w:p>
        </w:tc>
      </w:tr>
      <w:tr w14:paraId="3400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1E8CE444">
            <w:pPr>
              <w:spacing w:before="120" w:beforeLines="50" w:after="120" w:afterLines="50"/>
              <w:rPr>
                <w:rFonts w:ascii="Calibri" w:hAnsi="Calibri" w:cs="Calibri"/>
                <w:sz w:val="18"/>
                <w:szCs w:val="18"/>
              </w:rPr>
            </w:pPr>
            <w:r>
              <w:rPr>
                <w:rFonts w:hint="eastAsia" w:ascii="Calibri" w:hAnsi="Calibri" w:cs="Calibri"/>
                <w:sz w:val="18"/>
                <w:szCs w:val="18"/>
              </w:rPr>
              <w:t>250kPa、1MPa、</w:t>
            </w:r>
            <w:r>
              <w:rPr>
                <w:rFonts w:ascii="Calibri" w:hAnsi="Calibri" w:cs="Calibri"/>
                <w:sz w:val="18"/>
                <w:szCs w:val="18"/>
              </w:rPr>
              <w:t>10</w:t>
            </w:r>
            <w:r>
              <w:rPr>
                <w:rFonts w:hint="eastAsia" w:ascii="Calibri" w:hAnsi="Calibri" w:cs="Calibri"/>
                <w:sz w:val="18"/>
                <w:szCs w:val="18"/>
              </w:rPr>
              <w:t>MPa、</w:t>
            </w:r>
            <w:r>
              <w:rPr>
                <w:rFonts w:ascii="Calibri" w:hAnsi="Calibri" w:cs="Calibri"/>
                <w:sz w:val="18"/>
                <w:szCs w:val="18"/>
              </w:rPr>
              <w:t>4</w:t>
            </w:r>
            <w:r>
              <w:rPr>
                <w:rFonts w:hint="eastAsia" w:ascii="Calibri" w:hAnsi="Calibri" w:cs="Calibri"/>
                <w:sz w:val="18"/>
                <w:szCs w:val="18"/>
              </w:rPr>
              <w:t>0MPa</w:t>
            </w:r>
          </w:p>
        </w:tc>
        <w:tc>
          <w:tcPr>
            <w:tcW w:w="5981" w:type="dxa"/>
          </w:tcPr>
          <w:p w14:paraId="1E1DCF7C">
            <w:pPr>
              <w:spacing w:after="240"/>
              <w:rPr>
                <w:rFonts w:cstheme="minorHAnsi"/>
                <w:sz w:val="18"/>
                <w:szCs w:val="18"/>
              </w:rPr>
            </w:pPr>
            <w:r>
              <w:rPr>
                <w:rFonts w:cstheme="minorHAnsi"/>
                <w:sz w:val="18"/>
                <w:szCs w:val="18"/>
              </w:rPr>
              <w:t>±0.075%SPAN</w:t>
            </w:r>
          </w:p>
          <w:p w14:paraId="78AD8629">
            <w:pPr>
              <w:spacing w:after="240"/>
              <w:rPr>
                <w:rFonts w:cstheme="minorHAnsi"/>
                <w:sz w:val="18"/>
                <w:szCs w:val="18"/>
              </w:rPr>
            </w:pPr>
            <w:r>
              <w:rPr>
                <w:rFonts w:cstheme="minorHAnsi"/>
                <w:sz w:val="18"/>
                <w:szCs w:val="18"/>
              </w:rPr>
              <w:t>For ranges less than 5:1, accuracy: ± (0.015 * TD)% * SPAN</w:t>
            </w:r>
          </w:p>
        </w:tc>
      </w:tr>
      <w:tr w14:paraId="207A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1C453390">
            <w:pPr>
              <w:spacing w:before="120" w:beforeLines="50" w:after="120" w:afterLines="50"/>
              <w:rPr>
                <w:rFonts w:ascii="Calibri" w:hAnsi="Calibri" w:cs="Calibri"/>
                <w:sz w:val="18"/>
                <w:szCs w:val="18"/>
              </w:rPr>
            </w:pPr>
            <w:r>
              <w:rPr>
                <w:rFonts w:hint="eastAsia" w:ascii="Calibri" w:hAnsi="Calibri" w:cs="Calibri"/>
                <w:sz w:val="18"/>
                <w:szCs w:val="18"/>
              </w:rPr>
              <w:t>40kPa</w:t>
            </w:r>
          </w:p>
        </w:tc>
        <w:tc>
          <w:tcPr>
            <w:tcW w:w="5981" w:type="dxa"/>
          </w:tcPr>
          <w:p w14:paraId="25D7D203">
            <w:pPr>
              <w:spacing w:after="240"/>
              <w:rPr>
                <w:rFonts w:cstheme="minorHAnsi"/>
                <w:sz w:val="18"/>
                <w:szCs w:val="18"/>
              </w:rPr>
            </w:pPr>
            <w:r>
              <w:rPr>
                <w:rFonts w:cstheme="minorHAnsi"/>
                <w:sz w:val="18"/>
                <w:szCs w:val="18"/>
              </w:rPr>
              <w:t>±0.075%SPAN</w:t>
            </w:r>
          </w:p>
          <w:p w14:paraId="63A0877E">
            <w:pPr>
              <w:spacing w:after="240"/>
              <w:rPr>
                <w:rFonts w:cstheme="minorHAnsi"/>
                <w:sz w:val="18"/>
                <w:szCs w:val="18"/>
              </w:rPr>
            </w:pPr>
            <w:r>
              <w:rPr>
                <w:rFonts w:cstheme="minorHAnsi"/>
                <w:sz w:val="18"/>
                <w:szCs w:val="18"/>
              </w:rPr>
              <w:t>For ranges less than 2:1, accuracy:</w:t>
            </w:r>
            <w:r>
              <w:rPr>
                <w:rFonts w:hint="eastAsia" w:ascii="Calibri" w:hAnsi="Calibri" w:cs="Calibri"/>
                <w:sz w:val="18"/>
                <w:szCs w:val="18"/>
              </w:rPr>
              <w:t>±(0.0</w:t>
            </w:r>
            <w:r>
              <w:rPr>
                <w:rFonts w:ascii="Calibri" w:hAnsi="Calibri" w:cs="Calibri"/>
                <w:sz w:val="18"/>
                <w:szCs w:val="18"/>
              </w:rPr>
              <w:t>375</w:t>
            </w:r>
            <w:r>
              <w:rPr>
                <w:rFonts w:hint="eastAsia" w:ascii="Calibri" w:hAnsi="Calibri" w:cs="Calibri"/>
                <w:sz w:val="18"/>
                <w:szCs w:val="18"/>
              </w:rPr>
              <w:t>*TD)%*SPAN</w:t>
            </w:r>
          </w:p>
        </w:tc>
      </w:tr>
      <w:tr w14:paraId="24FB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2"/>
          </w:tcPr>
          <w:p w14:paraId="23418E44">
            <w:pPr>
              <w:spacing w:after="240"/>
              <w:rPr>
                <w:rFonts w:cstheme="minorHAnsi"/>
                <w:sz w:val="18"/>
                <w:szCs w:val="18"/>
              </w:rPr>
            </w:pPr>
            <w:r>
              <w:rPr>
                <w:rFonts w:cstheme="minorHAnsi"/>
                <w:sz w:val="18"/>
                <w:szCs w:val="18"/>
              </w:rPr>
              <w:t>The square root output accuracy is 1.5 times that of the above linear reference accuracy</w:t>
            </w:r>
          </w:p>
        </w:tc>
      </w:tr>
      <w:tr w14:paraId="4312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2"/>
          </w:tcPr>
          <w:p w14:paraId="627BFAFD">
            <w:pPr>
              <w:spacing w:after="240"/>
              <w:rPr>
                <w:rFonts w:cstheme="minorHAnsi"/>
                <w:sz w:val="18"/>
                <w:szCs w:val="18"/>
              </w:rPr>
            </w:pPr>
            <w:r>
              <w:rPr>
                <w:rFonts w:cstheme="minorHAnsi"/>
                <w:sz w:val="18"/>
                <w:szCs w:val="18"/>
              </w:rPr>
              <w:t>Note 1, TD (Turn down) is the range ratio, when | URV | ≥ | LRV |, TD=URL/ | LRV |</w:t>
            </w:r>
          </w:p>
          <w:p w14:paraId="4958A09D">
            <w:pPr>
              <w:spacing w:after="240"/>
              <w:rPr>
                <w:rFonts w:cstheme="minorHAnsi"/>
                <w:sz w:val="18"/>
                <w:szCs w:val="18"/>
              </w:rPr>
            </w:pPr>
            <w:r>
              <w:rPr>
                <w:rFonts w:cstheme="minorHAnsi"/>
                <w:sz w:val="18"/>
                <w:szCs w:val="18"/>
              </w:rPr>
              <w:t>When | URV | ≤ | LRV |, TD=URL/ | LRV |</w:t>
            </w:r>
          </w:p>
          <w:p w14:paraId="681685AB">
            <w:pPr>
              <w:spacing w:after="240"/>
              <w:rPr>
                <w:rFonts w:cstheme="minorHAnsi"/>
                <w:sz w:val="18"/>
                <w:szCs w:val="18"/>
              </w:rPr>
            </w:pPr>
            <w:r>
              <w:rPr>
                <w:rFonts w:cstheme="minorHAnsi"/>
                <w:sz w:val="18"/>
                <w:szCs w:val="18"/>
              </w:rPr>
              <w:t>Note 2: SPAN refers to range difference: SPAN=|URV-LRV|</w:t>
            </w:r>
          </w:p>
        </w:tc>
      </w:tr>
    </w:tbl>
    <w:p w14:paraId="455F95C0">
      <w:pPr>
        <w:numPr>
          <w:ilvl w:val="0"/>
          <w:numId w:val="28"/>
        </w:numPr>
        <w:spacing w:before="120" w:beforeLines="50" w:after="120" w:afterLines="50"/>
        <w:rPr>
          <w:rFonts w:cstheme="minorHAnsi"/>
          <w:b/>
        </w:rPr>
      </w:pPr>
      <w:r>
        <w:rPr>
          <w:rFonts w:eastAsia="微软雅黑" w:cstheme="minorHAnsi"/>
          <w:b/>
          <w:sz w:val="18"/>
          <w:szCs w:val="18"/>
        </w:rPr>
        <w:t>Ambient temperature impact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2A6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4" w:type="dxa"/>
            <w:vAlign w:val="center"/>
          </w:tcPr>
          <w:p w14:paraId="7F00CCF3">
            <w:pPr>
              <w:spacing w:after="240"/>
              <w:rPr>
                <w:rFonts w:cstheme="minorHAnsi"/>
                <w:b/>
                <w:sz w:val="18"/>
                <w:szCs w:val="18"/>
              </w:rPr>
            </w:pPr>
            <w:r>
              <w:rPr>
                <w:rFonts w:eastAsia="微软雅黑" w:cstheme="minorHAnsi"/>
                <w:sz w:val="18"/>
                <w:szCs w:val="18"/>
              </w:rPr>
              <w:t>Total impact for every 10</w:t>
            </w:r>
            <w:r>
              <w:rPr>
                <w:rFonts w:ascii="Cambria Math" w:hAnsi="Cambria Math" w:cs="Cambria Math"/>
                <w:sz w:val="18"/>
                <w:szCs w:val="18"/>
              </w:rPr>
              <w:t>℃</w:t>
            </w:r>
            <w:r>
              <w:rPr>
                <w:rFonts w:eastAsia="微软雅黑" w:cstheme="minorHAnsi"/>
                <w:sz w:val="18"/>
                <w:szCs w:val="18"/>
              </w:rPr>
              <w:t xml:space="preserve"> within the-40-85</w:t>
            </w:r>
            <w:r>
              <w:rPr>
                <w:rFonts w:ascii="Cambria Math" w:hAnsi="Cambria Math" w:cs="Cambria Math"/>
                <w:sz w:val="18"/>
                <w:szCs w:val="18"/>
              </w:rPr>
              <w:t>℃</w:t>
            </w:r>
            <w:r>
              <w:rPr>
                <w:rFonts w:eastAsia="微软雅黑" w:cstheme="minorHAnsi"/>
                <w:sz w:val="18"/>
                <w:szCs w:val="18"/>
              </w:rPr>
              <w:t xml:space="preserve"> range</w:t>
            </w:r>
          </w:p>
        </w:tc>
        <w:tc>
          <w:tcPr>
            <w:tcW w:w="4264" w:type="dxa"/>
            <w:vAlign w:val="center"/>
          </w:tcPr>
          <w:p w14:paraId="5CC37D30">
            <w:pPr>
              <w:spacing w:after="240"/>
              <w:rPr>
                <w:rFonts w:cstheme="minorHAnsi"/>
                <w:b/>
                <w:sz w:val="18"/>
                <w:szCs w:val="18"/>
              </w:rPr>
            </w:pPr>
            <w:r>
              <w:rPr>
                <w:rFonts w:ascii="Calibri" w:hAnsi="Calibri" w:cs="Calibri"/>
                <w:sz w:val="18"/>
                <w:szCs w:val="18"/>
              </w:rPr>
              <w:t>±0.075%URL</w:t>
            </w:r>
          </w:p>
        </w:tc>
      </w:tr>
    </w:tbl>
    <w:p w14:paraId="584E87E0">
      <w:pPr>
        <w:numPr>
          <w:ilvl w:val="0"/>
          <w:numId w:val="28"/>
        </w:numPr>
        <w:spacing w:before="120" w:beforeLines="50" w:after="120" w:afterLines="50"/>
        <w:rPr>
          <w:rFonts w:cstheme="minorHAnsi"/>
          <w:b/>
        </w:rPr>
      </w:pPr>
      <w:r>
        <w:rPr>
          <w:rFonts w:eastAsia="微软雅黑" w:cstheme="minorHAnsi"/>
          <w:b/>
          <w:sz w:val="18"/>
          <w:szCs w:val="18"/>
        </w:rPr>
        <w:t>Power supply influence</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6954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8" w:type="dxa"/>
          </w:tcPr>
          <w:p w14:paraId="57BF84C0">
            <w:pPr>
              <w:spacing w:after="240"/>
              <w:rPr>
                <w:rFonts w:cstheme="minorHAnsi"/>
                <w:sz w:val="18"/>
                <w:szCs w:val="18"/>
              </w:rPr>
            </w:pPr>
            <w:r>
              <w:rPr>
                <w:rFonts w:eastAsia="微软雅黑" w:cstheme="minorHAnsi"/>
                <w:sz w:val="18"/>
                <w:szCs w:val="18"/>
              </w:rPr>
              <w:t>The zero and range changes shall not exceed the ± 0.005% upper range limit / V</w:t>
            </w:r>
          </w:p>
        </w:tc>
      </w:tr>
    </w:tbl>
    <w:p w14:paraId="6CD437D8">
      <w:pPr>
        <w:numPr>
          <w:ilvl w:val="0"/>
          <w:numId w:val="28"/>
        </w:numPr>
        <w:spacing w:before="240" w:after="240"/>
        <w:rPr>
          <w:rFonts w:eastAsia="微软雅黑" w:cstheme="minorHAnsi"/>
          <w:b/>
          <w:sz w:val="18"/>
          <w:szCs w:val="18"/>
        </w:rPr>
      </w:pPr>
      <w:r>
        <w:rPr>
          <w:rFonts w:eastAsia="微软雅黑" w:cstheme="minorHAnsi"/>
          <w:b/>
          <w:sz w:val="18"/>
          <w:szCs w:val="18"/>
        </w:rPr>
        <w:t>Stability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5C77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vAlign w:val="center"/>
          </w:tcPr>
          <w:p w14:paraId="246F4A03">
            <w:pPr>
              <w:spacing w:after="240"/>
              <w:rPr>
                <w:rFonts w:eastAsia="微软雅黑" w:cstheme="minorHAnsi"/>
                <w:sz w:val="18"/>
                <w:szCs w:val="18"/>
              </w:rPr>
            </w:pPr>
            <w:r>
              <w:rPr>
                <w:rFonts w:eastAsia="微软雅黑" w:cstheme="minorHAnsi"/>
                <w:sz w:val="18"/>
                <w:szCs w:val="18"/>
              </w:rPr>
              <w:t xml:space="preserve">Annual stability: ± 0.2% </w:t>
            </w:r>
            <w:r>
              <w:rPr>
                <w:rFonts w:cstheme="minorHAnsi"/>
                <w:sz w:val="18"/>
                <w:szCs w:val="18"/>
              </w:rPr>
              <w:t>URL</w:t>
            </w:r>
            <w:r>
              <w:rPr>
                <w:rFonts w:eastAsia="微软雅黑" w:cstheme="minorHAnsi"/>
                <w:sz w:val="18"/>
                <w:szCs w:val="18"/>
              </w:rPr>
              <w:t xml:space="preserve"> /5 years</w:t>
            </w:r>
          </w:p>
        </w:tc>
      </w:tr>
    </w:tbl>
    <w:p w14:paraId="62533D83">
      <w:pPr>
        <w:spacing w:after="240"/>
        <w:rPr>
          <w:rFonts w:cstheme="minorHAnsi"/>
        </w:rPr>
        <w:sectPr>
          <w:pgSz w:w="11907" w:h="16840"/>
          <w:pgMar w:top="1554" w:right="1077" w:bottom="1134" w:left="1077" w:header="680" w:footer="680" w:gutter="0"/>
          <w:cols w:space="425" w:num="1"/>
          <w:docGrid w:linePitch="312" w:charSpace="48128"/>
        </w:sectPr>
      </w:pPr>
    </w:p>
    <w:p w14:paraId="2E6BB55D">
      <w:pPr>
        <w:pStyle w:val="4"/>
        <w:spacing w:before="120" w:beforeLines="50" w:after="120" w:afterLines="50"/>
        <w:rPr>
          <w:rFonts w:asciiTheme="minorHAnsi" w:hAnsiTheme="minorHAnsi" w:cstheme="minorHAnsi"/>
        </w:rPr>
      </w:pPr>
      <w:bookmarkStart w:id="215" w:name="_Toc199429865"/>
      <w:bookmarkStart w:id="216" w:name="_Toc99099412"/>
      <w:r>
        <w:rPr>
          <w:rFonts w:asciiTheme="minorHAnsi" w:hAnsiTheme="minorHAnsi" w:cstheme="minorHAnsi"/>
        </w:rPr>
        <w:t>NCS-PT105IIM Gauge pressure transmitter performance index</w:t>
      </w:r>
      <w:bookmarkEnd w:id="215"/>
      <w:bookmarkEnd w:id="216"/>
    </w:p>
    <w:p w14:paraId="75198467">
      <w:pPr>
        <w:numPr>
          <w:ilvl w:val="0"/>
          <w:numId w:val="28"/>
        </w:numPr>
        <w:spacing w:before="120" w:beforeLines="50" w:after="120" w:afterLines="50"/>
        <w:rPr>
          <w:rFonts w:cstheme="minorHAnsi"/>
          <w:b/>
        </w:rPr>
      </w:pPr>
      <w:r>
        <w:rPr>
          <w:rFonts w:cstheme="minorHAnsi"/>
          <w:b/>
        </w:rPr>
        <w:t>Range and range limit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718C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shd w:val="clear" w:color="auto" w:fill="BFBFBF"/>
            <w:vAlign w:val="center"/>
          </w:tcPr>
          <w:p w14:paraId="6EF95887">
            <w:pPr>
              <w:spacing w:after="240"/>
              <w:rPr>
                <w:rFonts w:cstheme="minorHAnsi"/>
                <w:sz w:val="18"/>
                <w:szCs w:val="18"/>
              </w:rPr>
            </w:pPr>
            <w:r>
              <w:rPr>
                <w:rFonts w:cstheme="minorHAnsi"/>
                <w:sz w:val="18"/>
                <w:szCs w:val="18"/>
              </w:rPr>
              <w:t>Nominal range</w:t>
            </w:r>
          </w:p>
        </w:tc>
        <w:tc>
          <w:tcPr>
            <w:tcW w:w="1705" w:type="dxa"/>
            <w:shd w:val="clear" w:color="auto" w:fill="BFBFBF"/>
            <w:vAlign w:val="center"/>
          </w:tcPr>
          <w:p w14:paraId="6EC62FA5">
            <w:pPr>
              <w:spacing w:after="240"/>
              <w:rPr>
                <w:rFonts w:cstheme="minorHAnsi"/>
                <w:sz w:val="18"/>
                <w:szCs w:val="18"/>
              </w:rPr>
            </w:pPr>
            <w:r>
              <w:rPr>
                <w:rFonts w:cstheme="minorHAnsi"/>
                <w:sz w:val="18"/>
                <w:szCs w:val="18"/>
              </w:rPr>
              <w:t>Range of measurement</w:t>
            </w:r>
          </w:p>
        </w:tc>
        <w:tc>
          <w:tcPr>
            <w:tcW w:w="1706" w:type="dxa"/>
            <w:shd w:val="clear" w:color="auto" w:fill="BFBFBF"/>
            <w:vAlign w:val="center"/>
          </w:tcPr>
          <w:p w14:paraId="441ECFD7">
            <w:pPr>
              <w:spacing w:after="240"/>
              <w:rPr>
                <w:rFonts w:cstheme="minorHAnsi"/>
                <w:sz w:val="18"/>
                <w:szCs w:val="18"/>
              </w:rPr>
            </w:pPr>
            <w:r>
              <w:rPr>
                <w:rFonts w:cstheme="minorHAnsi"/>
                <w:sz w:val="18"/>
                <w:szCs w:val="18"/>
              </w:rPr>
              <w:t>Lower range limit</w:t>
            </w:r>
          </w:p>
        </w:tc>
        <w:tc>
          <w:tcPr>
            <w:tcW w:w="1706" w:type="dxa"/>
            <w:shd w:val="clear" w:color="auto" w:fill="BFBFBF"/>
            <w:vAlign w:val="center"/>
          </w:tcPr>
          <w:p w14:paraId="6D185188">
            <w:pPr>
              <w:spacing w:after="240"/>
              <w:rPr>
                <w:rFonts w:cstheme="minorHAnsi"/>
                <w:sz w:val="18"/>
                <w:szCs w:val="18"/>
              </w:rPr>
            </w:pPr>
            <w:r>
              <w:rPr>
                <w:rFonts w:cstheme="minorHAnsi"/>
                <w:sz w:val="18"/>
                <w:szCs w:val="18"/>
              </w:rPr>
              <w:t>Upper range limit</w:t>
            </w:r>
          </w:p>
        </w:tc>
        <w:tc>
          <w:tcPr>
            <w:tcW w:w="1706" w:type="dxa"/>
            <w:shd w:val="clear" w:color="auto" w:fill="BFBFBF"/>
            <w:vAlign w:val="center"/>
          </w:tcPr>
          <w:p w14:paraId="58FCB3DC">
            <w:pPr>
              <w:spacing w:after="240"/>
              <w:rPr>
                <w:rFonts w:cstheme="minorHAnsi"/>
                <w:sz w:val="18"/>
                <w:szCs w:val="18"/>
              </w:rPr>
            </w:pPr>
            <w:r>
              <w:rPr>
                <w:rFonts w:cstheme="minorHAnsi"/>
                <w:sz w:val="18"/>
                <w:szCs w:val="18"/>
              </w:rPr>
              <w:t>Overload</w:t>
            </w:r>
          </w:p>
        </w:tc>
      </w:tr>
      <w:tr w14:paraId="278B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705" w:type="dxa"/>
            <w:vAlign w:val="center"/>
          </w:tcPr>
          <w:p w14:paraId="43140622">
            <w:pPr>
              <w:spacing w:after="240"/>
              <w:jc w:val="center"/>
              <w:rPr>
                <w:rFonts w:ascii="Calibri" w:hAnsi="Calibri" w:cs="Calibri"/>
                <w:sz w:val="18"/>
                <w:szCs w:val="18"/>
              </w:rPr>
            </w:pPr>
            <w:r>
              <w:rPr>
                <w:rFonts w:hint="eastAsia" w:ascii="Calibri" w:hAnsi="Calibri" w:cs="Calibri"/>
                <w:sz w:val="18"/>
                <w:szCs w:val="18"/>
              </w:rPr>
              <w:t>3kPa</w:t>
            </w:r>
          </w:p>
        </w:tc>
        <w:tc>
          <w:tcPr>
            <w:tcW w:w="1705" w:type="dxa"/>
            <w:vAlign w:val="center"/>
          </w:tcPr>
          <w:p w14:paraId="723C2030">
            <w:pPr>
              <w:spacing w:after="240"/>
              <w:jc w:val="center"/>
              <w:rPr>
                <w:rFonts w:ascii="Calibri" w:hAnsi="Calibri" w:cs="Calibri"/>
                <w:sz w:val="18"/>
                <w:szCs w:val="18"/>
              </w:rPr>
            </w:pPr>
            <w:r>
              <w:rPr>
                <w:rFonts w:hint="eastAsia" w:ascii="Calibri" w:hAnsi="Calibri" w:cs="Calibri"/>
                <w:sz w:val="18"/>
                <w:szCs w:val="18"/>
              </w:rPr>
              <w:t>100Pa~3kPa</w:t>
            </w:r>
          </w:p>
        </w:tc>
        <w:tc>
          <w:tcPr>
            <w:tcW w:w="1706" w:type="dxa"/>
          </w:tcPr>
          <w:p w14:paraId="07ABC97A">
            <w:pPr>
              <w:spacing w:after="240"/>
              <w:jc w:val="center"/>
              <w:rPr>
                <w:rFonts w:ascii="Calibri" w:hAnsi="Calibri" w:cs="Calibri"/>
                <w:sz w:val="18"/>
                <w:szCs w:val="18"/>
              </w:rPr>
            </w:pPr>
            <w:r>
              <w:rPr>
                <w:rFonts w:hint="eastAsia" w:ascii="Calibri" w:hAnsi="Calibri" w:cs="Calibri"/>
                <w:sz w:val="18"/>
                <w:szCs w:val="18"/>
              </w:rPr>
              <w:t>-3Kpa</w:t>
            </w:r>
          </w:p>
        </w:tc>
        <w:tc>
          <w:tcPr>
            <w:tcW w:w="1706" w:type="dxa"/>
            <w:vAlign w:val="center"/>
          </w:tcPr>
          <w:p w14:paraId="645D007F">
            <w:pPr>
              <w:spacing w:after="240"/>
              <w:jc w:val="center"/>
              <w:rPr>
                <w:rFonts w:ascii="Calibri" w:hAnsi="Calibri" w:cs="Calibri"/>
                <w:sz w:val="18"/>
                <w:szCs w:val="18"/>
              </w:rPr>
            </w:pPr>
            <w:r>
              <w:rPr>
                <w:rFonts w:hint="eastAsia" w:ascii="Calibri" w:hAnsi="Calibri" w:cs="Calibri"/>
                <w:sz w:val="18"/>
                <w:szCs w:val="18"/>
              </w:rPr>
              <w:t>3kPa</w:t>
            </w:r>
          </w:p>
        </w:tc>
        <w:tc>
          <w:tcPr>
            <w:tcW w:w="1706" w:type="dxa"/>
          </w:tcPr>
          <w:p w14:paraId="5EE8E44C">
            <w:pPr>
              <w:spacing w:after="240"/>
              <w:jc w:val="center"/>
              <w:rPr>
                <w:rFonts w:ascii="Calibri" w:hAnsi="Calibri" w:cs="Calibri"/>
                <w:sz w:val="18"/>
                <w:szCs w:val="18"/>
              </w:rPr>
            </w:pPr>
            <w:r>
              <w:rPr>
                <w:rFonts w:hint="eastAsia" w:ascii="Calibri" w:hAnsi="Calibri" w:cs="Calibri"/>
                <w:sz w:val="18"/>
                <w:szCs w:val="18"/>
              </w:rPr>
              <w:t>10MPa</w:t>
            </w:r>
          </w:p>
        </w:tc>
      </w:tr>
      <w:tr w14:paraId="20649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1F905EC7">
            <w:pPr>
              <w:spacing w:after="240"/>
              <w:jc w:val="center"/>
              <w:rPr>
                <w:rFonts w:ascii="Calibri" w:hAnsi="Calibri" w:cs="Calibri"/>
                <w:sz w:val="18"/>
                <w:szCs w:val="18"/>
              </w:rPr>
            </w:pPr>
            <w:r>
              <w:rPr>
                <w:rFonts w:hint="eastAsia" w:ascii="Calibri" w:hAnsi="Calibri" w:cs="Calibri"/>
                <w:sz w:val="18"/>
                <w:szCs w:val="18"/>
              </w:rPr>
              <w:t>6kPa</w:t>
            </w:r>
          </w:p>
        </w:tc>
        <w:tc>
          <w:tcPr>
            <w:tcW w:w="1705" w:type="dxa"/>
            <w:vAlign w:val="center"/>
          </w:tcPr>
          <w:p w14:paraId="0090ABC6">
            <w:pPr>
              <w:spacing w:after="240"/>
              <w:jc w:val="center"/>
              <w:rPr>
                <w:rFonts w:ascii="Calibri" w:hAnsi="Calibri" w:cs="Calibri"/>
                <w:sz w:val="18"/>
                <w:szCs w:val="18"/>
              </w:rPr>
            </w:pPr>
            <w:r>
              <w:rPr>
                <w:rFonts w:hint="eastAsia" w:ascii="Calibri" w:hAnsi="Calibri" w:cs="Calibri"/>
                <w:sz w:val="18"/>
                <w:szCs w:val="18"/>
              </w:rPr>
              <w:t>200Pa~6kPa</w:t>
            </w:r>
          </w:p>
        </w:tc>
        <w:tc>
          <w:tcPr>
            <w:tcW w:w="1706" w:type="dxa"/>
            <w:vAlign w:val="center"/>
          </w:tcPr>
          <w:p w14:paraId="491A763D">
            <w:pPr>
              <w:spacing w:after="240"/>
              <w:jc w:val="center"/>
              <w:rPr>
                <w:rFonts w:ascii="Calibri" w:hAnsi="Calibri" w:cs="Calibri"/>
                <w:sz w:val="18"/>
                <w:szCs w:val="18"/>
              </w:rPr>
            </w:pPr>
            <w:r>
              <w:rPr>
                <w:rFonts w:hint="eastAsia" w:ascii="Calibri" w:hAnsi="Calibri" w:cs="Calibri"/>
                <w:sz w:val="18"/>
                <w:szCs w:val="18"/>
              </w:rPr>
              <w:t>-6kPa</w:t>
            </w:r>
          </w:p>
        </w:tc>
        <w:tc>
          <w:tcPr>
            <w:tcW w:w="1706" w:type="dxa"/>
            <w:vAlign w:val="center"/>
          </w:tcPr>
          <w:p w14:paraId="1736DB8E">
            <w:pPr>
              <w:spacing w:after="240"/>
              <w:jc w:val="center"/>
              <w:rPr>
                <w:rFonts w:ascii="Calibri" w:hAnsi="Calibri" w:cs="Calibri"/>
                <w:sz w:val="18"/>
                <w:szCs w:val="18"/>
              </w:rPr>
            </w:pPr>
            <w:r>
              <w:rPr>
                <w:rFonts w:hint="eastAsia" w:ascii="Calibri" w:hAnsi="Calibri" w:cs="Calibri"/>
                <w:sz w:val="18"/>
                <w:szCs w:val="18"/>
              </w:rPr>
              <w:t>6kPa</w:t>
            </w:r>
          </w:p>
        </w:tc>
        <w:tc>
          <w:tcPr>
            <w:tcW w:w="1706" w:type="dxa"/>
          </w:tcPr>
          <w:p w14:paraId="2E9189EA">
            <w:pPr>
              <w:spacing w:after="240"/>
              <w:jc w:val="center"/>
              <w:rPr>
                <w:rFonts w:ascii="Calibri" w:hAnsi="Calibri" w:cs="Calibri"/>
                <w:sz w:val="18"/>
                <w:szCs w:val="18"/>
              </w:rPr>
            </w:pPr>
            <w:r>
              <w:rPr>
                <w:rFonts w:hint="eastAsia" w:ascii="Calibri" w:hAnsi="Calibri" w:cs="Calibri"/>
                <w:sz w:val="18"/>
                <w:szCs w:val="18"/>
              </w:rPr>
              <w:t>10MPa</w:t>
            </w:r>
          </w:p>
        </w:tc>
      </w:tr>
      <w:tr w14:paraId="05A5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Pr>
          <w:p w14:paraId="4E6AEFA8">
            <w:pPr>
              <w:spacing w:after="240"/>
              <w:jc w:val="center"/>
              <w:rPr>
                <w:rFonts w:ascii="Calibri" w:hAnsi="Calibri" w:cs="Calibri"/>
                <w:sz w:val="18"/>
                <w:szCs w:val="18"/>
              </w:rPr>
            </w:pPr>
            <w:r>
              <w:rPr>
                <w:rFonts w:hint="eastAsia" w:ascii="Calibri" w:hAnsi="Calibri" w:cs="Calibri"/>
                <w:sz w:val="18"/>
                <w:szCs w:val="18"/>
              </w:rPr>
              <w:t>40kPa</w:t>
            </w:r>
          </w:p>
        </w:tc>
        <w:tc>
          <w:tcPr>
            <w:tcW w:w="1705" w:type="dxa"/>
          </w:tcPr>
          <w:p w14:paraId="7778CD81">
            <w:pPr>
              <w:spacing w:after="240"/>
              <w:jc w:val="center"/>
              <w:rPr>
                <w:rFonts w:ascii="Calibri" w:hAnsi="Calibri" w:cs="Calibri"/>
                <w:sz w:val="18"/>
                <w:szCs w:val="18"/>
              </w:rPr>
            </w:pPr>
            <w:r>
              <w:rPr>
                <w:rFonts w:hint="eastAsia" w:ascii="Calibri" w:hAnsi="Calibri" w:cs="Calibri"/>
                <w:sz w:val="18"/>
                <w:szCs w:val="18"/>
              </w:rPr>
              <w:t>400Pa~40kPa</w:t>
            </w:r>
          </w:p>
        </w:tc>
        <w:tc>
          <w:tcPr>
            <w:tcW w:w="1706" w:type="dxa"/>
          </w:tcPr>
          <w:p w14:paraId="7070C705">
            <w:pPr>
              <w:spacing w:after="240"/>
              <w:jc w:val="center"/>
              <w:rPr>
                <w:rFonts w:ascii="Calibri" w:hAnsi="Calibri" w:cs="Calibri"/>
                <w:sz w:val="18"/>
                <w:szCs w:val="18"/>
              </w:rPr>
            </w:pPr>
            <w:r>
              <w:rPr>
                <w:rFonts w:hint="eastAsia" w:ascii="Calibri" w:hAnsi="Calibri" w:cs="Calibri"/>
                <w:sz w:val="18"/>
                <w:szCs w:val="18"/>
              </w:rPr>
              <w:t>-40kPa</w:t>
            </w:r>
          </w:p>
        </w:tc>
        <w:tc>
          <w:tcPr>
            <w:tcW w:w="1706" w:type="dxa"/>
          </w:tcPr>
          <w:p w14:paraId="31900015">
            <w:pPr>
              <w:spacing w:after="240"/>
              <w:jc w:val="center"/>
              <w:rPr>
                <w:rFonts w:ascii="Calibri" w:hAnsi="Calibri" w:cs="Calibri"/>
                <w:sz w:val="18"/>
                <w:szCs w:val="18"/>
              </w:rPr>
            </w:pPr>
            <w:r>
              <w:rPr>
                <w:rFonts w:hint="eastAsia" w:ascii="Calibri" w:hAnsi="Calibri" w:cs="Calibri"/>
                <w:sz w:val="18"/>
                <w:szCs w:val="18"/>
              </w:rPr>
              <w:t>40kPa</w:t>
            </w:r>
          </w:p>
        </w:tc>
        <w:tc>
          <w:tcPr>
            <w:tcW w:w="1706" w:type="dxa"/>
          </w:tcPr>
          <w:p w14:paraId="7C5FE371">
            <w:pPr>
              <w:spacing w:after="240"/>
              <w:jc w:val="center"/>
              <w:rPr>
                <w:rFonts w:ascii="Calibri" w:hAnsi="Calibri" w:cs="Calibri"/>
                <w:sz w:val="18"/>
                <w:szCs w:val="18"/>
              </w:rPr>
            </w:pPr>
            <w:r>
              <w:rPr>
                <w:rFonts w:hint="eastAsia" w:ascii="Calibri" w:hAnsi="Calibri" w:cs="Calibri"/>
                <w:sz w:val="18"/>
                <w:szCs w:val="18"/>
              </w:rPr>
              <w:t>10MPa</w:t>
            </w:r>
          </w:p>
        </w:tc>
      </w:tr>
      <w:tr w14:paraId="78BF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Pr>
          <w:p w14:paraId="347906FC">
            <w:pPr>
              <w:spacing w:after="240"/>
              <w:jc w:val="center"/>
              <w:rPr>
                <w:rFonts w:ascii="Calibri" w:hAnsi="Calibri" w:cs="Calibri"/>
                <w:sz w:val="18"/>
                <w:szCs w:val="18"/>
              </w:rPr>
            </w:pPr>
            <w:r>
              <w:rPr>
                <w:rFonts w:hint="eastAsia" w:ascii="Calibri" w:hAnsi="Calibri" w:cs="Calibri"/>
                <w:sz w:val="18"/>
                <w:szCs w:val="18"/>
              </w:rPr>
              <w:t>250kPa</w:t>
            </w:r>
          </w:p>
        </w:tc>
        <w:tc>
          <w:tcPr>
            <w:tcW w:w="1705" w:type="dxa"/>
          </w:tcPr>
          <w:p w14:paraId="220DCD1D">
            <w:pPr>
              <w:spacing w:after="240"/>
              <w:jc w:val="center"/>
              <w:rPr>
                <w:rFonts w:ascii="Calibri" w:hAnsi="Calibri" w:cs="Calibri"/>
                <w:sz w:val="18"/>
                <w:szCs w:val="18"/>
              </w:rPr>
            </w:pPr>
            <w:r>
              <w:rPr>
                <w:rFonts w:hint="eastAsia" w:ascii="Calibri" w:hAnsi="Calibri" w:cs="Calibri"/>
                <w:sz w:val="18"/>
                <w:szCs w:val="18"/>
              </w:rPr>
              <w:t>2.5kPa~250kPa</w:t>
            </w:r>
          </w:p>
        </w:tc>
        <w:tc>
          <w:tcPr>
            <w:tcW w:w="1706" w:type="dxa"/>
          </w:tcPr>
          <w:p w14:paraId="068283AB">
            <w:pPr>
              <w:spacing w:after="240"/>
              <w:jc w:val="center"/>
              <w:rPr>
                <w:rFonts w:ascii="Calibri" w:hAnsi="Calibri" w:cs="Calibri"/>
                <w:sz w:val="18"/>
                <w:szCs w:val="18"/>
              </w:rPr>
            </w:pPr>
            <w:r>
              <w:rPr>
                <w:rFonts w:hint="eastAsia" w:ascii="Calibri" w:hAnsi="Calibri" w:cs="Calibri"/>
                <w:sz w:val="18"/>
                <w:szCs w:val="18"/>
              </w:rPr>
              <w:t>-100kPa</w:t>
            </w:r>
          </w:p>
        </w:tc>
        <w:tc>
          <w:tcPr>
            <w:tcW w:w="1706" w:type="dxa"/>
          </w:tcPr>
          <w:p w14:paraId="5801D817">
            <w:pPr>
              <w:spacing w:after="240"/>
              <w:jc w:val="center"/>
              <w:rPr>
                <w:rFonts w:ascii="Calibri" w:hAnsi="Calibri" w:cs="Calibri"/>
                <w:sz w:val="18"/>
                <w:szCs w:val="18"/>
              </w:rPr>
            </w:pPr>
            <w:r>
              <w:rPr>
                <w:rFonts w:hint="eastAsia" w:ascii="Calibri" w:hAnsi="Calibri" w:cs="Calibri"/>
                <w:sz w:val="18"/>
                <w:szCs w:val="18"/>
              </w:rPr>
              <w:t>250kPa</w:t>
            </w:r>
          </w:p>
        </w:tc>
        <w:tc>
          <w:tcPr>
            <w:tcW w:w="1706" w:type="dxa"/>
          </w:tcPr>
          <w:p w14:paraId="59CBC132">
            <w:pPr>
              <w:spacing w:after="240"/>
              <w:jc w:val="center"/>
              <w:rPr>
                <w:rFonts w:ascii="Calibri" w:hAnsi="Calibri" w:cs="Calibri"/>
                <w:sz w:val="18"/>
                <w:szCs w:val="18"/>
              </w:rPr>
            </w:pPr>
            <w:r>
              <w:rPr>
                <w:rFonts w:hint="eastAsia" w:ascii="Calibri" w:hAnsi="Calibri" w:cs="Calibri"/>
                <w:sz w:val="18"/>
                <w:szCs w:val="18"/>
              </w:rPr>
              <w:t>10MPa</w:t>
            </w:r>
          </w:p>
        </w:tc>
      </w:tr>
      <w:tr w14:paraId="0060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Pr>
          <w:p w14:paraId="66F7F681">
            <w:pPr>
              <w:spacing w:after="240"/>
              <w:jc w:val="center"/>
              <w:rPr>
                <w:rFonts w:ascii="Calibri" w:hAnsi="Calibri" w:cs="Calibri"/>
                <w:sz w:val="18"/>
                <w:szCs w:val="18"/>
              </w:rPr>
            </w:pPr>
            <w:r>
              <w:rPr>
                <w:rFonts w:hint="eastAsia" w:ascii="Calibri" w:hAnsi="Calibri" w:cs="Calibri"/>
                <w:sz w:val="18"/>
                <w:szCs w:val="18"/>
              </w:rPr>
              <w:t>1MPa</w:t>
            </w:r>
          </w:p>
        </w:tc>
        <w:tc>
          <w:tcPr>
            <w:tcW w:w="1705" w:type="dxa"/>
          </w:tcPr>
          <w:p w14:paraId="51B8988A">
            <w:pPr>
              <w:spacing w:after="240"/>
              <w:jc w:val="center"/>
              <w:rPr>
                <w:rFonts w:ascii="Calibri" w:hAnsi="Calibri" w:cs="Calibri"/>
                <w:sz w:val="18"/>
                <w:szCs w:val="18"/>
              </w:rPr>
            </w:pPr>
            <w:r>
              <w:rPr>
                <w:rFonts w:hint="eastAsia" w:ascii="Calibri" w:hAnsi="Calibri" w:cs="Calibri"/>
                <w:sz w:val="18"/>
                <w:szCs w:val="18"/>
              </w:rPr>
              <w:t>10kPa~1MPa</w:t>
            </w:r>
          </w:p>
        </w:tc>
        <w:tc>
          <w:tcPr>
            <w:tcW w:w="1706" w:type="dxa"/>
          </w:tcPr>
          <w:p w14:paraId="31C0D2A1">
            <w:pPr>
              <w:spacing w:after="240"/>
              <w:jc w:val="center"/>
              <w:rPr>
                <w:rFonts w:ascii="Calibri" w:hAnsi="Calibri" w:cs="Calibri"/>
                <w:sz w:val="18"/>
                <w:szCs w:val="18"/>
              </w:rPr>
            </w:pPr>
            <w:r>
              <w:rPr>
                <w:rFonts w:hint="eastAsia" w:ascii="Calibri" w:hAnsi="Calibri" w:cs="Calibri"/>
                <w:sz w:val="18"/>
                <w:szCs w:val="18"/>
              </w:rPr>
              <w:t>-100kPa</w:t>
            </w:r>
          </w:p>
        </w:tc>
        <w:tc>
          <w:tcPr>
            <w:tcW w:w="1706" w:type="dxa"/>
          </w:tcPr>
          <w:p w14:paraId="4D5D44ED">
            <w:pPr>
              <w:spacing w:after="240"/>
              <w:jc w:val="center"/>
              <w:rPr>
                <w:rFonts w:ascii="Calibri" w:hAnsi="Calibri" w:cs="Calibri"/>
                <w:sz w:val="18"/>
                <w:szCs w:val="18"/>
              </w:rPr>
            </w:pPr>
            <w:r>
              <w:rPr>
                <w:rFonts w:hint="eastAsia" w:ascii="Calibri" w:hAnsi="Calibri" w:cs="Calibri"/>
                <w:sz w:val="18"/>
                <w:szCs w:val="18"/>
              </w:rPr>
              <w:t>1MPa</w:t>
            </w:r>
          </w:p>
        </w:tc>
        <w:tc>
          <w:tcPr>
            <w:tcW w:w="1706" w:type="dxa"/>
          </w:tcPr>
          <w:p w14:paraId="0E2A1B28">
            <w:pPr>
              <w:spacing w:after="240"/>
              <w:jc w:val="center"/>
              <w:rPr>
                <w:rFonts w:ascii="Calibri" w:hAnsi="Calibri" w:cs="Calibri"/>
                <w:sz w:val="18"/>
                <w:szCs w:val="18"/>
              </w:rPr>
            </w:pPr>
            <w:r>
              <w:rPr>
                <w:rFonts w:hint="eastAsia" w:ascii="Calibri" w:hAnsi="Calibri" w:cs="Calibri"/>
                <w:sz w:val="18"/>
                <w:szCs w:val="18"/>
              </w:rPr>
              <w:t>10MPa</w:t>
            </w:r>
          </w:p>
        </w:tc>
      </w:tr>
      <w:tr w14:paraId="4FDD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Pr>
          <w:p w14:paraId="11FFB2DE">
            <w:pPr>
              <w:spacing w:after="240"/>
              <w:jc w:val="center"/>
              <w:rPr>
                <w:rFonts w:ascii="Calibri" w:hAnsi="Calibri" w:cs="Calibri"/>
                <w:sz w:val="18"/>
                <w:szCs w:val="18"/>
              </w:rPr>
            </w:pPr>
            <w:r>
              <w:rPr>
                <w:rFonts w:hint="eastAsia" w:ascii="Calibri" w:hAnsi="Calibri" w:cs="Calibri"/>
                <w:sz w:val="18"/>
                <w:szCs w:val="18"/>
              </w:rPr>
              <w:t>3MPa</w:t>
            </w:r>
          </w:p>
        </w:tc>
        <w:tc>
          <w:tcPr>
            <w:tcW w:w="1705" w:type="dxa"/>
          </w:tcPr>
          <w:p w14:paraId="197D9E3B">
            <w:pPr>
              <w:spacing w:after="240"/>
              <w:jc w:val="center"/>
              <w:rPr>
                <w:rFonts w:ascii="Calibri" w:hAnsi="Calibri" w:cs="Calibri"/>
                <w:sz w:val="18"/>
                <w:szCs w:val="18"/>
              </w:rPr>
            </w:pPr>
            <w:r>
              <w:rPr>
                <w:rFonts w:hint="eastAsia" w:ascii="Calibri" w:hAnsi="Calibri" w:cs="Calibri"/>
                <w:sz w:val="18"/>
                <w:szCs w:val="18"/>
              </w:rPr>
              <w:t>30kPa~3MPa</w:t>
            </w:r>
          </w:p>
        </w:tc>
        <w:tc>
          <w:tcPr>
            <w:tcW w:w="1706" w:type="dxa"/>
          </w:tcPr>
          <w:p w14:paraId="032C0C65">
            <w:pPr>
              <w:spacing w:after="240"/>
              <w:jc w:val="center"/>
              <w:rPr>
                <w:rFonts w:ascii="Calibri" w:hAnsi="Calibri" w:cs="Calibri"/>
                <w:sz w:val="18"/>
                <w:szCs w:val="18"/>
              </w:rPr>
            </w:pPr>
            <w:r>
              <w:rPr>
                <w:rFonts w:hint="eastAsia" w:ascii="Calibri" w:hAnsi="Calibri" w:cs="Calibri"/>
                <w:sz w:val="18"/>
                <w:szCs w:val="18"/>
              </w:rPr>
              <w:t>-100kPa</w:t>
            </w:r>
          </w:p>
        </w:tc>
        <w:tc>
          <w:tcPr>
            <w:tcW w:w="1706" w:type="dxa"/>
          </w:tcPr>
          <w:p w14:paraId="4BE424E3">
            <w:pPr>
              <w:spacing w:after="240"/>
              <w:jc w:val="center"/>
              <w:rPr>
                <w:rFonts w:ascii="Calibri" w:hAnsi="Calibri" w:cs="Calibri"/>
                <w:sz w:val="18"/>
                <w:szCs w:val="18"/>
              </w:rPr>
            </w:pPr>
            <w:r>
              <w:rPr>
                <w:rFonts w:hint="eastAsia" w:ascii="Calibri" w:hAnsi="Calibri" w:cs="Calibri"/>
                <w:sz w:val="18"/>
                <w:szCs w:val="18"/>
              </w:rPr>
              <w:t>3MPa</w:t>
            </w:r>
          </w:p>
        </w:tc>
        <w:tc>
          <w:tcPr>
            <w:tcW w:w="1706" w:type="dxa"/>
          </w:tcPr>
          <w:p w14:paraId="0A67EC39">
            <w:pPr>
              <w:spacing w:after="240"/>
              <w:jc w:val="center"/>
              <w:rPr>
                <w:rFonts w:ascii="Calibri" w:hAnsi="Calibri" w:cs="Calibri"/>
                <w:sz w:val="18"/>
                <w:szCs w:val="18"/>
              </w:rPr>
            </w:pPr>
            <w:r>
              <w:rPr>
                <w:rFonts w:hint="eastAsia" w:ascii="Calibri" w:hAnsi="Calibri" w:cs="Calibri"/>
                <w:sz w:val="18"/>
                <w:szCs w:val="18"/>
              </w:rPr>
              <w:t>10MPa</w:t>
            </w:r>
          </w:p>
        </w:tc>
      </w:tr>
      <w:tr w14:paraId="732D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Pr>
          <w:p w14:paraId="112176C4">
            <w:pPr>
              <w:spacing w:after="240"/>
              <w:jc w:val="center"/>
              <w:rPr>
                <w:rFonts w:ascii="Calibri" w:hAnsi="Calibri" w:cs="Calibri"/>
                <w:sz w:val="18"/>
                <w:szCs w:val="18"/>
              </w:rPr>
            </w:pPr>
            <w:r>
              <w:rPr>
                <w:rFonts w:hint="eastAsia" w:ascii="Calibri" w:hAnsi="Calibri" w:cs="Calibri"/>
                <w:sz w:val="18"/>
                <w:szCs w:val="18"/>
              </w:rPr>
              <w:t>10MPa</w:t>
            </w:r>
          </w:p>
        </w:tc>
        <w:tc>
          <w:tcPr>
            <w:tcW w:w="1705" w:type="dxa"/>
          </w:tcPr>
          <w:p w14:paraId="4BD6098E">
            <w:pPr>
              <w:spacing w:after="240"/>
              <w:jc w:val="center"/>
              <w:rPr>
                <w:rFonts w:ascii="Calibri" w:hAnsi="Calibri" w:cs="Calibri"/>
                <w:sz w:val="18"/>
                <w:szCs w:val="18"/>
              </w:rPr>
            </w:pPr>
            <w:r>
              <w:rPr>
                <w:rFonts w:hint="eastAsia" w:ascii="Calibri" w:hAnsi="Calibri" w:cs="Calibri"/>
                <w:sz w:val="18"/>
                <w:szCs w:val="18"/>
              </w:rPr>
              <w:t>100kPa~10MPa</w:t>
            </w:r>
          </w:p>
        </w:tc>
        <w:tc>
          <w:tcPr>
            <w:tcW w:w="1706" w:type="dxa"/>
          </w:tcPr>
          <w:p w14:paraId="6D3969F2">
            <w:pPr>
              <w:spacing w:after="240"/>
              <w:jc w:val="center"/>
              <w:rPr>
                <w:rFonts w:ascii="Calibri" w:hAnsi="Calibri" w:cs="Calibri"/>
                <w:sz w:val="18"/>
                <w:szCs w:val="18"/>
              </w:rPr>
            </w:pPr>
            <w:r>
              <w:rPr>
                <w:rFonts w:hint="eastAsia" w:ascii="Calibri" w:hAnsi="Calibri" w:cs="Calibri"/>
                <w:sz w:val="18"/>
                <w:szCs w:val="18"/>
              </w:rPr>
              <w:t>-100kPa</w:t>
            </w:r>
          </w:p>
        </w:tc>
        <w:tc>
          <w:tcPr>
            <w:tcW w:w="1706" w:type="dxa"/>
          </w:tcPr>
          <w:p w14:paraId="4EA24F31">
            <w:pPr>
              <w:spacing w:after="240"/>
              <w:jc w:val="center"/>
              <w:rPr>
                <w:rFonts w:ascii="Calibri" w:hAnsi="Calibri" w:cs="Calibri"/>
                <w:sz w:val="18"/>
                <w:szCs w:val="18"/>
              </w:rPr>
            </w:pPr>
            <w:r>
              <w:rPr>
                <w:rFonts w:hint="eastAsia" w:ascii="Calibri" w:hAnsi="Calibri" w:cs="Calibri"/>
                <w:sz w:val="18"/>
                <w:szCs w:val="18"/>
              </w:rPr>
              <w:t>10MPa</w:t>
            </w:r>
          </w:p>
        </w:tc>
        <w:tc>
          <w:tcPr>
            <w:tcW w:w="1706" w:type="dxa"/>
          </w:tcPr>
          <w:p w14:paraId="43C4E264">
            <w:pPr>
              <w:spacing w:after="240"/>
              <w:jc w:val="center"/>
              <w:rPr>
                <w:rFonts w:ascii="Calibri" w:hAnsi="Calibri" w:cs="Calibri"/>
                <w:sz w:val="18"/>
                <w:szCs w:val="18"/>
              </w:rPr>
            </w:pPr>
            <w:r>
              <w:rPr>
                <w:rFonts w:hint="eastAsia" w:ascii="Calibri" w:hAnsi="Calibri" w:cs="Calibri"/>
                <w:sz w:val="18"/>
                <w:szCs w:val="18"/>
              </w:rPr>
              <w:t>20MPa</w:t>
            </w:r>
          </w:p>
        </w:tc>
      </w:tr>
      <w:tr w14:paraId="7EE7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Pr>
          <w:p w14:paraId="33981B85">
            <w:pPr>
              <w:spacing w:after="240"/>
              <w:jc w:val="center"/>
              <w:rPr>
                <w:rFonts w:ascii="Calibri" w:hAnsi="Calibri" w:cs="Calibri"/>
                <w:sz w:val="18"/>
                <w:szCs w:val="18"/>
              </w:rPr>
            </w:pPr>
            <w:r>
              <w:rPr>
                <w:rFonts w:ascii="Calibri" w:hAnsi="Calibri" w:cs="Calibri"/>
                <w:sz w:val="18"/>
                <w:szCs w:val="18"/>
              </w:rPr>
              <w:t>2</w:t>
            </w:r>
            <w:r>
              <w:rPr>
                <w:rFonts w:hint="eastAsia" w:ascii="Calibri" w:hAnsi="Calibri" w:cs="Calibri"/>
                <w:sz w:val="18"/>
                <w:szCs w:val="18"/>
              </w:rPr>
              <w:t>0MPa</w:t>
            </w:r>
          </w:p>
        </w:tc>
        <w:tc>
          <w:tcPr>
            <w:tcW w:w="1705" w:type="dxa"/>
          </w:tcPr>
          <w:p w14:paraId="6D648B64">
            <w:pPr>
              <w:spacing w:after="240"/>
              <w:jc w:val="center"/>
              <w:rPr>
                <w:rFonts w:ascii="Calibri" w:hAnsi="Calibri" w:cs="Calibri"/>
                <w:sz w:val="18"/>
                <w:szCs w:val="18"/>
              </w:rPr>
            </w:pPr>
            <w:r>
              <w:rPr>
                <w:rFonts w:ascii="Calibri" w:hAnsi="Calibri" w:cs="Calibri"/>
                <w:sz w:val="18"/>
                <w:szCs w:val="18"/>
              </w:rPr>
              <w:t>2</w:t>
            </w:r>
            <w:r>
              <w:rPr>
                <w:rFonts w:hint="eastAsia" w:ascii="Calibri" w:hAnsi="Calibri" w:cs="Calibri"/>
                <w:sz w:val="18"/>
                <w:szCs w:val="18"/>
              </w:rPr>
              <w:t>00kPa~</w:t>
            </w:r>
            <w:r>
              <w:rPr>
                <w:rFonts w:ascii="Calibri" w:hAnsi="Calibri" w:cs="Calibri"/>
                <w:sz w:val="18"/>
                <w:szCs w:val="18"/>
              </w:rPr>
              <w:t>2</w:t>
            </w:r>
            <w:r>
              <w:rPr>
                <w:rFonts w:hint="eastAsia" w:ascii="Calibri" w:hAnsi="Calibri" w:cs="Calibri"/>
                <w:sz w:val="18"/>
                <w:szCs w:val="18"/>
              </w:rPr>
              <w:t>0MPa</w:t>
            </w:r>
          </w:p>
        </w:tc>
        <w:tc>
          <w:tcPr>
            <w:tcW w:w="1706" w:type="dxa"/>
          </w:tcPr>
          <w:p w14:paraId="45445F82">
            <w:pPr>
              <w:spacing w:after="240"/>
              <w:jc w:val="center"/>
              <w:rPr>
                <w:rFonts w:ascii="Calibri" w:hAnsi="Calibri" w:cs="Calibri"/>
                <w:sz w:val="18"/>
                <w:szCs w:val="18"/>
              </w:rPr>
            </w:pPr>
            <w:r>
              <w:rPr>
                <w:rFonts w:hint="eastAsia" w:ascii="Calibri" w:hAnsi="Calibri" w:cs="Calibri"/>
                <w:sz w:val="18"/>
                <w:szCs w:val="18"/>
              </w:rPr>
              <w:t>-100kPa</w:t>
            </w:r>
          </w:p>
        </w:tc>
        <w:tc>
          <w:tcPr>
            <w:tcW w:w="1706" w:type="dxa"/>
          </w:tcPr>
          <w:p w14:paraId="6B10D285">
            <w:pPr>
              <w:spacing w:after="240"/>
              <w:jc w:val="center"/>
              <w:rPr>
                <w:rFonts w:ascii="Calibri" w:hAnsi="Calibri" w:cs="Calibri"/>
                <w:sz w:val="18"/>
                <w:szCs w:val="18"/>
              </w:rPr>
            </w:pPr>
            <w:r>
              <w:rPr>
                <w:rFonts w:ascii="Calibri" w:hAnsi="Calibri" w:cs="Calibri"/>
                <w:sz w:val="18"/>
                <w:szCs w:val="18"/>
              </w:rPr>
              <w:t>2</w:t>
            </w:r>
            <w:r>
              <w:rPr>
                <w:rFonts w:hint="eastAsia" w:ascii="Calibri" w:hAnsi="Calibri" w:cs="Calibri"/>
                <w:sz w:val="18"/>
                <w:szCs w:val="18"/>
              </w:rPr>
              <w:t>0MPa</w:t>
            </w:r>
          </w:p>
        </w:tc>
        <w:tc>
          <w:tcPr>
            <w:tcW w:w="1706" w:type="dxa"/>
          </w:tcPr>
          <w:p w14:paraId="7F691F6A">
            <w:pPr>
              <w:spacing w:after="240"/>
              <w:jc w:val="center"/>
              <w:rPr>
                <w:rFonts w:ascii="Calibri" w:hAnsi="Calibri" w:cs="Calibri"/>
                <w:sz w:val="18"/>
                <w:szCs w:val="18"/>
              </w:rPr>
            </w:pPr>
            <w:r>
              <w:rPr>
                <w:rFonts w:ascii="Calibri" w:hAnsi="Calibri" w:cs="Calibri"/>
                <w:sz w:val="18"/>
                <w:szCs w:val="18"/>
              </w:rPr>
              <w:t>4</w:t>
            </w:r>
            <w:r>
              <w:rPr>
                <w:rFonts w:hint="eastAsia" w:ascii="Calibri" w:hAnsi="Calibri" w:cs="Calibri"/>
                <w:sz w:val="18"/>
                <w:szCs w:val="18"/>
              </w:rPr>
              <w:t>0MPa</w:t>
            </w:r>
          </w:p>
        </w:tc>
      </w:tr>
      <w:tr w14:paraId="7C70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Pr>
          <w:p w14:paraId="4654BCEB">
            <w:pPr>
              <w:spacing w:after="240"/>
              <w:jc w:val="center"/>
              <w:rPr>
                <w:rFonts w:ascii="Calibri" w:hAnsi="Calibri" w:cs="Calibri"/>
                <w:sz w:val="18"/>
                <w:szCs w:val="18"/>
              </w:rPr>
            </w:pPr>
            <w:r>
              <w:rPr>
                <w:rFonts w:hint="eastAsia" w:ascii="Calibri" w:hAnsi="Calibri" w:cs="Calibri"/>
                <w:sz w:val="18"/>
                <w:szCs w:val="18"/>
              </w:rPr>
              <w:t>40MPa</w:t>
            </w:r>
          </w:p>
        </w:tc>
        <w:tc>
          <w:tcPr>
            <w:tcW w:w="1705" w:type="dxa"/>
          </w:tcPr>
          <w:p w14:paraId="3BE06CCC">
            <w:pPr>
              <w:spacing w:after="240"/>
              <w:jc w:val="center"/>
              <w:rPr>
                <w:rFonts w:ascii="Calibri" w:hAnsi="Calibri" w:cs="Calibri"/>
                <w:sz w:val="18"/>
                <w:szCs w:val="18"/>
              </w:rPr>
            </w:pPr>
            <w:r>
              <w:rPr>
                <w:rFonts w:hint="eastAsia" w:ascii="Calibri" w:hAnsi="Calibri" w:cs="Calibri"/>
                <w:sz w:val="18"/>
                <w:szCs w:val="18"/>
              </w:rPr>
              <w:t>400kPa~40MPa</w:t>
            </w:r>
          </w:p>
        </w:tc>
        <w:tc>
          <w:tcPr>
            <w:tcW w:w="1706" w:type="dxa"/>
          </w:tcPr>
          <w:p w14:paraId="2BBA9764">
            <w:pPr>
              <w:spacing w:after="240"/>
              <w:jc w:val="center"/>
              <w:rPr>
                <w:rFonts w:ascii="Calibri" w:hAnsi="Calibri" w:cs="Calibri"/>
                <w:sz w:val="18"/>
                <w:szCs w:val="18"/>
              </w:rPr>
            </w:pPr>
            <w:r>
              <w:rPr>
                <w:rFonts w:hint="eastAsia" w:ascii="Calibri" w:hAnsi="Calibri" w:cs="Calibri"/>
                <w:sz w:val="18"/>
                <w:szCs w:val="18"/>
              </w:rPr>
              <w:t>-100kP</w:t>
            </w:r>
          </w:p>
        </w:tc>
        <w:tc>
          <w:tcPr>
            <w:tcW w:w="1706" w:type="dxa"/>
          </w:tcPr>
          <w:p w14:paraId="304EA388">
            <w:pPr>
              <w:spacing w:after="240"/>
              <w:jc w:val="center"/>
              <w:rPr>
                <w:rFonts w:ascii="Calibri" w:hAnsi="Calibri" w:cs="Calibri"/>
                <w:sz w:val="18"/>
                <w:szCs w:val="18"/>
              </w:rPr>
            </w:pPr>
            <w:r>
              <w:rPr>
                <w:rFonts w:hint="eastAsia" w:ascii="Calibri" w:hAnsi="Calibri" w:cs="Calibri"/>
                <w:sz w:val="18"/>
                <w:szCs w:val="18"/>
              </w:rPr>
              <w:t>40MPa</w:t>
            </w:r>
          </w:p>
        </w:tc>
        <w:tc>
          <w:tcPr>
            <w:tcW w:w="1706" w:type="dxa"/>
          </w:tcPr>
          <w:p w14:paraId="53E467D4">
            <w:pPr>
              <w:spacing w:after="240"/>
              <w:jc w:val="center"/>
              <w:rPr>
                <w:rFonts w:ascii="Calibri" w:hAnsi="Calibri" w:cs="Calibri"/>
                <w:sz w:val="18"/>
                <w:szCs w:val="18"/>
              </w:rPr>
            </w:pPr>
            <w:r>
              <w:rPr>
                <w:rFonts w:hint="eastAsia" w:ascii="Calibri" w:hAnsi="Calibri" w:cs="Calibri"/>
                <w:sz w:val="18"/>
                <w:szCs w:val="18"/>
              </w:rPr>
              <w:t>80MPa</w:t>
            </w:r>
          </w:p>
        </w:tc>
      </w:tr>
      <w:tr w14:paraId="4662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5"/>
          </w:tcPr>
          <w:p w14:paraId="74504489">
            <w:pPr>
              <w:spacing w:after="240"/>
              <w:rPr>
                <w:rFonts w:cstheme="minorHAnsi"/>
                <w:sz w:val="18"/>
                <w:szCs w:val="18"/>
              </w:rPr>
            </w:pPr>
            <w:r>
              <w:rPr>
                <w:rFonts w:cstheme="minorHAnsi"/>
                <w:sz w:val="18"/>
                <w:szCs w:val="18"/>
              </w:rPr>
              <w:t>Set the high and low limit requirements：The low and high limit values are taken within the upper range. When URV-LRV ≥ minimum range</w:t>
            </w:r>
          </w:p>
        </w:tc>
      </w:tr>
      <w:tr w14:paraId="7E9B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5"/>
          </w:tcPr>
          <w:p w14:paraId="3DDDBCA8">
            <w:pPr>
              <w:spacing w:after="240"/>
              <w:rPr>
                <w:rFonts w:cstheme="minorHAnsi"/>
                <w:sz w:val="18"/>
                <w:szCs w:val="18"/>
              </w:rPr>
            </w:pPr>
            <w:r>
              <w:rPr>
                <w:rFonts w:cstheme="minorHAnsi"/>
                <w:sz w:val="18"/>
                <w:szCs w:val="18"/>
              </w:rPr>
              <w:t>Overpressure limit value: It depends on the pressure value of the weakest part with the pressure bearing capacity. This overload pressure is the maximum pressure that the sensor can bear, not the maximum pressure that the product itself can bear.</w:t>
            </w:r>
          </w:p>
        </w:tc>
      </w:tr>
    </w:tbl>
    <w:p w14:paraId="294B153A">
      <w:pPr>
        <w:numPr>
          <w:ilvl w:val="0"/>
          <w:numId w:val="28"/>
        </w:numPr>
        <w:spacing w:before="120" w:beforeLines="50" w:after="120" w:afterLines="50"/>
        <w:rPr>
          <w:rFonts w:cstheme="minorHAnsi"/>
          <w:b/>
        </w:rPr>
      </w:pPr>
      <w:r>
        <w:rPr>
          <w:rFonts w:cstheme="minorHAnsi"/>
          <w:b/>
        </w:rPr>
        <w:t>Reference accuracy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5981"/>
      </w:tblGrid>
      <w:tr w14:paraId="1BF2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407A1847">
            <w:pPr>
              <w:spacing w:after="240"/>
              <w:rPr>
                <w:rFonts w:cstheme="minorHAnsi"/>
                <w:sz w:val="18"/>
                <w:szCs w:val="18"/>
              </w:rPr>
            </w:pPr>
            <w:r>
              <w:rPr>
                <w:rFonts w:cstheme="minorHAnsi"/>
                <w:sz w:val="18"/>
                <w:szCs w:val="18"/>
              </w:rPr>
              <w:t>Range</w:t>
            </w:r>
          </w:p>
        </w:tc>
        <w:tc>
          <w:tcPr>
            <w:tcW w:w="5981" w:type="dxa"/>
          </w:tcPr>
          <w:p w14:paraId="27023D34">
            <w:pPr>
              <w:spacing w:after="240"/>
              <w:rPr>
                <w:rFonts w:cstheme="minorHAnsi"/>
                <w:sz w:val="18"/>
                <w:szCs w:val="18"/>
              </w:rPr>
            </w:pPr>
            <w:r>
              <w:rPr>
                <w:rFonts w:cstheme="minorHAnsi"/>
                <w:sz w:val="18"/>
                <w:szCs w:val="18"/>
              </w:rPr>
              <w:t>Reference accuracy (including linearity, hysteresis, and repeatability)</w:t>
            </w:r>
          </w:p>
        </w:tc>
      </w:tr>
      <w:tr w14:paraId="403E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47CF0A07">
            <w:pPr>
              <w:spacing w:before="120" w:beforeLines="50" w:after="120" w:afterLines="50"/>
              <w:rPr>
                <w:rFonts w:ascii="Calibri" w:hAnsi="Calibri" w:cs="Calibri"/>
                <w:sz w:val="18"/>
                <w:szCs w:val="18"/>
              </w:rPr>
            </w:pPr>
            <w:r>
              <w:rPr>
                <w:rFonts w:hint="eastAsia" w:ascii="Calibri" w:hAnsi="Calibri" w:cs="Calibri"/>
                <w:sz w:val="18"/>
                <w:szCs w:val="18"/>
              </w:rPr>
              <w:t>250kPa、1MPa、3MPa、10MPa、40MPa</w:t>
            </w:r>
          </w:p>
        </w:tc>
        <w:tc>
          <w:tcPr>
            <w:tcW w:w="5981" w:type="dxa"/>
          </w:tcPr>
          <w:p w14:paraId="6CC07C3E">
            <w:pPr>
              <w:spacing w:after="240"/>
              <w:rPr>
                <w:rFonts w:cstheme="minorHAnsi"/>
                <w:sz w:val="18"/>
                <w:szCs w:val="18"/>
              </w:rPr>
            </w:pPr>
            <w:r>
              <w:rPr>
                <w:rFonts w:cstheme="minorHAnsi"/>
                <w:sz w:val="18"/>
                <w:szCs w:val="18"/>
              </w:rPr>
              <w:t>±0.075%SPAN</w:t>
            </w:r>
          </w:p>
          <w:p w14:paraId="2F6B3E3A">
            <w:pPr>
              <w:spacing w:after="240"/>
              <w:rPr>
                <w:rFonts w:cstheme="minorHAnsi"/>
                <w:sz w:val="18"/>
                <w:szCs w:val="18"/>
              </w:rPr>
            </w:pPr>
            <w:r>
              <w:rPr>
                <w:rFonts w:cstheme="minorHAnsi"/>
                <w:sz w:val="18"/>
                <w:szCs w:val="18"/>
              </w:rPr>
              <w:t>For ranges less than 10:1, accuracy: ± (0.005 * TD)% * SPAN</w:t>
            </w:r>
          </w:p>
        </w:tc>
      </w:tr>
      <w:tr w14:paraId="4938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4AF7B4AA">
            <w:pPr>
              <w:spacing w:before="120" w:beforeLines="50" w:after="120" w:afterLines="50"/>
              <w:rPr>
                <w:rFonts w:ascii="Calibri" w:hAnsi="Calibri" w:cs="Calibri"/>
                <w:sz w:val="18"/>
                <w:szCs w:val="18"/>
              </w:rPr>
            </w:pPr>
            <w:r>
              <w:rPr>
                <w:rFonts w:hint="eastAsia" w:ascii="Calibri" w:hAnsi="Calibri" w:cs="Calibri"/>
                <w:sz w:val="18"/>
                <w:szCs w:val="18"/>
              </w:rPr>
              <w:t>3kPa、6kPa、40kPa</w:t>
            </w:r>
          </w:p>
        </w:tc>
        <w:tc>
          <w:tcPr>
            <w:tcW w:w="5981" w:type="dxa"/>
          </w:tcPr>
          <w:p w14:paraId="1BDACAEE">
            <w:pPr>
              <w:spacing w:after="240"/>
              <w:rPr>
                <w:rFonts w:cstheme="minorHAnsi"/>
                <w:sz w:val="18"/>
                <w:szCs w:val="18"/>
              </w:rPr>
            </w:pPr>
            <w:r>
              <w:rPr>
                <w:rFonts w:cstheme="minorHAnsi"/>
                <w:sz w:val="18"/>
                <w:szCs w:val="18"/>
              </w:rPr>
              <w:t>±0.075%SPAN</w:t>
            </w:r>
          </w:p>
          <w:p w14:paraId="33A7D8E4">
            <w:pPr>
              <w:spacing w:after="240"/>
              <w:rPr>
                <w:rFonts w:cstheme="minorHAnsi"/>
                <w:sz w:val="18"/>
                <w:szCs w:val="18"/>
              </w:rPr>
            </w:pPr>
            <w:r>
              <w:rPr>
                <w:rFonts w:cstheme="minorHAnsi"/>
                <w:sz w:val="18"/>
                <w:szCs w:val="18"/>
              </w:rPr>
              <w:t>For ranges less than 5:1, accuracy:</w:t>
            </w:r>
            <w:r>
              <w:rPr>
                <w:rFonts w:hint="eastAsia" w:ascii="Calibri" w:hAnsi="Calibri" w:cs="Calibri"/>
                <w:sz w:val="18"/>
                <w:szCs w:val="18"/>
              </w:rPr>
              <w:t>±(0.0</w:t>
            </w:r>
            <w:r>
              <w:rPr>
                <w:rFonts w:ascii="Calibri" w:hAnsi="Calibri" w:cs="Calibri"/>
                <w:sz w:val="18"/>
                <w:szCs w:val="18"/>
              </w:rPr>
              <w:t>15</w:t>
            </w:r>
            <w:r>
              <w:rPr>
                <w:rFonts w:hint="eastAsia" w:ascii="Calibri" w:hAnsi="Calibri" w:cs="Calibri"/>
                <w:sz w:val="18"/>
                <w:szCs w:val="18"/>
              </w:rPr>
              <w:t>*TD)%*SPAN</w:t>
            </w:r>
          </w:p>
        </w:tc>
      </w:tr>
      <w:tr w14:paraId="237B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2"/>
          </w:tcPr>
          <w:p w14:paraId="12E62DE8">
            <w:pPr>
              <w:spacing w:after="240"/>
              <w:rPr>
                <w:rFonts w:cstheme="minorHAnsi"/>
                <w:sz w:val="18"/>
                <w:szCs w:val="18"/>
              </w:rPr>
            </w:pPr>
            <w:r>
              <w:rPr>
                <w:rFonts w:cstheme="minorHAnsi"/>
                <w:sz w:val="18"/>
                <w:szCs w:val="18"/>
              </w:rPr>
              <w:t>The square root output accuracy is 1.5 times that of the above linear reference accuracy</w:t>
            </w:r>
          </w:p>
        </w:tc>
      </w:tr>
      <w:tr w14:paraId="6651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2"/>
          </w:tcPr>
          <w:p w14:paraId="5FB9B782">
            <w:pPr>
              <w:spacing w:after="240"/>
              <w:rPr>
                <w:rFonts w:cstheme="minorHAnsi"/>
                <w:sz w:val="18"/>
                <w:szCs w:val="18"/>
              </w:rPr>
            </w:pPr>
            <w:r>
              <w:rPr>
                <w:rFonts w:cstheme="minorHAnsi"/>
                <w:sz w:val="18"/>
                <w:szCs w:val="18"/>
              </w:rPr>
              <w:t>Note 1, TD (Turn down) is the range ratio, when | URV | ≥ | LRV |, TD=URL/ | LRV |</w:t>
            </w:r>
          </w:p>
          <w:p w14:paraId="72C1EE09">
            <w:pPr>
              <w:spacing w:after="240"/>
              <w:rPr>
                <w:rFonts w:cstheme="minorHAnsi"/>
                <w:sz w:val="18"/>
                <w:szCs w:val="18"/>
              </w:rPr>
            </w:pPr>
            <w:r>
              <w:rPr>
                <w:rFonts w:cstheme="minorHAnsi"/>
                <w:sz w:val="18"/>
                <w:szCs w:val="18"/>
              </w:rPr>
              <w:t>When | URV | ≤ | LRV |, TD=URL/ | LRV |</w:t>
            </w:r>
          </w:p>
          <w:p w14:paraId="14D5BA1F">
            <w:pPr>
              <w:spacing w:after="240"/>
              <w:rPr>
                <w:rFonts w:cstheme="minorHAnsi"/>
                <w:sz w:val="18"/>
                <w:szCs w:val="18"/>
              </w:rPr>
            </w:pPr>
            <w:r>
              <w:rPr>
                <w:rFonts w:cstheme="minorHAnsi"/>
                <w:sz w:val="18"/>
                <w:szCs w:val="18"/>
              </w:rPr>
              <w:t>Note 2: SPAN refers to range difference: SPAN=|URV-LRV|</w:t>
            </w:r>
          </w:p>
        </w:tc>
      </w:tr>
    </w:tbl>
    <w:p w14:paraId="6FC9A4C7">
      <w:pPr>
        <w:numPr>
          <w:ilvl w:val="0"/>
          <w:numId w:val="28"/>
        </w:numPr>
        <w:spacing w:before="120" w:beforeLines="50" w:after="120" w:afterLines="50"/>
        <w:rPr>
          <w:rFonts w:cstheme="minorHAnsi"/>
          <w:b/>
        </w:rPr>
      </w:pPr>
      <w:r>
        <w:rPr>
          <w:rFonts w:eastAsia="微软雅黑" w:cstheme="minorHAnsi"/>
          <w:b/>
          <w:sz w:val="18"/>
          <w:szCs w:val="18"/>
        </w:rPr>
        <w:t>Ambient temperature impact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C53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4" w:type="dxa"/>
          </w:tcPr>
          <w:p w14:paraId="25C35AF5">
            <w:pPr>
              <w:spacing w:after="240"/>
              <w:rPr>
                <w:rFonts w:cstheme="minorHAnsi"/>
                <w:b/>
                <w:sz w:val="18"/>
                <w:szCs w:val="18"/>
              </w:rPr>
            </w:pPr>
            <w:r>
              <w:rPr>
                <w:rFonts w:eastAsia="微软雅黑" w:cstheme="minorHAnsi"/>
                <w:sz w:val="18"/>
                <w:szCs w:val="18"/>
              </w:rPr>
              <w:t>Total impact for every 10</w:t>
            </w:r>
            <w:r>
              <w:rPr>
                <w:rFonts w:ascii="Cambria Math" w:hAnsi="Cambria Math" w:cs="Cambria Math"/>
                <w:sz w:val="18"/>
                <w:szCs w:val="18"/>
              </w:rPr>
              <w:t>℃</w:t>
            </w:r>
            <w:r>
              <w:rPr>
                <w:rFonts w:eastAsia="微软雅黑" w:cstheme="minorHAnsi"/>
                <w:sz w:val="18"/>
                <w:szCs w:val="18"/>
              </w:rPr>
              <w:t xml:space="preserve"> within the-40-85</w:t>
            </w:r>
            <w:r>
              <w:rPr>
                <w:rFonts w:ascii="Cambria Math" w:hAnsi="Cambria Math" w:cs="Cambria Math"/>
                <w:sz w:val="18"/>
                <w:szCs w:val="18"/>
              </w:rPr>
              <w:t>℃</w:t>
            </w:r>
            <w:r>
              <w:rPr>
                <w:rFonts w:eastAsia="微软雅黑" w:cstheme="minorHAnsi"/>
                <w:sz w:val="18"/>
                <w:szCs w:val="18"/>
              </w:rPr>
              <w:t xml:space="preserve"> range</w:t>
            </w:r>
          </w:p>
        </w:tc>
        <w:tc>
          <w:tcPr>
            <w:tcW w:w="4264" w:type="dxa"/>
          </w:tcPr>
          <w:p w14:paraId="52853BCD">
            <w:pPr>
              <w:spacing w:after="240"/>
              <w:rPr>
                <w:rFonts w:cstheme="minorHAnsi"/>
                <w:sz w:val="18"/>
                <w:szCs w:val="18"/>
              </w:rPr>
            </w:pPr>
            <w:r>
              <w:rPr>
                <w:rFonts w:ascii="Calibri" w:hAnsi="Calibri" w:cs="Calibri"/>
                <w:sz w:val="18"/>
                <w:szCs w:val="18"/>
              </w:rPr>
              <w:t>±0.075%URL</w:t>
            </w:r>
          </w:p>
        </w:tc>
      </w:tr>
    </w:tbl>
    <w:p w14:paraId="1C1C9EBF">
      <w:pPr>
        <w:numPr>
          <w:ilvl w:val="0"/>
          <w:numId w:val="28"/>
        </w:numPr>
        <w:spacing w:before="120" w:beforeLines="50" w:after="120" w:afterLines="50"/>
        <w:rPr>
          <w:rFonts w:cstheme="minorHAnsi"/>
          <w:b/>
        </w:rPr>
      </w:pPr>
      <w:r>
        <w:rPr>
          <w:rFonts w:eastAsia="微软雅黑" w:cstheme="minorHAnsi"/>
          <w:b/>
          <w:sz w:val="18"/>
          <w:szCs w:val="18"/>
        </w:rPr>
        <w:t>Power supply influence</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34F5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tcPr>
          <w:p w14:paraId="1102D6C3">
            <w:pPr>
              <w:spacing w:after="240"/>
              <w:rPr>
                <w:rFonts w:cstheme="minorHAnsi"/>
                <w:sz w:val="18"/>
                <w:szCs w:val="18"/>
              </w:rPr>
            </w:pPr>
            <w:r>
              <w:rPr>
                <w:rFonts w:eastAsia="微软雅黑" w:cstheme="minorHAnsi"/>
                <w:sz w:val="18"/>
                <w:szCs w:val="18"/>
              </w:rPr>
              <w:t>The zero and range changes shall not exceed the ± 0.005% upper range limit / V</w:t>
            </w:r>
          </w:p>
        </w:tc>
      </w:tr>
    </w:tbl>
    <w:p w14:paraId="5114E5C4">
      <w:pPr>
        <w:numPr>
          <w:ilvl w:val="0"/>
          <w:numId w:val="28"/>
        </w:numPr>
        <w:spacing w:before="240" w:after="240"/>
        <w:rPr>
          <w:rFonts w:eastAsia="微软雅黑" w:cstheme="minorHAnsi"/>
          <w:b/>
          <w:sz w:val="18"/>
          <w:szCs w:val="18"/>
        </w:rPr>
      </w:pPr>
      <w:bookmarkStart w:id="217" w:name="_Toc99099413"/>
      <w:r>
        <w:rPr>
          <w:rFonts w:eastAsia="微软雅黑" w:cstheme="minorHAnsi"/>
          <w:b/>
          <w:sz w:val="18"/>
          <w:szCs w:val="18"/>
        </w:rPr>
        <w:t>Stability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32BD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8" w:type="dxa"/>
            <w:vAlign w:val="center"/>
          </w:tcPr>
          <w:p w14:paraId="29BF80D2">
            <w:pPr>
              <w:spacing w:after="240"/>
              <w:rPr>
                <w:rFonts w:eastAsia="微软雅黑" w:cstheme="minorHAnsi"/>
                <w:sz w:val="18"/>
                <w:szCs w:val="18"/>
              </w:rPr>
            </w:pPr>
            <w:r>
              <w:rPr>
                <w:rFonts w:eastAsia="微软雅黑" w:cstheme="minorHAnsi"/>
                <w:sz w:val="18"/>
                <w:szCs w:val="18"/>
              </w:rPr>
              <w:t xml:space="preserve">Annual stability: ± 0.2% </w:t>
            </w:r>
            <w:r>
              <w:rPr>
                <w:rFonts w:cstheme="minorHAnsi"/>
                <w:sz w:val="18"/>
                <w:szCs w:val="18"/>
              </w:rPr>
              <w:t>URL</w:t>
            </w:r>
            <w:r>
              <w:rPr>
                <w:rFonts w:eastAsia="微软雅黑" w:cstheme="minorHAnsi"/>
                <w:sz w:val="18"/>
                <w:szCs w:val="18"/>
              </w:rPr>
              <w:t xml:space="preserve"> /5 years</w:t>
            </w:r>
          </w:p>
        </w:tc>
      </w:tr>
    </w:tbl>
    <w:p w14:paraId="373BAD46">
      <w:pPr>
        <w:pStyle w:val="4"/>
        <w:spacing w:before="120" w:beforeLines="50" w:after="120" w:afterLines="50"/>
        <w:rPr>
          <w:rFonts w:asciiTheme="minorHAnsi" w:hAnsiTheme="minorHAnsi" w:cstheme="minorHAnsi"/>
        </w:rPr>
      </w:pPr>
      <w:bookmarkStart w:id="218" w:name="_Toc199429866"/>
      <w:r>
        <w:rPr>
          <w:rFonts w:asciiTheme="minorHAnsi" w:hAnsiTheme="minorHAnsi" w:cstheme="minorHAnsi"/>
        </w:rPr>
        <w:t>NCS-PT105IISM Gauge pressure transmitter performance index</w:t>
      </w:r>
      <w:bookmarkEnd w:id="217"/>
      <w:bookmarkEnd w:id="218"/>
    </w:p>
    <w:p w14:paraId="07732376">
      <w:pPr>
        <w:numPr>
          <w:ilvl w:val="0"/>
          <w:numId w:val="28"/>
        </w:numPr>
        <w:spacing w:before="120" w:beforeLines="50" w:after="120" w:afterLines="50"/>
        <w:rPr>
          <w:rFonts w:cstheme="minorHAnsi"/>
          <w:b/>
        </w:rPr>
      </w:pPr>
      <w:r>
        <w:rPr>
          <w:rFonts w:cstheme="minorHAnsi"/>
          <w:b/>
        </w:rPr>
        <w:t>Range and range limit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448D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shd w:val="clear" w:color="auto" w:fill="BFBFBF"/>
            <w:vAlign w:val="center"/>
          </w:tcPr>
          <w:p w14:paraId="67240EDA">
            <w:pPr>
              <w:spacing w:after="240"/>
              <w:rPr>
                <w:rFonts w:cstheme="minorHAnsi"/>
                <w:sz w:val="18"/>
                <w:szCs w:val="18"/>
              </w:rPr>
            </w:pPr>
            <w:r>
              <w:rPr>
                <w:rFonts w:cstheme="minorHAnsi"/>
                <w:sz w:val="18"/>
                <w:szCs w:val="18"/>
              </w:rPr>
              <w:t>Nominal range</w:t>
            </w:r>
          </w:p>
        </w:tc>
        <w:tc>
          <w:tcPr>
            <w:tcW w:w="1705" w:type="dxa"/>
            <w:shd w:val="clear" w:color="auto" w:fill="BFBFBF"/>
            <w:vAlign w:val="center"/>
          </w:tcPr>
          <w:p w14:paraId="6D5AA8BE">
            <w:pPr>
              <w:spacing w:after="240"/>
              <w:rPr>
                <w:rFonts w:cstheme="minorHAnsi"/>
                <w:sz w:val="18"/>
                <w:szCs w:val="18"/>
              </w:rPr>
            </w:pPr>
            <w:r>
              <w:rPr>
                <w:rFonts w:cstheme="minorHAnsi"/>
                <w:sz w:val="18"/>
                <w:szCs w:val="18"/>
              </w:rPr>
              <w:t>Range of measurement</w:t>
            </w:r>
          </w:p>
        </w:tc>
        <w:tc>
          <w:tcPr>
            <w:tcW w:w="1706" w:type="dxa"/>
            <w:shd w:val="clear" w:color="auto" w:fill="BFBFBF"/>
            <w:vAlign w:val="center"/>
          </w:tcPr>
          <w:p w14:paraId="4A088246">
            <w:pPr>
              <w:spacing w:after="240"/>
              <w:rPr>
                <w:rFonts w:cstheme="minorHAnsi"/>
                <w:sz w:val="18"/>
                <w:szCs w:val="18"/>
              </w:rPr>
            </w:pPr>
            <w:r>
              <w:rPr>
                <w:rFonts w:cstheme="minorHAnsi"/>
                <w:sz w:val="18"/>
                <w:szCs w:val="18"/>
              </w:rPr>
              <w:t>Lower range limit</w:t>
            </w:r>
          </w:p>
        </w:tc>
        <w:tc>
          <w:tcPr>
            <w:tcW w:w="1706" w:type="dxa"/>
            <w:shd w:val="clear" w:color="auto" w:fill="BFBFBF"/>
            <w:vAlign w:val="center"/>
          </w:tcPr>
          <w:p w14:paraId="437A9E02">
            <w:pPr>
              <w:spacing w:after="240"/>
              <w:rPr>
                <w:rFonts w:cstheme="minorHAnsi"/>
                <w:sz w:val="18"/>
                <w:szCs w:val="18"/>
              </w:rPr>
            </w:pPr>
            <w:r>
              <w:rPr>
                <w:rFonts w:cstheme="minorHAnsi"/>
                <w:sz w:val="18"/>
                <w:szCs w:val="18"/>
              </w:rPr>
              <w:t>Upper range limit</w:t>
            </w:r>
          </w:p>
        </w:tc>
        <w:tc>
          <w:tcPr>
            <w:tcW w:w="1706" w:type="dxa"/>
            <w:shd w:val="clear" w:color="auto" w:fill="BFBFBF"/>
            <w:vAlign w:val="center"/>
          </w:tcPr>
          <w:p w14:paraId="520C7FC1">
            <w:pPr>
              <w:spacing w:after="240"/>
              <w:rPr>
                <w:rFonts w:cstheme="minorHAnsi"/>
                <w:sz w:val="18"/>
                <w:szCs w:val="18"/>
              </w:rPr>
            </w:pPr>
            <w:r>
              <w:rPr>
                <w:rFonts w:cstheme="minorHAnsi"/>
                <w:sz w:val="18"/>
                <w:szCs w:val="18"/>
              </w:rPr>
              <w:t>Overload</w:t>
            </w:r>
          </w:p>
        </w:tc>
      </w:tr>
      <w:tr w14:paraId="525F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705" w:type="dxa"/>
            <w:vAlign w:val="center"/>
          </w:tcPr>
          <w:p w14:paraId="119C3C6C">
            <w:pPr>
              <w:spacing w:after="240"/>
              <w:jc w:val="center"/>
              <w:rPr>
                <w:rFonts w:ascii="Calibri" w:hAnsi="Calibri" w:cs="Calibri"/>
                <w:sz w:val="18"/>
                <w:szCs w:val="18"/>
              </w:rPr>
            </w:pPr>
            <w:r>
              <w:rPr>
                <w:rFonts w:hint="eastAsia" w:ascii="Calibri" w:hAnsi="Calibri" w:cs="Calibri"/>
                <w:sz w:val="18"/>
                <w:szCs w:val="18"/>
              </w:rPr>
              <w:t>3</w:t>
            </w:r>
            <w:r>
              <w:rPr>
                <w:rFonts w:ascii="Calibri" w:hAnsi="Calibri" w:cs="Calibri"/>
                <w:sz w:val="18"/>
                <w:szCs w:val="18"/>
              </w:rPr>
              <w:t>kPa</w:t>
            </w:r>
          </w:p>
        </w:tc>
        <w:tc>
          <w:tcPr>
            <w:tcW w:w="1705" w:type="dxa"/>
            <w:vAlign w:val="center"/>
          </w:tcPr>
          <w:p w14:paraId="31C6AFC3">
            <w:pPr>
              <w:spacing w:after="240"/>
              <w:jc w:val="center"/>
              <w:rPr>
                <w:rFonts w:ascii="Calibri" w:hAnsi="Calibri" w:cs="Calibri"/>
                <w:sz w:val="18"/>
                <w:szCs w:val="18"/>
              </w:rPr>
            </w:pPr>
            <w:r>
              <w:rPr>
                <w:rFonts w:hint="eastAsia" w:ascii="Calibri" w:hAnsi="Calibri" w:cs="Calibri"/>
                <w:sz w:val="18"/>
                <w:szCs w:val="18"/>
              </w:rPr>
              <w:t>150P</w:t>
            </w:r>
            <w:r>
              <w:rPr>
                <w:rFonts w:ascii="Calibri" w:hAnsi="Calibri" w:cs="Calibri"/>
                <w:sz w:val="18"/>
                <w:szCs w:val="18"/>
              </w:rPr>
              <w:t>a</w:t>
            </w:r>
            <w:r>
              <w:rPr>
                <w:rFonts w:hint="eastAsia" w:asciiTheme="minorEastAsia" w:hAnsiTheme="minorEastAsia" w:cstheme="minorEastAsia"/>
                <w:sz w:val="18"/>
                <w:szCs w:val="18"/>
              </w:rPr>
              <w:t>~</w:t>
            </w:r>
            <w:r>
              <w:rPr>
                <w:rFonts w:hint="eastAsia" w:ascii="Calibri" w:hAnsi="Calibri" w:cs="Calibri"/>
                <w:sz w:val="18"/>
                <w:szCs w:val="18"/>
              </w:rPr>
              <w:t>3</w:t>
            </w:r>
            <w:r>
              <w:rPr>
                <w:rFonts w:ascii="Calibri" w:hAnsi="Calibri" w:cs="Calibri"/>
                <w:sz w:val="18"/>
                <w:szCs w:val="18"/>
              </w:rPr>
              <w:t>kPa</w:t>
            </w:r>
          </w:p>
        </w:tc>
        <w:tc>
          <w:tcPr>
            <w:tcW w:w="1706" w:type="dxa"/>
            <w:vAlign w:val="center"/>
          </w:tcPr>
          <w:p w14:paraId="2E518BFB">
            <w:pPr>
              <w:spacing w:after="240"/>
              <w:jc w:val="center"/>
              <w:rPr>
                <w:rFonts w:ascii="Calibri" w:hAnsi="Calibri" w:cs="Calibri"/>
                <w:sz w:val="18"/>
                <w:szCs w:val="18"/>
              </w:rPr>
            </w:pPr>
            <w:r>
              <w:rPr>
                <w:rFonts w:ascii="Calibri" w:hAnsi="Calibri" w:cs="Calibri"/>
                <w:sz w:val="18"/>
                <w:szCs w:val="18"/>
              </w:rPr>
              <w:t>-</w:t>
            </w:r>
            <w:r>
              <w:rPr>
                <w:rFonts w:hint="eastAsia" w:ascii="Calibri" w:hAnsi="Calibri" w:cs="Calibri"/>
                <w:sz w:val="18"/>
                <w:szCs w:val="18"/>
              </w:rPr>
              <w:t>3</w:t>
            </w:r>
            <w:r>
              <w:rPr>
                <w:rFonts w:ascii="Calibri" w:hAnsi="Calibri" w:cs="Calibri"/>
                <w:sz w:val="18"/>
                <w:szCs w:val="18"/>
              </w:rPr>
              <w:t>Kpa</w:t>
            </w:r>
          </w:p>
        </w:tc>
        <w:tc>
          <w:tcPr>
            <w:tcW w:w="1706" w:type="dxa"/>
            <w:vAlign w:val="center"/>
          </w:tcPr>
          <w:p w14:paraId="0973E23F">
            <w:pPr>
              <w:spacing w:after="240"/>
              <w:jc w:val="center"/>
              <w:rPr>
                <w:rFonts w:ascii="Calibri" w:hAnsi="Calibri" w:cs="Calibri"/>
                <w:sz w:val="18"/>
                <w:szCs w:val="18"/>
              </w:rPr>
            </w:pPr>
            <w:r>
              <w:rPr>
                <w:rFonts w:hint="eastAsia" w:ascii="Calibri" w:hAnsi="Calibri" w:cs="Calibri"/>
                <w:sz w:val="18"/>
                <w:szCs w:val="18"/>
              </w:rPr>
              <w:t>3</w:t>
            </w:r>
            <w:r>
              <w:rPr>
                <w:rFonts w:ascii="Calibri" w:hAnsi="Calibri" w:cs="Calibri"/>
                <w:sz w:val="18"/>
                <w:szCs w:val="18"/>
              </w:rPr>
              <w:t>kPa</w:t>
            </w:r>
          </w:p>
        </w:tc>
        <w:tc>
          <w:tcPr>
            <w:tcW w:w="1706" w:type="dxa"/>
            <w:vAlign w:val="center"/>
          </w:tcPr>
          <w:p w14:paraId="3DBB37FE">
            <w:pPr>
              <w:spacing w:after="240"/>
              <w:jc w:val="center"/>
              <w:rPr>
                <w:rFonts w:ascii="Calibri" w:hAnsi="Calibri" w:cs="Calibri"/>
                <w:sz w:val="18"/>
                <w:szCs w:val="18"/>
              </w:rPr>
            </w:pPr>
            <w:r>
              <w:rPr>
                <w:rFonts w:hint="eastAsia" w:ascii="Calibri" w:hAnsi="Calibri" w:cs="Calibri"/>
                <w:sz w:val="18"/>
                <w:szCs w:val="18"/>
              </w:rPr>
              <w:t>400KPa</w:t>
            </w:r>
          </w:p>
        </w:tc>
      </w:tr>
      <w:tr w14:paraId="3663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45E50430">
            <w:pPr>
              <w:spacing w:after="240"/>
              <w:jc w:val="center"/>
              <w:rPr>
                <w:rFonts w:ascii="Calibri" w:hAnsi="Calibri" w:cs="Calibri"/>
                <w:sz w:val="18"/>
                <w:szCs w:val="18"/>
              </w:rPr>
            </w:pPr>
            <w:r>
              <w:rPr>
                <w:rFonts w:ascii="Calibri" w:hAnsi="Calibri" w:cs="Calibri"/>
                <w:sz w:val="18"/>
                <w:szCs w:val="18"/>
              </w:rPr>
              <w:t>6kPa</w:t>
            </w:r>
          </w:p>
        </w:tc>
        <w:tc>
          <w:tcPr>
            <w:tcW w:w="1705" w:type="dxa"/>
            <w:vAlign w:val="center"/>
          </w:tcPr>
          <w:p w14:paraId="7DDE7A2E">
            <w:pPr>
              <w:spacing w:after="240"/>
              <w:jc w:val="center"/>
              <w:rPr>
                <w:rFonts w:ascii="Calibri" w:hAnsi="Calibri" w:cs="Calibri"/>
                <w:sz w:val="18"/>
                <w:szCs w:val="18"/>
              </w:rPr>
            </w:pPr>
            <w:r>
              <w:rPr>
                <w:rFonts w:ascii="Calibri" w:hAnsi="Calibri" w:cs="Calibri"/>
                <w:sz w:val="18"/>
                <w:szCs w:val="18"/>
              </w:rPr>
              <w:t>200Pa</w:t>
            </w:r>
            <w:r>
              <w:rPr>
                <w:rFonts w:hint="eastAsia" w:asciiTheme="minorEastAsia" w:hAnsiTheme="minorEastAsia" w:cstheme="minorEastAsia"/>
                <w:sz w:val="18"/>
                <w:szCs w:val="18"/>
              </w:rPr>
              <w:t>~</w:t>
            </w:r>
            <w:r>
              <w:rPr>
                <w:rFonts w:ascii="Calibri" w:hAnsi="Calibri" w:cs="Calibri"/>
                <w:sz w:val="18"/>
                <w:szCs w:val="18"/>
              </w:rPr>
              <w:t>6kPa</w:t>
            </w:r>
          </w:p>
        </w:tc>
        <w:tc>
          <w:tcPr>
            <w:tcW w:w="1706" w:type="dxa"/>
            <w:vAlign w:val="center"/>
          </w:tcPr>
          <w:p w14:paraId="5B022142">
            <w:pPr>
              <w:spacing w:after="240"/>
              <w:jc w:val="center"/>
              <w:rPr>
                <w:rFonts w:ascii="Calibri" w:hAnsi="Calibri" w:cs="Calibri"/>
                <w:sz w:val="18"/>
                <w:szCs w:val="18"/>
              </w:rPr>
            </w:pPr>
            <w:r>
              <w:rPr>
                <w:rFonts w:ascii="Calibri" w:hAnsi="Calibri" w:cs="Calibri"/>
                <w:sz w:val="18"/>
                <w:szCs w:val="18"/>
              </w:rPr>
              <w:t>-6Kpa</w:t>
            </w:r>
          </w:p>
        </w:tc>
        <w:tc>
          <w:tcPr>
            <w:tcW w:w="1706" w:type="dxa"/>
            <w:vAlign w:val="center"/>
          </w:tcPr>
          <w:p w14:paraId="7BC2C634">
            <w:pPr>
              <w:spacing w:after="240"/>
              <w:jc w:val="center"/>
              <w:rPr>
                <w:rFonts w:ascii="Calibri" w:hAnsi="Calibri" w:cs="Calibri"/>
                <w:sz w:val="18"/>
                <w:szCs w:val="18"/>
              </w:rPr>
            </w:pPr>
            <w:r>
              <w:rPr>
                <w:rFonts w:ascii="Calibri" w:hAnsi="Calibri" w:cs="Calibri"/>
                <w:sz w:val="18"/>
                <w:szCs w:val="18"/>
              </w:rPr>
              <w:t>6kPa</w:t>
            </w:r>
          </w:p>
        </w:tc>
        <w:tc>
          <w:tcPr>
            <w:tcW w:w="1706" w:type="dxa"/>
            <w:vAlign w:val="center"/>
          </w:tcPr>
          <w:p w14:paraId="7A3AA1F0">
            <w:pPr>
              <w:spacing w:after="240"/>
              <w:jc w:val="center"/>
              <w:rPr>
                <w:rFonts w:ascii="Calibri" w:hAnsi="Calibri" w:cs="Calibri"/>
                <w:sz w:val="18"/>
                <w:szCs w:val="18"/>
              </w:rPr>
            </w:pPr>
            <w:r>
              <w:rPr>
                <w:rFonts w:hint="eastAsia" w:ascii="Calibri" w:hAnsi="Calibri" w:cs="Calibri"/>
                <w:sz w:val="18"/>
                <w:szCs w:val="18"/>
              </w:rPr>
              <w:t>400KPa</w:t>
            </w:r>
          </w:p>
        </w:tc>
      </w:tr>
      <w:tr w14:paraId="0883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1E868852">
            <w:pPr>
              <w:spacing w:after="240"/>
              <w:jc w:val="center"/>
              <w:rPr>
                <w:rFonts w:ascii="Calibri" w:hAnsi="Calibri" w:cs="Calibri"/>
                <w:sz w:val="18"/>
                <w:szCs w:val="18"/>
              </w:rPr>
            </w:pPr>
            <w:r>
              <w:rPr>
                <w:rFonts w:ascii="Calibri" w:hAnsi="Calibri" w:cs="Calibri"/>
                <w:sz w:val="18"/>
                <w:szCs w:val="18"/>
              </w:rPr>
              <w:t>40kPa</w:t>
            </w:r>
          </w:p>
        </w:tc>
        <w:tc>
          <w:tcPr>
            <w:tcW w:w="1705" w:type="dxa"/>
            <w:vAlign w:val="center"/>
          </w:tcPr>
          <w:p w14:paraId="2A287E11">
            <w:pPr>
              <w:spacing w:after="240"/>
              <w:jc w:val="center"/>
              <w:rPr>
                <w:rFonts w:ascii="Calibri" w:hAnsi="Calibri" w:cs="Calibri"/>
                <w:sz w:val="18"/>
                <w:szCs w:val="18"/>
              </w:rPr>
            </w:pPr>
            <w:r>
              <w:rPr>
                <w:rFonts w:ascii="Calibri" w:hAnsi="Calibri" w:cs="Calibri"/>
                <w:sz w:val="18"/>
                <w:szCs w:val="18"/>
              </w:rPr>
              <w:t>2kPa</w:t>
            </w:r>
            <w:r>
              <w:rPr>
                <w:rFonts w:hint="eastAsia" w:asciiTheme="minorEastAsia" w:hAnsiTheme="minorEastAsia" w:cstheme="minorEastAsia"/>
                <w:sz w:val="18"/>
                <w:szCs w:val="18"/>
              </w:rPr>
              <w:t>~</w:t>
            </w:r>
            <w:r>
              <w:rPr>
                <w:rFonts w:ascii="Calibri" w:hAnsi="Calibri" w:cs="Calibri"/>
                <w:sz w:val="18"/>
                <w:szCs w:val="18"/>
              </w:rPr>
              <w:t>40kPa</w:t>
            </w:r>
          </w:p>
        </w:tc>
        <w:tc>
          <w:tcPr>
            <w:tcW w:w="1706" w:type="dxa"/>
            <w:vAlign w:val="center"/>
          </w:tcPr>
          <w:p w14:paraId="6E792891">
            <w:pPr>
              <w:spacing w:after="240"/>
              <w:jc w:val="center"/>
              <w:rPr>
                <w:rFonts w:ascii="Calibri" w:hAnsi="Calibri" w:cs="Calibri"/>
                <w:sz w:val="18"/>
                <w:szCs w:val="18"/>
              </w:rPr>
            </w:pPr>
            <w:r>
              <w:rPr>
                <w:rFonts w:ascii="Calibri" w:hAnsi="Calibri" w:cs="Calibri"/>
                <w:sz w:val="18"/>
                <w:szCs w:val="18"/>
              </w:rPr>
              <w:t>-40kPa</w:t>
            </w:r>
          </w:p>
        </w:tc>
        <w:tc>
          <w:tcPr>
            <w:tcW w:w="1706" w:type="dxa"/>
            <w:vAlign w:val="center"/>
          </w:tcPr>
          <w:p w14:paraId="39162D13">
            <w:pPr>
              <w:spacing w:after="240"/>
              <w:jc w:val="center"/>
              <w:rPr>
                <w:rFonts w:ascii="Calibri" w:hAnsi="Calibri" w:cs="Calibri"/>
                <w:sz w:val="18"/>
                <w:szCs w:val="18"/>
              </w:rPr>
            </w:pPr>
            <w:r>
              <w:rPr>
                <w:rFonts w:ascii="Calibri" w:hAnsi="Calibri" w:cs="Calibri"/>
                <w:sz w:val="18"/>
                <w:szCs w:val="18"/>
              </w:rPr>
              <w:t>40kPa</w:t>
            </w:r>
          </w:p>
        </w:tc>
        <w:tc>
          <w:tcPr>
            <w:tcW w:w="1706" w:type="dxa"/>
            <w:vAlign w:val="center"/>
          </w:tcPr>
          <w:p w14:paraId="22CC090C">
            <w:pPr>
              <w:spacing w:after="240"/>
              <w:jc w:val="center"/>
              <w:rPr>
                <w:rFonts w:ascii="Calibri" w:hAnsi="Calibri" w:cs="Calibri"/>
                <w:sz w:val="18"/>
                <w:szCs w:val="18"/>
              </w:rPr>
            </w:pPr>
            <w:r>
              <w:rPr>
                <w:rFonts w:ascii="Calibri" w:hAnsi="Calibri" w:cs="Calibri"/>
                <w:sz w:val="18"/>
                <w:szCs w:val="18"/>
              </w:rPr>
              <w:t>1MPa</w:t>
            </w:r>
          </w:p>
        </w:tc>
      </w:tr>
      <w:tr w14:paraId="6B18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439026FD">
            <w:pPr>
              <w:spacing w:after="240"/>
              <w:jc w:val="center"/>
              <w:rPr>
                <w:rFonts w:ascii="Calibri" w:hAnsi="Calibri" w:cs="Calibri"/>
                <w:sz w:val="18"/>
                <w:szCs w:val="18"/>
              </w:rPr>
            </w:pPr>
            <w:r>
              <w:rPr>
                <w:rFonts w:ascii="Calibri" w:hAnsi="Calibri" w:cs="Calibri"/>
                <w:sz w:val="18"/>
                <w:szCs w:val="18"/>
              </w:rPr>
              <w:t>250kPa</w:t>
            </w:r>
          </w:p>
        </w:tc>
        <w:tc>
          <w:tcPr>
            <w:tcW w:w="1705" w:type="dxa"/>
            <w:vAlign w:val="center"/>
          </w:tcPr>
          <w:p w14:paraId="0C349F04">
            <w:pPr>
              <w:spacing w:after="240"/>
              <w:jc w:val="center"/>
              <w:rPr>
                <w:rFonts w:ascii="Calibri" w:hAnsi="Calibri" w:cs="Calibri"/>
                <w:sz w:val="18"/>
                <w:szCs w:val="18"/>
              </w:rPr>
            </w:pPr>
            <w:r>
              <w:rPr>
                <w:rFonts w:ascii="Calibri" w:hAnsi="Calibri" w:cs="Calibri"/>
                <w:sz w:val="18"/>
                <w:szCs w:val="18"/>
              </w:rPr>
              <w:t>12.5kPa</w:t>
            </w:r>
            <w:r>
              <w:rPr>
                <w:rFonts w:hint="eastAsia" w:asciiTheme="minorEastAsia" w:hAnsiTheme="minorEastAsia" w:cstheme="minorEastAsia"/>
                <w:sz w:val="18"/>
                <w:szCs w:val="18"/>
              </w:rPr>
              <w:t>~</w:t>
            </w:r>
            <w:r>
              <w:rPr>
                <w:rFonts w:ascii="Calibri" w:hAnsi="Calibri" w:cs="Calibri"/>
                <w:sz w:val="18"/>
                <w:szCs w:val="18"/>
              </w:rPr>
              <w:t>250kPa</w:t>
            </w:r>
          </w:p>
        </w:tc>
        <w:tc>
          <w:tcPr>
            <w:tcW w:w="1706" w:type="dxa"/>
            <w:vAlign w:val="center"/>
          </w:tcPr>
          <w:p w14:paraId="59C50D88">
            <w:pPr>
              <w:spacing w:after="240"/>
              <w:jc w:val="center"/>
              <w:rPr>
                <w:rFonts w:ascii="Calibri" w:hAnsi="Calibri" w:cs="Calibri"/>
                <w:sz w:val="18"/>
                <w:szCs w:val="18"/>
              </w:rPr>
            </w:pPr>
            <w:r>
              <w:rPr>
                <w:rFonts w:ascii="Calibri" w:hAnsi="Calibri" w:cs="Calibri"/>
                <w:sz w:val="18"/>
                <w:szCs w:val="18"/>
              </w:rPr>
              <w:t>-100kPa</w:t>
            </w:r>
          </w:p>
        </w:tc>
        <w:tc>
          <w:tcPr>
            <w:tcW w:w="1706" w:type="dxa"/>
            <w:vAlign w:val="center"/>
          </w:tcPr>
          <w:p w14:paraId="77A4F345">
            <w:pPr>
              <w:spacing w:after="240"/>
              <w:jc w:val="center"/>
              <w:rPr>
                <w:rFonts w:ascii="Calibri" w:hAnsi="Calibri" w:cs="Calibri"/>
                <w:sz w:val="18"/>
                <w:szCs w:val="18"/>
              </w:rPr>
            </w:pPr>
            <w:r>
              <w:rPr>
                <w:rFonts w:ascii="Calibri" w:hAnsi="Calibri" w:cs="Calibri"/>
                <w:sz w:val="18"/>
                <w:szCs w:val="18"/>
              </w:rPr>
              <w:t>250kPa</w:t>
            </w:r>
          </w:p>
        </w:tc>
        <w:tc>
          <w:tcPr>
            <w:tcW w:w="1706" w:type="dxa"/>
            <w:vAlign w:val="center"/>
          </w:tcPr>
          <w:p w14:paraId="0E15883E">
            <w:pPr>
              <w:spacing w:after="240"/>
              <w:jc w:val="center"/>
              <w:rPr>
                <w:rFonts w:ascii="Calibri" w:hAnsi="Calibri" w:cs="Calibri"/>
                <w:sz w:val="18"/>
                <w:szCs w:val="18"/>
              </w:rPr>
            </w:pPr>
            <w:r>
              <w:rPr>
                <w:rFonts w:ascii="Calibri" w:hAnsi="Calibri" w:cs="Calibri"/>
                <w:sz w:val="18"/>
                <w:szCs w:val="18"/>
              </w:rPr>
              <w:t>4MPa</w:t>
            </w:r>
          </w:p>
        </w:tc>
      </w:tr>
      <w:tr w14:paraId="2421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24470611">
            <w:pPr>
              <w:spacing w:after="240"/>
              <w:jc w:val="center"/>
              <w:rPr>
                <w:rFonts w:ascii="Calibri" w:hAnsi="Calibri" w:cs="Calibri"/>
                <w:sz w:val="18"/>
                <w:szCs w:val="18"/>
              </w:rPr>
            </w:pPr>
            <w:r>
              <w:rPr>
                <w:rFonts w:ascii="Calibri" w:hAnsi="Calibri" w:cs="Calibri"/>
                <w:sz w:val="18"/>
                <w:szCs w:val="18"/>
              </w:rPr>
              <w:t>1MPa</w:t>
            </w:r>
          </w:p>
        </w:tc>
        <w:tc>
          <w:tcPr>
            <w:tcW w:w="1705" w:type="dxa"/>
            <w:vAlign w:val="center"/>
          </w:tcPr>
          <w:p w14:paraId="53C08939">
            <w:pPr>
              <w:spacing w:after="240"/>
              <w:jc w:val="center"/>
              <w:rPr>
                <w:rFonts w:ascii="Calibri" w:hAnsi="Calibri" w:cs="Calibri"/>
                <w:sz w:val="18"/>
                <w:szCs w:val="18"/>
              </w:rPr>
            </w:pPr>
            <w:r>
              <w:rPr>
                <w:rFonts w:ascii="Calibri" w:hAnsi="Calibri" w:cs="Calibri"/>
                <w:sz w:val="18"/>
                <w:szCs w:val="18"/>
              </w:rPr>
              <w:t>50kPa</w:t>
            </w:r>
            <w:r>
              <w:rPr>
                <w:rFonts w:hint="eastAsia" w:asciiTheme="minorEastAsia" w:hAnsiTheme="minorEastAsia" w:cstheme="minorEastAsia"/>
                <w:sz w:val="18"/>
                <w:szCs w:val="18"/>
              </w:rPr>
              <w:t>~</w:t>
            </w:r>
            <w:r>
              <w:rPr>
                <w:rFonts w:ascii="Calibri" w:hAnsi="Calibri" w:cs="Calibri"/>
                <w:sz w:val="18"/>
                <w:szCs w:val="18"/>
              </w:rPr>
              <w:t>1MPa</w:t>
            </w:r>
          </w:p>
        </w:tc>
        <w:tc>
          <w:tcPr>
            <w:tcW w:w="1706" w:type="dxa"/>
            <w:vAlign w:val="center"/>
          </w:tcPr>
          <w:p w14:paraId="1C5D41C0">
            <w:pPr>
              <w:spacing w:after="240"/>
              <w:jc w:val="center"/>
              <w:rPr>
                <w:rFonts w:ascii="Calibri" w:hAnsi="Calibri" w:cs="Calibri"/>
                <w:sz w:val="18"/>
                <w:szCs w:val="18"/>
              </w:rPr>
            </w:pPr>
            <w:r>
              <w:rPr>
                <w:rFonts w:ascii="Calibri" w:hAnsi="Calibri" w:cs="Calibri"/>
                <w:sz w:val="18"/>
                <w:szCs w:val="18"/>
              </w:rPr>
              <w:t>-100kPa</w:t>
            </w:r>
          </w:p>
        </w:tc>
        <w:tc>
          <w:tcPr>
            <w:tcW w:w="1706" w:type="dxa"/>
            <w:vAlign w:val="center"/>
          </w:tcPr>
          <w:p w14:paraId="40B027C2">
            <w:pPr>
              <w:spacing w:after="240"/>
              <w:jc w:val="center"/>
              <w:rPr>
                <w:rFonts w:ascii="Calibri" w:hAnsi="Calibri" w:cs="Calibri"/>
                <w:sz w:val="18"/>
                <w:szCs w:val="18"/>
              </w:rPr>
            </w:pPr>
            <w:r>
              <w:rPr>
                <w:rFonts w:ascii="Calibri" w:hAnsi="Calibri" w:cs="Calibri"/>
                <w:sz w:val="18"/>
                <w:szCs w:val="18"/>
              </w:rPr>
              <w:t>1MPa</w:t>
            </w:r>
          </w:p>
        </w:tc>
        <w:tc>
          <w:tcPr>
            <w:tcW w:w="1706" w:type="dxa"/>
            <w:vAlign w:val="center"/>
          </w:tcPr>
          <w:p w14:paraId="40F2227B">
            <w:pPr>
              <w:spacing w:after="240"/>
              <w:jc w:val="center"/>
              <w:rPr>
                <w:rFonts w:ascii="Calibri" w:hAnsi="Calibri" w:cs="Calibri"/>
                <w:sz w:val="18"/>
                <w:szCs w:val="18"/>
              </w:rPr>
            </w:pPr>
            <w:r>
              <w:rPr>
                <w:rFonts w:ascii="Calibri" w:hAnsi="Calibri" w:cs="Calibri"/>
                <w:sz w:val="18"/>
                <w:szCs w:val="18"/>
              </w:rPr>
              <w:t>6MPa</w:t>
            </w:r>
          </w:p>
        </w:tc>
      </w:tr>
      <w:tr w14:paraId="349D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388A4A2E">
            <w:pPr>
              <w:spacing w:after="240"/>
              <w:jc w:val="center"/>
              <w:rPr>
                <w:rFonts w:ascii="Calibri" w:hAnsi="Calibri" w:cs="Calibri"/>
                <w:sz w:val="18"/>
                <w:szCs w:val="18"/>
              </w:rPr>
            </w:pPr>
            <w:r>
              <w:rPr>
                <w:rFonts w:ascii="Calibri" w:hAnsi="Calibri" w:cs="Calibri"/>
                <w:sz w:val="18"/>
                <w:szCs w:val="18"/>
              </w:rPr>
              <w:t>3MPa</w:t>
            </w:r>
          </w:p>
        </w:tc>
        <w:tc>
          <w:tcPr>
            <w:tcW w:w="1705" w:type="dxa"/>
            <w:vAlign w:val="center"/>
          </w:tcPr>
          <w:p w14:paraId="2C4CA665">
            <w:pPr>
              <w:spacing w:after="240"/>
              <w:jc w:val="center"/>
              <w:rPr>
                <w:rFonts w:ascii="Calibri" w:hAnsi="Calibri" w:cs="Calibri"/>
                <w:sz w:val="18"/>
                <w:szCs w:val="18"/>
              </w:rPr>
            </w:pPr>
            <w:r>
              <w:rPr>
                <w:rFonts w:ascii="Calibri" w:hAnsi="Calibri" w:cs="Calibri"/>
                <w:sz w:val="18"/>
                <w:szCs w:val="18"/>
              </w:rPr>
              <w:t>150kPa</w:t>
            </w:r>
            <w:r>
              <w:rPr>
                <w:rFonts w:hint="eastAsia" w:asciiTheme="minorEastAsia" w:hAnsiTheme="minorEastAsia" w:cstheme="minorEastAsia"/>
                <w:sz w:val="18"/>
                <w:szCs w:val="18"/>
              </w:rPr>
              <w:t>~</w:t>
            </w:r>
            <w:r>
              <w:rPr>
                <w:rFonts w:ascii="Calibri" w:hAnsi="Calibri" w:cs="Calibri"/>
                <w:sz w:val="18"/>
                <w:szCs w:val="18"/>
              </w:rPr>
              <w:t>3MPa</w:t>
            </w:r>
          </w:p>
        </w:tc>
        <w:tc>
          <w:tcPr>
            <w:tcW w:w="1706" w:type="dxa"/>
            <w:vAlign w:val="center"/>
          </w:tcPr>
          <w:p w14:paraId="139848CF">
            <w:pPr>
              <w:spacing w:after="240"/>
              <w:jc w:val="center"/>
              <w:rPr>
                <w:rFonts w:ascii="Calibri" w:hAnsi="Calibri" w:cs="Calibri"/>
                <w:sz w:val="18"/>
                <w:szCs w:val="18"/>
              </w:rPr>
            </w:pPr>
            <w:r>
              <w:rPr>
                <w:rFonts w:ascii="Calibri" w:hAnsi="Calibri" w:cs="Calibri"/>
                <w:sz w:val="18"/>
                <w:szCs w:val="18"/>
              </w:rPr>
              <w:t>-100kPa</w:t>
            </w:r>
          </w:p>
        </w:tc>
        <w:tc>
          <w:tcPr>
            <w:tcW w:w="1706" w:type="dxa"/>
            <w:vAlign w:val="center"/>
          </w:tcPr>
          <w:p w14:paraId="542DF80D">
            <w:pPr>
              <w:spacing w:after="240"/>
              <w:jc w:val="center"/>
              <w:rPr>
                <w:rFonts w:ascii="Calibri" w:hAnsi="Calibri" w:cs="Calibri"/>
                <w:sz w:val="18"/>
                <w:szCs w:val="18"/>
              </w:rPr>
            </w:pPr>
            <w:r>
              <w:rPr>
                <w:rFonts w:ascii="Calibri" w:hAnsi="Calibri" w:cs="Calibri"/>
                <w:sz w:val="18"/>
                <w:szCs w:val="18"/>
              </w:rPr>
              <w:t>3MPa</w:t>
            </w:r>
          </w:p>
        </w:tc>
        <w:tc>
          <w:tcPr>
            <w:tcW w:w="1706" w:type="dxa"/>
            <w:vAlign w:val="center"/>
          </w:tcPr>
          <w:p w14:paraId="0291F62D">
            <w:pPr>
              <w:spacing w:after="240"/>
              <w:jc w:val="center"/>
              <w:rPr>
                <w:rFonts w:ascii="Calibri" w:hAnsi="Calibri" w:cs="Calibri"/>
                <w:sz w:val="18"/>
                <w:szCs w:val="18"/>
              </w:rPr>
            </w:pPr>
            <w:r>
              <w:rPr>
                <w:rFonts w:ascii="Calibri" w:hAnsi="Calibri" w:cs="Calibri"/>
                <w:sz w:val="18"/>
                <w:szCs w:val="18"/>
              </w:rPr>
              <w:t>15MPa</w:t>
            </w:r>
          </w:p>
        </w:tc>
      </w:tr>
      <w:tr w14:paraId="47B6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2232863F">
            <w:pPr>
              <w:spacing w:after="240"/>
              <w:jc w:val="center"/>
              <w:rPr>
                <w:rFonts w:ascii="Calibri" w:hAnsi="Calibri" w:cs="Calibri"/>
                <w:sz w:val="18"/>
                <w:szCs w:val="18"/>
              </w:rPr>
            </w:pPr>
            <w:r>
              <w:rPr>
                <w:rFonts w:ascii="Calibri" w:hAnsi="Calibri" w:cs="Calibri"/>
                <w:sz w:val="18"/>
                <w:szCs w:val="18"/>
              </w:rPr>
              <w:t>10MPa</w:t>
            </w:r>
          </w:p>
        </w:tc>
        <w:tc>
          <w:tcPr>
            <w:tcW w:w="1705" w:type="dxa"/>
            <w:vAlign w:val="center"/>
          </w:tcPr>
          <w:p w14:paraId="0754E912">
            <w:pPr>
              <w:spacing w:after="240"/>
              <w:jc w:val="center"/>
              <w:rPr>
                <w:rFonts w:ascii="Calibri" w:hAnsi="Calibri" w:cs="Calibri"/>
                <w:sz w:val="18"/>
                <w:szCs w:val="18"/>
              </w:rPr>
            </w:pPr>
            <w:r>
              <w:rPr>
                <w:rFonts w:ascii="Calibri" w:hAnsi="Calibri" w:cs="Calibri"/>
                <w:sz w:val="18"/>
                <w:szCs w:val="18"/>
              </w:rPr>
              <w:t>500kPa</w:t>
            </w:r>
            <w:r>
              <w:rPr>
                <w:rFonts w:hint="eastAsia" w:asciiTheme="minorEastAsia" w:hAnsiTheme="minorEastAsia" w:cstheme="minorEastAsia"/>
                <w:sz w:val="18"/>
                <w:szCs w:val="18"/>
              </w:rPr>
              <w:t>~</w:t>
            </w:r>
            <w:r>
              <w:rPr>
                <w:rFonts w:ascii="Calibri" w:hAnsi="Calibri" w:cs="Calibri"/>
                <w:sz w:val="18"/>
                <w:szCs w:val="18"/>
              </w:rPr>
              <w:t>10MPa</w:t>
            </w:r>
          </w:p>
        </w:tc>
        <w:tc>
          <w:tcPr>
            <w:tcW w:w="1706" w:type="dxa"/>
            <w:vAlign w:val="center"/>
          </w:tcPr>
          <w:p w14:paraId="5F7E0445">
            <w:pPr>
              <w:spacing w:after="240"/>
              <w:jc w:val="center"/>
              <w:rPr>
                <w:rFonts w:ascii="Calibri" w:hAnsi="Calibri" w:cs="Calibri"/>
                <w:sz w:val="18"/>
                <w:szCs w:val="18"/>
              </w:rPr>
            </w:pPr>
            <w:r>
              <w:rPr>
                <w:rFonts w:ascii="Calibri" w:hAnsi="Calibri" w:cs="Calibri"/>
                <w:sz w:val="18"/>
                <w:szCs w:val="18"/>
              </w:rPr>
              <w:t>-100kPa</w:t>
            </w:r>
          </w:p>
        </w:tc>
        <w:tc>
          <w:tcPr>
            <w:tcW w:w="1706" w:type="dxa"/>
            <w:vAlign w:val="center"/>
          </w:tcPr>
          <w:p w14:paraId="0076B5C5">
            <w:pPr>
              <w:spacing w:after="240"/>
              <w:jc w:val="center"/>
              <w:rPr>
                <w:rFonts w:ascii="Calibri" w:hAnsi="Calibri" w:cs="Calibri"/>
                <w:sz w:val="18"/>
                <w:szCs w:val="18"/>
              </w:rPr>
            </w:pPr>
            <w:r>
              <w:rPr>
                <w:rFonts w:ascii="Calibri" w:hAnsi="Calibri" w:cs="Calibri"/>
                <w:sz w:val="18"/>
                <w:szCs w:val="18"/>
              </w:rPr>
              <w:t>10MPa</w:t>
            </w:r>
          </w:p>
        </w:tc>
        <w:tc>
          <w:tcPr>
            <w:tcW w:w="1706" w:type="dxa"/>
            <w:vAlign w:val="center"/>
          </w:tcPr>
          <w:p w14:paraId="6527ECDA">
            <w:pPr>
              <w:spacing w:after="240"/>
              <w:jc w:val="center"/>
              <w:rPr>
                <w:rFonts w:ascii="Calibri" w:hAnsi="Calibri" w:cs="Calibri"/>
                <w:sz w:val="18"/>
                <w:szCs w:val="18"/>
              </w:rPr>
            </w:pPr>
            <w:r>
              <w:rPr>
                <w:rFonts w:ascii="Calibri" w:hAnsi="Calibri" w:cs="Calibri"/>
                <w:sz w:val="18"/>
                <w:szCs w:val="18"/>
              </w:rPr>
              <w:t>20MPa</w:t>
            </w:r>
          </w:p>
        </w:tc>
      </w:tr>
      <w:tr w14:paraId="639F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5"/>
          </w:tcPr>
          <w:p w14:paraId="3A9E3D38">
            <w:pPr>
              <w:spacing w:after="240"/>
              <w:rPr>
                <w:rFonts w:cstheme="minorHAnsi"/>
                <w:sz w:val="18"/>
                <w:szCs w:val="18"/>
              </w:rPr>
            </w:pPr>
            <w:r>
              <w:rPr>
                <w:rFonts w:cstheme="minorHAnsi"/>
                <w:sz w:val="18"/>
                <w:szCs w:val="18"/>
              </w:rPr>
              <w:t>Set the high and low limit requirements：The low and high limit values are taken within the upper range.  When URV-LRV ≥ minimum range</w:t>
            </w:r>
          </w:p>
        </w:tc>
      </w:tr>
      <w:tr w14:paraId="4FC6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5"/>
          </w:tcPr>
          <w:p w14:paraId="73F31701">
            <w:pPr>
              <w:spacing w:after="240"/>
              <w:rPr>
                <w:rFonts w:cstheme="minorHAnsi"/>
                <w:sz w:val="18"/>
                <w:szCs w:val="18"/>
              </w:rPr>
            </w:pPr>
            <w:r>
              <w:rPr>
                <w:rFonts w:cstheme="minorHAnsi"/>
                <w:sz w:val="18"/>
                <w:szCs w:val="18"/>
              </w:rPr>
              <w:t>Overpressure limit value: It depends on the pressure value of the weakest part with the pressure bearing capacity. This overload pressure is the maximum pressure that the sensor can bear, not the maximum pressure that the product itself can bear.</w:t>
            </w:r>
          </w:p>
        </w:tc>
      </w:tr>
    </w:tbl>
    <w:p w14:paraId="0B76FFAC">
      <w:pPr>
        <w:numPr>
          <w:ilvl w:val="0"/>
          <w:numId w:val="28"/>
        </w:numPr>
        <w:spacing w:before="120" w:beforeLines="50" w:after="120" w:afterLines="50"/>
        <w:rPr>
          <w:rFonts w:cstheme="minorHAnsi"/>
          <w:b/>
        </w:rPr>
      </w:pPr>
      <w:r>
        <w:rPr>
          <w:rFonts w:cstheme="minorHAnsi"/>
          <w:b/>
        </w:rPr>
        <w:t>Reference accuracy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5981"/>
      </w:tblGrid>
      <w:tr w14:paraId="4161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6F3B0F65">
            <w:pPr>
              <w:spacing w:after="240"/>
              <w:rPr>
                <w:rFonts w:cstheme="minorHAnsi"/>
                <w:sz w:val="18"/>
                <w:szCs w:val="18"/>
              </w:rPr>
            </w:pPr>
            <w:r>
              <w:rPr>
                <w:rFonts w:cstheme="minorHAnsi"/>
                <w:sz w:val="18"/>
                <w:szCs w:val="18"/>
              </w:rPr>
              <w:t>Range</w:t>
            </w:r>
          </w:p>
        </w:tc>
        <w:tc>
          <w:tcPr>
            <w:tcW w:w="5981" w:type="dxa"/>
          </w:tcPr>
          <w:p w14:paraId="47CA9272">
            <w:pPr>
              <w:spacing w:after="240"/>
              <w:rPr>
                <w:rFonts w:cstheme="minorHAnsi"/>
                <w:sz w:val="18"/>
                <w:szCs w:val="18"/>
              </w:rPr>
            </w:pPr>
            <w:r>
              <w:rPr>
                <w:rFonts w:cstheme="minorHAnsi"/>
                <w:sz w:val="18"/>
                <w:szCs w:val="18"/>
              </w:rPr>
              <w:t>Reference accuracy (including linearity, hysteresis, and repeatability)</w:t>
            </w:r>
          </w:p>
        </w:tc>
      </w:tr>
      <w:tr w14:paraId="24E3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42C52793">
            <w:pPr>
              <w:spacing w:before="120" w:beforeLines="50" w:after="120" w:afterLines="50"/>
              <w:rPr>
                <w:rFonts w:ascii="Calibri" w:hAnsi="Calibri" w:cs="Calibri"/>
                <w:sz w:val="18"/>
                <w:szCs w:val="18"/>
              </w:rPr>
            </w:pPr>
            <w:r>
              <w:rPr>
                <w:rFonts w:hint="eastAsia" w:ascii="Calibri" w:hAnsi="Calibri" w:cs="Calibri"/>
                <w:sz w:val="18"/>
                <w:szCs w:val="18"/>
              </w:rPr>
              <w:t>250kPa、1MPa、3MPa、10MPa</w:t>
            </w:r>
          </w:p>
        </w:tc>
        <w:tc>
          <w:tcPr>
            <w:tcW w:w="5981" w:type="dxa"/>
          </w:tcPr>
          <w:p w14:paraId="208C11A3">
            <w:pPr>
              <w:spacing w:after="240"/>
              <w:rPr>
                <w:rFonts w:cstheme="minorHAnsi"/>
                <w:sz w:val="18"/>
                <w:szCs w:val="18"/>
              </w:rPr>
            </w:pPr>
            <w:r>
              <w:rPr>
                <w:rFonts w:cstheme="minorHAnsi"/>
                <w:sz w:val="18"/>
                <w:szCs w:val="18"/>
              </w:rPr>
              <w:t>±0.075%SPAN</w:t>
            </w:r>
          </w:p>
          <w:p w14:paraId="388D6EE2">
            <w:pPr>
              <w:spacing w:after="240"/>
              <w:rPr>
                <w:rFonts w:cstheme="minorHAnsi"/>
                <w:sz w:val="18"/>
                <w:szCs w:val="18"/>
              </w:rPr>
            </w:pPr>
            <w:r>
              <w:rPr>
                <w:rFonts w:cstheme="minorHAnsi"/>
                <w:sz w:val="18"/>
                <w:szCs w:val="18"/>
              </w:rPr>
              <w:t>For ranges less than 10:1, accuracy: ± (0.0075 * TD)% * SPAN</w:t>
            </w:r>
          </w:p>
        </w:tc>
      </w:tr>
      <w:tr w14:paraId="057E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4F0A7769">
            <w:pPr>
              <w:spacing w:before="120" w:beforeLines="50" w:after="120" w:afterLines="50"/>
              <w:rPr>
                <w:rFonts w:ascii="Calibri" w:hAnsi="Calibri" w:cs="Calibri"/>
                <w:sz w:val="18"/>
                <w:szCs w:val="18"/>
              </w:rPr>
            </w:pPr>
            <w:r>
              <w:rPr>
                <w:rFonts w:hint="eastAsia" w:ascii="Calibri" w:hAnsi="Calibri" w:cs="Calibri"/>
                <w:sz w:val="18"/>
                <w:szCs w:val="18"/>
              </w:rPr>
              <w:t>3kPa、6kPa、40kPa</w:t>
            </w:r>
          </w:p>
        </w:tc>
        <w:tc>
          <w:tcPr>
            <w:tcW w:w="5981" w:type="dxa"/>
          </w:tcPr>
          <w:p w14:paraId="5F93D1E2">
            <w:pPr>
              <w:spacing w:after="240"/>
              <w:rPr>
                <w:rFonts w:cstheme="minorHAnsi"/>
                <w:sz w:val="18"/>
                <w:szCs w:val="18"/>
              </w:rPr>
            </w:pPr>
            <w:r>
              <w:rPr>
                <w:rFonts w:cstheme="minorHAnsi"/>
                <w:sz w:val="18"/>
                <w:szCs w:val="18"/>
              </w:rPr>
              <w:t>±0.075%SPAN</w:t>
            </w:r>
          </w:p>
          <w:p w14:paraId="44E7A3AB">
            <w:pPr>
              <w:spacing w:after="240"/>
              <w:rPr>
                <w:rFonts w:cstheme="minorHAnsi"/>
                <w:sz w:val="18"/>
                <w:szCs w:val="18"/>
              </w:rPr>
            </w:pPr>
            <w:r>
              <w:rPr>
                <w:rFonts w:cstheme="minorHAnsi"/>
                <w:sz w:val="18"/>
                <w:szCs w:val="18"/>
              </w:rPr>
              <w:t>For ranges less than 5:1, accuracy:</w:t>
            </w:r>
            <w:r>
              <w:rPr>
                <w:rFonts w:hint="eastAsia" w:ascii="Calibri" w:hAnsi="Calibri" w:cs="Calibri"/>
                <w:sz w:val="18"/>
                <w:szCs w:val="18"/>
              </w:rPr>
              <w:t>±(0.0</w:t>
            </w:r>
            <w:r>
              <w:rPr>
                <w:rFonts w:ascii="Calibri" w:hAnsi="Calibri" w:cs="Calibri"/>
                <w:sz w:val="18"/>
                <w:szCs w:val="18"/>
              </w:rPr>
              <w:t>15</w:t>
            </w:r>
            <w:r>
              <w:rPr>
                <w:rFonts w:hint="eastAsia" w:ascii="Calibri" w:hAnsi="Calibri" w:cs="Calibri"/>
                <w:sz w:val="18"/>
                <w:szCs w:val="18"/>
              </w:rPr>
              <w:t>*TD)%*SPAN</w:t>
            </w:r>
          </w:p>
        </w:tc>
      </w:tr>
      <w:tr w14:paraId="2E21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2"/>
          </w:tcPr>
          <w:p w14:paraId="669CF2F4">
            <w:pPr>
              <w:spacing w:after="240"/>
              <w:rPr>
                <w:rFonts w:cstheme="minorHAnsi"/>
                <w:sz w:val="18"/>
                <w:szCs w:val="18"/>
              </w:rPr>
            </w:pPr>
            <w:r>
              <w:rPr>
                <w:rFonts w:cstheme="minorHAnsi"/>
                <w:sz w:val="18"/>
                <w:szCs w:val="18"/>
              </w:rPr>
              <w:t>The square root output accuracy is 1.5 times that of the above linear reference accuracy</w:t>
            </w:r>
          </w:p>
        </w:tc>
      </w:tr>
      <w:tr w14:paraId="124C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2"/>
          </w:tcPr>
          <w:p w14:paraId="52C0A12E">
            <w:pPr>
              <w:spacing w:after="240"/>
              <w:rPr>
                <w:rFonts w:cstheme="minorHAnsi"/>
                <w:sz w:val="18"/>
                <w:szCs w:val="18"/>
              </w:rPr>
            </w:pPr>
            <w:r>
              <w:rPr>
                <w:rFonts w:cstheme="minorHAnsi"/>
                <w:sz w:val="18"/>
                <w:szCs w:val="18"/>
              </w:rPr>
              <w:t>Note 1, TD (Turn down) is the range ratio, when | URV | ≥ | LRV |, TD=URL/ | LRV |</w:t>
            </w:r>
          </w:p>
          <w:p w14:paraId="42F432B5">
            <w:pPr>
              <w:spacing w:after="240"/>
              <w:rPr>
                <w:rFonts w:cstheme="minorHAnsi"/>
                <w:sz w:val="18"/>
                <w:szCs w:val="18"/>
              </w:rPr>
            </w:pPr>
            <w:r>
              <w:rPr>
                <w:rFonts w:cstheme="minorHAnsi"/>
                <w:sz w:val="18"/>
                <w:szCs w:val="18"/>
              </w:rPr>
              <w:t>When | URV | ≤ | LRV |, TD=URL/ | LRV |</w:t>
            </w:r>
          </w:p>
          <w:p w14:paraId="2D4A3128">
            <w:pPr>
              <w:spacing w:after="240"/>
              <w:rPr>
                <w:rFonts w:cstheme="minorHAnsi"/>
                <w:sz w:val="18"/>
                <w:szCs w:val="18"/>
              </w:rPr>
            </w:pPr>
            <w:r>
              <w:rPr>
                <w:rFonts w:cstheme="minorHAnsi"/>
                <w:sz w:val="18"/>
                <w:szCs w:val="18"/>
              </w:rPr>
              <w:t>Note 2: SPAN refers to range difference: SPAN=|URV-LRV|</w:t>
            </w:r>
          </w:p>
        </w:tc>
      </w:tr>
    </w:tbl>
    <w:p w14:paraId="1F82956E">
      <w:pPr>
        <w:numPr>
          <w:ilvl w:val="0"/>
          <w:numId w:val="28"/>
        </w:numPr>
        <w:spacing w:before="120" w:beforeLines="50" w:after="120" w:afterLines="50"/>
        <w:rPr>
          <w:rFonts w:cstheme="minorHAnsi"/>
          <w:b/>
        </w:rPr>
      </w:pPr>
      <w:r>
        <w:rPr>
          <w:rFonts w:eastAsia="微软雅黑" w:cstheme="minorHAnsi"/>
          <w:b/>
          <w:sz w:val="18"/>
          <w:szCs w:val="18"/>
        </w:rPr>
        <w:t>Ambient temperature impact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36BF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4" w:type="dxa"/>
          </w:tcPr>
          <w:p w14:paraId="6FAB6244">
            <w:pPr>
              <w:spacing w:after="240"/>
              <w:rPr>
                <w:rFonts w:cstheme="minorHAnsi"/>
                <w:b/>
                <w:sz w:val="18"/>
                <w:szCs w:val="18"/>
              </w:rPr>
            </w:pPr>
            <w:r>
              <w:rPr>
                <w:rFonts w:eastAsia="微软雅黑" w:cstheme="minorHAnsi"/>
                <w:sz w:val="18"/>
                <w:szCs w:val="18"/>
              </w:rPr>
              <w:t>Total impact for every 10</w:t>
            </w:r>
            <w:r>
              <w:rPr>
                <w:rFonts w:ascii="Cambria Math" w:hAnsi="Cambria Math" w:cs="Cambria Math"/>
                <w:sz w:val="18"/>
                <w:szCs w:val="18"/>
              </w:rPr>
              <w:t>℃</w:t>
            </w:r>
            <w:r>
              <w:rPr>
                <w:rFonts w:eastAsia="微软雅黑" w:cstheme="minorHAnsi"/>
                <w:sz w:val="18"/>
                <w:szCs w:val="18"/>
              </w:rPr>
              <w:t xml:space="preserve"> within the-40-85</w:t>
            </w:r>
            <w:r>
              <w:rPr>
                <w:rFonts w:ascii="Cambria Math" w:hAnsi="Cambria Math" w:cs="Cambria Math"/>
                <w:sz w:val="18"/>
                <w:szCs w:val="18"/>
              </w:rPr>
              <w:t>℃</w:t>
            </w:r>
            <w:r>
              <w:rPr>
                <w:rFonts w:eastAsia="微软雅黑" w:cstheme="minorHAnsi"/>
                <w:sz w:val="18"/>
                <w:szCs w:val="18"/>
              </w:rPr>
              <w:t xml:space="preserve"> range</w:t>
            </w:r>
          </w:p>
        </w:tc>
        <w:tc>
          <w:tcPr>
            <w:tcW w:w="4264" w:type="dxa"/>
          </w:tcPr>
          <w:p w14:paraId="1CE5CB95">
            <w:pPr>
              <w:spacing w:after="240"/>
              <w:rPr>
                <w:rFonts w:cstheme="minorHAnsi"/>
                <w:sz w:val="18"/>
                <w:szCs w:val="18"/>
              </w:rPr>
            </w:pPr>
            <w:r>
              <w:rPr>
                <w:rFonts w:ascii="Calibri" w:hAnsi="Calibri" w:cs="Calibri"/>
                <w:sz w:val="18"/>
                <w:szCs w:val="18"/>
              </w:rPr>
              <w:t>±0.075%URL</w:t>
            </w:r>
          </w:p>
        </w:tc>
      </w:tr>
    </w:tbl>
    <w:p w14:paraId="789FDE0B">
      <w:pPr>
        <w:numPr>
          <w:ilvl w:val="0"/>
          <w:numId w:val="28"/>
        </w:numPr>
        <w:spacing w:before="120" w:beforeLines="50" w:after="120" w:afterLines="50"/>
        <w:rPr>
          <w:rFonts w:cstheme="minorHAnsi"/>
          <w:b/>
        </w:rPr>
      </w:pPr>
      <w:r>
        <w:rPr>
          <w:rFonts w:eastAsia="微软雅黑" w:cstheme="minorHAnsi"/>
          <w:b/>
          <w:sz w:val="18"/>
          <w:szCs w:val="18"/>
        </w:rPr>
        <w:t>Power supply influence</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7939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tcPr>
          <w:p w14:paraId="281643F5">
            <w:pPr>
              <w:spacing w:after="240"/>
              <w:rPr>
                <w:rFonts w:cstheme="minorHAnsi"/>
                <w:sz w:val="18"/>
                <w:szCs w:val="18"/>
              </w:rPr>
            </w:pPr>
            <w:r>
              <w:rPr>
                <w:rFonts w:eastAsia="微软雅黑" w:cstheme="minorHAnsi"/>
                <w:sz w:val="18"/>
                <w:szCs w:val="18"/>
              </w:rPr>
              <w:t>The zero and range changes shall not exceed the ± 0.005% upper range limit / V</w:t>
            </w:r>
          </w:p>
        </w:tc>
      </w:tr>
    </w:tbl>
    <w:p w14:paraId="3C6667D1">
      <w:pPr>
        <w:numPr>
          <w:ilvl w:val="0"/>
          <w:numId w:val="28"/>
        </w:numPr>
        <w:spacing w:before="240" w:after="240"/>
        <w:rPr>
          <w:rFonts w:eastAsia="微软雅黑" w:cstheme="minorHAnsi"/>
          <w:b/>
          <w:sz w:val="18"/>
          <w:szCs w:val="18"/>
        </w:rPr>
      </w:pPr>
      <w:bookmarkStart w:id="219" w:name="_Toc99099414"/>
      <w:bookmarkStart w:id="220" w:name="_Toc165177475"/>
      <w:bookmarkStart w:id="221" w:name="_Toc165172513"/>
      <w:bookmarkStart w:id="222" w:name="_Toc183334330"/>
      <w:bookmarkStart w:id="223" w:name="_Toc183427082"/>
      <w:bookmarkStart w:id="224" w:name="_Toc440269447"/>
      <w:bookmarkStart w:id="225" w:name="_Toc166471645"/>
      <w:r>
        <w:rPr>
          <w:rFonts w:eastAsia="微软雅黑" w:cstheme="minorHAnsi"/>
          <w:b/>
          <w:sz w:val="18"/>
          <w:szCs w:val="18"/>
        </w:rPr>
        <w:t>Stability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6540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vAlign w:val="center"/>
          </w:tcPr>
          <w:p w14:paraId="3FA9842F">
            <w:pPr>
              <w:spacing w:after="240"/>
              <w:rPr>
                <w:rFonts w:eastAsia="微软雅黑" w:cstheme="minorHAnsi"/>
                <w:sz w:val="18"/>
                <w:szCs w:val="18"/>
              </w:rPr>
            </w:pPr>
            <w:r>
              <w:rPr>
                <w:rFonts w:eastAsia="微软雅黑" w:cstheme="minorHAnsi"/>
                <w:sz w:val="18"/>
                <w:szCs w:val="18"/>
              </w:rPr>
              <w:t xml:space="preserve">Annual stability: ± 0.2% </w:t>
            </w:r>
            <w:r>
              <w:rPr>
                <w:rFonts w:cstheme="minorHAnsi"/>
                <w:sz w:val="18"/>
                <w:szCs w:val="18"/>
              </w:rPr>
              <w:t>URL</w:t>
            </w:r>
            <w:r>
              <w:rPr>
                <w:rFonts w:eastAsia="微软雅黑" w:cstheme="minorHAnsi"/>
                <w:sz w:val="18"/>
                <w:szCs w:val="18"/>
              </w:rPr>
              <w:t xml:space="preserve"> /5 years</w:t>
            </w:r>
          </w:p>
        </w:tc>
      </w:tr>
    </w:tbl>
    <w:p w14:paraId="02500BE2">
      <w:pPr>
        <w:pStyle w:val="4"/>
        <w:spacing w:before="120" w:beforeLines="50" w:after="120" w:afterLines="50"/>
        <w:rPr>
          <w:rFonts w:asciiTheme="minorHAnsi" w:hAnsiTheme="minorHAnsi" w:cstheme="minorHAnsi"/>
        </w:rPr>
      </w:pPr>
      <w:bookmarkStart w:id="226" w:name="_Toc199429867"/>
      <w:r>
        <w:rPr>
          <w:rFonts w:asciiTheme="minorHAnsi" w:hAnsiTheme="minorHAnsi" w:cstheme="minorHAnsi"/>
        </w:rPr>
        <w:t>NCS-PT105IISM</w:t>
      </w:r>
      <w:bookmarkEnd w:id="219"/>
      <w:r>
        <w:rPr>
          <w:rFonts w:asciiTheme="minorHAnsi" w:hAnsiTheme="minorHAnsi" w:cstheme="minorHAnsi"/>
        </w:rPr>
        <w:t xml:space="preserve"> Absolute pressure transmitter performance index</w:t>
      </w:r>
      <w:bookmarkEnd w:id="226"/>
    </w:p>
    <w:p w14:paraId="53E49B24">
      <w:pPr>
        <w:numPr>
          <w:ilvl w:val="0"/>
          <w:numId w:val="28"/>
        </w:numPr>
        <w:spacing w:before="120" w:beforeLines="50" w:after="120" w:afterLines="50"/>
        <w:rPr>
          <w:rFonts w:cstheme="minorHAnsi"/>
          <w:b/>
        </w:rPr>
      </w:pPr>
      <w:bookmarkStart w:id="227" w:name="_Toc99099415"/>
      <w:r>
        <w:rPr>
          <w:rFonts w:cstheme="minorHAnsi"/>
          <w:b/>
        </w:rPr>
        <w:t>Range and range limit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5CD4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shd w:val="clear" w:color="auto" w:fill="BFBFBF"/>
            <w:vAlign w:val="center"/>
          </w:tcPr>
          <w:p w14:paraId="04209D35">
            <w:pPr>
              <w:spacing w:after="240"/>
              <w:rPr>
                <w:rFonts w:cstheme="minorHAnsi"/>
                <w:sz w:val="18"/>
                <w:szCs w:val="18"/>
              </w:rPr>
            </w:pPr>
            <w:r>
              <w:rPr>
                <w:rFonts w:cstheme="minorHAnsi"/>
                <w:sz w:val="18"/>
                <w:szCs w:val="18"/>
              </w:rPr>
              <w:t>Nominal range</w:t>
            </w:r>
          </w:p>
        </w:tc>
        <w:tc>
          <w:tcPr>
            <w:tcW w:w="1705" w:type="dxa"/>
            <w:shd w:val="clear" w:color="auto" w:fill="BFBFBF"/>
            <w:vAlign w:val="center"/>
          </w:tcPr>
          <w:p w14:paraId="723BBEA9">
            <w:pPr>
              <w:spacing w:after="240"/>
              <w:rPr>
                <w:rFonts w:cstheme="minorHAnsi"/>
                <w:sz w:val="18"/>
                <w:szCs w:val="18"/>
              </w:rPr>
            </w:pPr>
            <w:r>
              <w:rPr>
                <w:rFonts w:cstheme="minorHAnsi"/>
                <w:sz w:val="18"/>
                <w:szCs w:val="18"/>
              </w:rPr>
              <w:t>Range of measurement</w:t>
            </w:r>
          </w:p>
        </w:tc>
        <w:tc>
          <w:tcPr>
            <w:tcW w:w="1706" w:type="dxa"/>
            <w:shd w:val="clear" w:color="auto" w:fill="BFBFBF"/>
            <w:vAlign w:val="center"/>
          </w:tcPr>
          <w:p w14:paraId="790E5360">
            <w:pPr>
              <w:spacing w:after="240"/>
              <w:rPr>
                <w:rFonts w:cstheme="minorHAnsi"/>
                <w:sz w:val="18"/>
                <w:szCs w:val="18"/>
              </w:rPr>
            </w:pPr>
            <w:r>
              <w:rPr>
                <w:rFonts w:cstheme="minorHAnsi"/>
                <w:sz w:val="18"/>
                <w:szCs w:val="18"/>
              </w:rPr>
              <w:t>Lower range limit</w:t>
            </w:r>
          </w:p>
        </w:tc>
        <w:tc>
          <w:tcPr>
            <w:tcW w:w="1706" w:type="dxa"/>
            <w:shd w:val="clear" w:color="auto" w:fill="BFBFBF"/>
            <w:vAlign w:val="center"/>
          </w:tcPr>
          <w:p w14:paraId="35A17EFD">
            <w:pPr>
              <w:spacing w:after="240"/>
              <w:rPr>
                <w:rFonts w:cstheme="minorHAnsi"/>
                <w:sz w:val="18"/>
                <w:szCs w:val="18"/>
              </w:rPr>
            </w:pPr>
            <w:r>
              <w:rPr>
                <w:rFonts w:cstheme="minorHAnsi"/>
                <w:sz w:val="18"/>
                <w:szCs w:val="18"/>
              </w:rPr>
              <w:t>Upper range limit</w:t>
            </w:r>
          </w:p>
        </w:tc>
        <w:tc>
          <w:tcPr>
            <w:tcW w:w="1706" w:type="dxa"/>
            <w:shd w:val="clear" w:color="auto" w:fill="BFBFBF"/>
            <w:vAlign w:val="center"/>
          </w:tcPr>
          <w:p w14:paraId="0F918628">
            <w:pPr>
              <w:spacing w:after="240"/>
              <w:rPr>
                <w:rFonts w:cstheme="minorHAnsi"/>
                <w:sz w:val="18"/>
                <w:szCs w:val="18"/>
              </w:rPr>
            </w:pPr>
            <w:r>
              <w:rPr>
                <w:rFonts w:cstheme="minorHAnsi"/>
                <w:sz w:val="18"/>
                <w:szCs w:val="18"/>
              </w:rPr>
              <w:t>Overload</w:t>
            </w:r>
          </w:p>
        </w:tc>
      </w:tr>
      <w:tr w14:paraId="1772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705" w:type="dxa"/>
            <w:vAlign w:val="center"/>
          </w:tcPr>
          <w:p w14:paraId="5AD899DF">
            <w:pPr>
              <w:spacing w:after="240"/>
              <w:jc w:val="center"/>
              <w:rPr>
                <w:rFonts w:ascii="Calibri" w:hAnsi="Calibri" w:cs="Calibri"/>
                <w:sz w:val="18"/>
                <w:szCs w:val="18"/>
              </w:rPr>
            </w:pPr>
            <w:r>
              <w:rPr>
                <w:rFonts w:ascii="Calibri" w:hAnsi="Calibri" w:cs="Calibri"/>
                <w:sz w:val="18"/>
                <w:szCs w:val="18"/>
              </w:rPr>
              <w:t>40kPa</w:t>
            </w:r>
          </w:p>
        </w:tc>
        <w:tc>
          <w:tcPr>
            <w:tcW w:w="1705" w:type="dxa"/>
            <w:vAlign w:val="center"/>
          </w:tcPr>
          <w:p w14:paraId="4293E29E">
            <w:pPr>
              <w:spacing w:after="240"/>
              <w:jc w:val="center"/>
              <w:rPr>
                <w:rFonts w:ascii="Calibri" w:hAnsi="Calibri" w:cs="Calibri"/>
                <w:sz w:val="18"/>
                <w:szCs w:val="18"/>
              </w:rPr>
            </w:pPr>
            <w:r>
              <w:rPr>
                <w:rFonts w:ascii="Calibri" w:hAnsi="Calibri" w:cs="Calibri"/>
                <w:sz w:val="18"/>
                <w:szCs w:val="18"/>
              </w:rPr>
              <w:t>20kPa</w:t>
            </w:r>
            <w:r>
              <w:rPr>
                <w:rFonts w:hint="eastAsia" w:asciiTheme="minorEastAsia" w:hAnsiTheme="minorEastAsia" w:cstheme="minorEastAsia"/>
                <w:sz w:val="18"/>
                <w:szCs w:val="18"/>
              </w:rPr>
              <w:t>~</w:t>
            </w:r>
            <w:r>
              <w:rPr>
                <w:rFonts w:ascii="Calibri" w:hAnsi="Calibri" w:cs="Calibri"/>
                <w:sz w:val="18"/>
                <w:szCs w:val="18"/>
              </w:rPr>
              <w:t>40kPa</w:t>
            </w:r>
          </w:p>
        </w:tc>
        <w:tc>
          <w:tcPr>
            <w:tcW w:w="1706" w:type="dxa"/>
            <w:vAlign w:val="center"/>
          </w:tcPr>
          <w:p w14:paraId="3E69A2BD">
            <w:pPr>
              <w:spacing w:after="240"/>
              <w:jc w:val="center"/>
              <w:rPr>
                <w:rFonts w:ascii="Calibri" w:hAnsi="Calibri" w:cs="Calibri"/>
                <w:sz w:val="18"/>
                <w:szCs w:val="18"/>
              </w:rPr>
            </w:pPr>
            <w:r>
              <w:rPr>
                <w:rFonts w:ascii="Calibri" w:hAnsi="Calibri" w:cs="Calibri"/>
                <w:sz w:val="18"/>
                <w:szCs w:val="18"/>
              </w:rPr>
              <w:t>0</w:t>
            </w:r>
          </w:p>
        </w:tc>
        <w:tc>
          <w:tcPr>
            <w:tcW w:w="1706" w:type="dxa"/>
            <w:vAlign w:val="center"/>
          </w:tcPr>
          <w:p w14:paraId="7594F03E">
            <w:pPr>
              <w:spacing w:after="240"/>
              <w:jc w:val="center"/>
              <w:rPr>
                <w:rFonts w:ascii="Calibri" w:hAnsi="Calibri" w:cs="Calibri"/>
                <w:sz w:val="18"/>
                <w:szCs w:val="18"/>
              </w:rPr>
            </w:pPr>
            <w:r>
              <w:rPr>
                <w:rFonts w:ascii="Calibri" w:hAnsi="Calibri" w:cs="Calibri"/>
                <w:sz w:val="18"/>
                <w:szCs w:val="18"/>
              </w:rPr>
              <w:t>40kPa</w:t>
            </w:r>
          </w:p>
        </w:tc>
        <w:tc>
          <w:tcPr>
            <w:tcW w:w="1706" w:type="dxa"/>
            <w:vAlign w:val="center"/>
          </w:tcPr>
          <w:p w14:paraId="6DD17494">
            <w:pPr>
              <w:spacing w:after="240"/>
              <w:jc w:val="center"/>
              <w:rPr>
                <w:rFonts w:ascii="Calibri" w:hAnsi="Calibri" w:cs="Calibri"/>
                <w:sz w:val="18"/>
                <w:szCs w:val="18"/>
              </w:rPr>
            </w:pPr>
            <w:r>
              <w:rPr>
                <w:rFonts w:ascii="Calibri" w:hAnsi="Calibri" w:cs="Calibri"/>
                <w:sz w:val="18"/>
                <w:szCs w:val="18"/>
              </w:rPr>
              <w:t>1MPa</w:t>
            </w:r>
          </w:p>
        </w:tc>
      </w:tr>
      <w:tr w14:paraId="6074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17242FD4">
            <w:pPr>
              <w:spacing w:after="240"/>
              <w:jc w:val="center"/>
              <w:rPr>
                <w:rFonts w:ascii="Calibri" w:hAnsi="Calibri" w:cs="Calibri"/>
                <w:sz w:val="18"/>
                <w:szCs w:val="18"/>
              </w:rPr>
            </w:pPr>
            <w:r>
              <w:rPr>
                <w:rFonts w:ascii="Calibri" w:hAnsi="Calibri" w:cs="Calibri"/>
                <w:sz w:val="18"/>
                <w:szCs w:val="18"/>
              </w:rPr>
              <w:t>250kPa</w:t>
            </w:r>
          </w:p>
        </w:tc>
        <w:tc>
          <w:tcPr>
            <w:tcW w:w="1705" w:type="dxa"/>
            <w:vAlign w:val="center"/>
          </w:tcPr>
          <w:p w14:paraId="624B8A5E">
            <w:pPr>
              <w:spacing w:after="240"/>
              <w:jc w:val="center"/>
              <w:rPr>
                <w:rFonts w:ascii="Calibri" w:hAnsi="Calibri" w:cs="Calibri"/>
                <w:sz w:val="18"/>
                <w:szCs w:val="18"/>
              </w:rPr>
            </w:pPr>
            <w:r>
              <w:rPr>
                <w:rFonts w:ascii="Calibri" w:hAnsi="Calibri" w:cs="Calibri"/>
                <w:sz w:val="18"/>
                <w:szCs w:val="18"/>
              </w:rPr>
              <w:t>50kPa</w:t>
            </w:r>
            <w:r>
              <w:rPr>
                <w:rFonts w:hint="eastAsia" w:asciiTheme="minorEastAsia" w:hAnsiTheme="minorEastAsia" w:cstheme="minorEastAsia"/>
                <w:sz w:val="18"/>
                <w:szCs w:val="18"/>
              </w:rPr>
              <w:t>~</w:t>
            </w:r>
            <w:r>
              <w:rPr>
                <w:rFonts w:ascii="Calibri" w:hAnsi="Calibri" w:cs="Calibri"/>
                <w:sz w:val="18"/>
                <w:szCs w:val="18"/>
              </w:rPr>
              <w:t>250kPa</w:t>
            </w:r>
          </w:p>
        </w:tc>
        <w:tc>
          <w:tcPr>
            <w:tcW w:w="1706" w:type="dxa"/>
            <w:vAlign w:val="center"/>
          </w:tcPr>
          <w:p w14:paraId="07081464">
            <w:pPr>
              <w:spacing w:after="240"/>
              <w:jc w:val="center"/>
              <w:rPr>
                <w:rFonts w:ascii="Calibri" w:hAnsi="Calibri" w:cs="Calibri"/>
                <w:sz w:val="18"/>
                <w:szCs w:val="18"/>
              </w:rPr>
            </w:pPr>
            <w:r>
              <w:rPr>
                <w:rFonts w:ascii="Calibri" w:hAnsi="Calibri" w:cs="Calibri"/>
                <w:sz w:val="18"/>
                <w:szCs w:val="18"/>
              </w:rPr>
              <w:t>0</w:t>
            </w:r>
          </w:p>
        </w:tc>
        <w:tc>
          <w:tcPr>
            <w:tcW w:w="1706" w:type="dxa"/>
            <w:vAlign w:val="center"/>
          </w:tcPr>
          <w:p w14:paraId="5C02E471">
            <w:pPr>
              <w:spacing w:after="240"/>
              <w:jc w:val="center"/>
              <w:rPr>
                <w:rFonts w:ascii="Calibri" w:hAnsi="Calibri" w:cs="Calibri"/>
                <w:sz w:val="18"/>
                <w:szCs w:val="18"/>
              </w:rPr>
            </w:pPr>
            <w:r>
              <w:rPr>
                <w:rFonts w:ascii="Calibri" w:hAnsi="Calibri" w:cs="Calibri"/>
                <w:sz w:val="18"/>
                <w:szCs w:val="18"/>
              </w:rPr>
              <w:t>250kPa</w:t>
            </w:r>
          </w:p>
        </w:tc>
        <w:tc>
          <w:tcPr>
            <w:tcW w:w="1706" w:type="dxa"/>
            <w:vAlign w:val="center"/>
          </w:tcPr>
          <w:p w14:paraId="7602B204">
            <w:pPr>
              <w:spacing w:after="240"/>
              <w:jc w:val="center"/>
              <w:rPr>
                <w:rFonts w:ascii="Calibri" w:hAnsi="Calibri" w:cs="Calibri"/>
                <w:sz w:val="18"/>
                <w:szCs w:val="18"/>
              </w:rPr>
            </w:pPr>
            <w:r>
              <w:rPr>
                <w:rFonts w:ascii="Calibri" w:hAnsi="Calibri" w:cs="Calibri"/>
                <w:sz w:val="18"/>
                <w:szCs w:val="18"/>
              </w:rPr>
              <w:t>4MPa</w:t>
            </w:r>
          </w:p>
        </w:tc>
      </w:tr>
      <w:tr w14:paraId="7BD5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6762B50E">
            <w:pPr>
              <w:spacing w:after="240"/>
              <w:jc w:val="center"/>
              <w:rPr>
                <w:rFonts w:ascii="Calibri" w:hAnsi="Calibri" w:cs="Calibri"/>
                <w:sz w:val="18"/>
                <w:szCs w:val="18"/>
              </w:rPr>
            </w:pPr>
            <w:r>
              <w:rPr>
                <w:rFonts w:ascii="Calibri" w:hAnsi="Calibri" w:cs="Calibri"/>
                <w:sz w:val="18"/>
                <w:szCs w:val="18"/>
              </w:rPr>
              <w:t>1MPa</w:t>
            </w:r>
          </w:p>
        </w:tc>
        <w:tc>
          <w:tcPr>
            <w:tcW w:w="1705" w:type="dxa"/>
            <w:vAlign w:val="center"/>
          </w:tcPr>
          <w:p w14:paraId="50C8C53C">
            <w:pPr>
              <w:spacing w:after="240"/>
              <w:jc w:val="center"/>
              <w:rPr>
                <w:rFonts w:ascii="Calibri" w:hAnsi="Calibri" w:cs="Calibri"/>
                <w:sz w:val="18"/>
                <w:szCs w:val="18"/>
              </w:rPr>
            </w:pPr>
            <w:r>
              <w:rPr>
                <w:rFonts w:ascii="Calibri" w:hAnsi="Calibri" w:cs="Calibri"/>
                <w:sz w:val="18"/>
                <w:szCs w:val="18"/>
              </w:rPr>
              <w:t>200kPa</w:t>
            </w:r>
            <w:r>
              <w:rPr>
                <w:rFonts w:hint="eastAsia" w:asciiTheme="minorEastAsia" w:hAnsiTheme="minorEastAsia" w:cstheme="minorEastAsia"/>
                <w:sz w:val="18"/>
                <w:szCs w:val="18"/>
              </w:rPr>
              <w:t>~</w:t>
            </w:r>
            <w:r>
              <w:rPr>
                <w:rFonts w:ascii="Calibri" w:hAnsi="Calibri" w:cs="Calibri"/>
                <w:sz w:val="18"/>
                <w:szCs w:val="18"/>
              </w:rPr>
              <w:t>1MPa</w:t>
            </w:r>
          </w:p>
        </w:tc>
        <w:tc>
          <w:tcPr>
            <w:tcW w:w="1706" w:type="dxa"/>
            <w:vAlign w:val="center"/>
          </w:tcPr>
          <w:p w14:paraId="41435EE5">
            <w:pPr>
              <w:spacing w:after="240"/>
              <w:jc w:val="center"/>
              <w:rPr>
                <w:rFonts w:ascii="Calibri" w:hAnsi="Calibri" w:cs="Calibri"/>
                <w:sz w:val="18"/>
                <w:szCs w:val="18"/>
              </w:rPr>
            </w:pPr>
            <w:r>
              <w:rPr>
                <w:rFonts w:ascii="Calibri" w:hAnsi="Calibri" w:cs="Calibri"/>
                <w:sz w:val="18"/>
                <w:szCs w:val="18"/>
              </w:rPr>
              <w:t>0</w:t>
            </w:r>
          </w:p>
        </w:tc>
        <w:tc>
          <w:tcPr>
            <w:tcW w:w="1706" w:type="dxa"/>
            <w:vAlign w:val="center"/>
          </w:tcPr>
          <w:p w14:paraId="509C57B3">
            <w:pPr>
              <w:spacing w:after="240"/>
              <w:jc w:val="center"/>
              <w:rPr>
                <w:rFonts w:ascii="Calibri" w:hAnsi="Calibri" w:cs="Calibri"/>
                <w:sz w:val="18"/>
                <w:szCs w:val="18"/>
              </w:rPr>
            </w:pPr>
            <w:r>
              <w:rPr>
                <w:rFonts w:ascii="Calibri" w:hAnsi="Calibri" w:cs="Calibri"/>
                <w:sz w:val="18"/>
                <w:szCs w:val="18"/>
              </w:rPr>
              <w:t>1MPa</w:t>
            </w:r>
          </w:p>
        </w:tc>
        <w:tc>
          <w:tcPr>
            <w:tcW w:w="1706" w:type="dxa"/>
            <w:vAlign w:val="center"/>
          </w:tcPr>
          <w:p w14:paraId="18DD4612">
            <w:pPr>
              <w:spacing w:after="240"/>
              <w:jc w:val="center"/>
              <w:rPr>
                <w:rFonts w:ascii="Calibri" w:hAnsi="Calibri" w:cs="Calibri"/>
                <w:sz w:val="18"/>
                <w:szCs w:val="18"/>
              </w:rPr>
            </w:pPr>
            <w:r>
              <w:rPr>
                <w:rFonts w:ascii="Calibri" w:hAnsi="Calibri" w:cs="Calibri"/>
                <w:sz w:val="18"/>
                <w:szCs w:val="18"/>
              </w:rPr>
              <w:t>6MPa</w:t>
            </w:r>
          </w:p>
        </w:tc>
      </w:tr>
      <w:tr w14:paraId="276D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57A8F2CD">
            <w:pPr>
              <w:spacing w:after="240"/>
              <w:jc w:val="center"/>
              <w:rPr>
                <w:rFonts w:ascii="Calibri" w:hAnsi="Calibri" w:cs="Calibri"/>
                <w:sz w:val="18"/>
                <w:szCs w:val="18"/>
              </w:rPr>
            </w:pPr>
            <w:r>
              <w:rPr>
                <w:rFonts w:ascii="Calibri" w:hAnsi="Calibri" w:cs="Calibri"/>
                <w:sz w:val="18"/>
                <w:szCs w:val="18"/>
              </w:rPr>
              <w:t>10MPa</w:t>
            </w:r>
          </w:p>
        </w:tc>
        <w:tc>
          <w:tcPr>
            <w:tcW w:w="1705" w:type="dxa"/>
            <w:vAlign w:val="center"/>
          </w:tcPr>
          <w:p w14:paraId="07778E26">
            <w:pPr>
              <w:spacing w:after="240"/>
              <w:jc w:val="center"/>
              <w:rPr>
                <w:rFonts w:ascii="Calibri" w:hAnsi="Calibri" w:cs="Calibri"/>
                <w:sz w:val="18"/>
                <w:szCs w:val="18"/>
              </w:rPr>
            </w:pPr>
            <w:r>
              <w:rPr>
                <w:rFonts w:ascii="Calibri" w:hAnsi="Calibri" w:cs="Calibri"/>
                <w:sz w:val="18"/>
                <w:szCs w:val="18"/>
              </w:rPr>
              <w:t>1Mpa</w:t>
            </w:r>
            <w:r>
              <w:rPr>
                <w:rFonts w:hint="eastAsia" w:asciiTheme="minorEastAsia" w:hAnsiTheme="minorEastAsia" w:cstheme="minorEastAsia"/>
                <w:sz w:val="18"/>
                <w:szCs w:val="18"/>
              </w:rPr>
              <w:t>~</w:t>
            </w:r>
            <w:r>
              <w:rPr>
                <w:rFonts w:ascii="Calibri" w:hAnsi="Calibri" w:cs="Calibri"/>
                <w:sz w:val="18"/>
                <w:szCs w:val="18"/>
              </w:rPr>
              <w:t>10MPa</w:t>
            </w:r>
          </w:p>
        </w:tc>
        <w:tc>
          <w:tcPr>
            <w:tcW w:w="1706" w:type="dxa"/>
            <w:vAlign w:val="center"/>
          </w:tcPr>
          <w:p w14:paraId="1094FBF5">
            <w:pPr>
              <w:spacing w:after="240"/>
              <w:jc w:val="center"/>
              <w:rPr>
                <w:rFonts w:ascii="Calibri" w:hAnsi="Calibri" w:cs="Calibri"/>
                <w:sz w:val="18"/>
                <w:szCs w:val="18"/>
              </w:rPr>
            </w:pPr>
            <w:r>
              <w:rPr>
                <w:rFonts w:hint="eastAsia" w:ascii="Calibri" w:hAnsi="Calibri" w:cs="Calibri"/>
                <w:sz w:val="18"/>
                <w:szCs w:val="18"/>
              </w:rPr>
              <w:t>0</w:t>
            </w:r>
          </w:p>
        </w:tc>
        <w:tc>
          <w:tcPr>
            <w:tcW w:w="1706" w:type="dxa"/>
            <w:vAlign w:val="center"/>
          </w:tcPr>
          <w:p w14:paraId="3E92A9AA">
            <w:pPr>
              <w:spacing w:after="240"/>
              <w:jc w:val="center"/>
              <w:rPr>
                <w:rFonts w:ascii="Calibri" w:hAnsi="Calibri" w:cs="Calibri"/>
                <w:sz w:val="18"/>
                <w:szCs w:val="18"/>
              </w:rPr>
            </w:pPr>
            <w:r>
              <w:rPr>
                <w:rFonts w:ascii="Calibri" w:hAnsi="Calibri" w:cs="Calibri"/>
                <w:sz w:val="18"/>
                <w:szCs w:val="18"/>
              </w:rPr>
              <w:t>10MPa</w:t>
            </w:r>
          </w:p>
        </w:tc>
        <w:tc>
          <w:tcPr>
            <w:tcW w:w="1706" w:type="dxa"/>
            <w:vAlign w:val="center"/>
          </w:tcPr>
          <w:p w14:paraId="1B83B96C">
            <w:pPr>
              <w:spacing w:after="240"/>
              <w:jc w:val="center"/>
              <w:rPr>
                <w:rFonts w:ascii="Calibri" w:hAnsi="Calibri" w:cs="Calibri"/>
                <w:sz w:val="18"/>
                <w:szCs w:val="18"/>
              </w:rPr>
            </w:pPr>
            <w:r>
              <w:rPr>
                <w:rFonts w:ascii="Calibri" w:hAnsi="Calibri" w:cs="Calibri"/>
                <w:sz w:val="18"/>
                <w:szCs w:val="18"/>
              </w:rPr>
              <w:t>20MPa</w:t>
            </w:r>
          </w:p>
        </w:tc>
      </w:tr>
      <w:tr w14:paraId="48E1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14:paraId="23B6FECD">
            <w:pPr>
              <w:spacing w:after="240"/>
              <w:jc w:val="center"/>
              <w:rPr>
                <w:rFonts w:ascii="Calibri" w:hAnsi="Calibri" w:cs="Calibri"/>
                <w:sz w:val="18"/>
                <w:szCs w:val="18"/>
              </w:rPr>
            </w:pPr>
            <w:r>
              <w:rPr>
                <w:rFonts w:hint="eastAsia" w:ascii="Calibri" w:hAnsi="Calibri" w:cs="Calibri"/>
                <w:sz w:val="18"/>
                <w:szCs w:val="18"/>
              </w:rPr>
              <w:t>40MPa</w:t>
            </w:r>
          </w:p>
        </w:tc>
        <w:tc>
          <w:tcPr>
            <w:tcW w:w="1705" w:type="dxa"/>
            <w:vAlign w:val="center"/>
          </w:tcPr>
          <w:p w14:paraId="3E59D0D2">
            <w:pPr>
              <w:spacing w:after="240"/>
              <w:jc w:val="center"/>
              <w:rPr>
                <w:rFonts w:ascii="Calibri" w:hAnsi="Calibri" w:cs="Calibri"/>
                <w:sz w:val="18"/>
                <w:szCs w:val="18"/>
              </w:rPr>
            </w:pPr>
            <w:r>
              <w:rPr>
                <w:rFonts w:hint="eastAsia" w:ascii="Calibri" w:hAnsi="Calibri" w:cs="Calibri"/>
                <w:sz w:val="18"/>
                <w:szCs w:val="18"/>
              </w:rPr>
              <w:t>4Mpa</w:t>
            </w:r>
            <w:r>
              <w:rPr>
                <w:rFonts w:hint="eastAsia" w:asciiTheme="minorEastAsia" w:hAnsiTheme="minorEastAsia" w:cstheme="minorEastAsia"/>
                <w:sz w:val="18"/>
                <w:szCs w:val="18"/>
              </w:rPr>
              <w:t>~</w:t>
            </w:r>
            <w:r>
              <w:rPr>
                <w:rFonts w:hint="eastAsia" w:ascii="Calibri" w:hAnsi="Calibri" w:cs="Calibri"/>
                <w:sz w:val="18"/>
                <w:szCs w:val="18"/>
              </w:rPr>
              <w:t>40MPa</w:t>
            </w:r>
          </w:p>
        </w:tc>
        <w:tc>
          <w:tcPr>
            <w:tcW w:w="1706" w:type="dxa"/>
            <w:vAlign w:val="center"/>
          </w:tcPr>
          <w:p w14:paraId="16ACD3AB">
            <w:pPr>
              <w:spacing w:after="240"/>
              <w:jc w:val="center"/>
              <w:rPr>
                <w:rFonts w:ascii="Calibri" w:hAnsi="Calibri" w:cs="Calibri"/>
                <w:sz w:val="18"/>
                <w:szCs w:val="18"/>
              </w:rPr>
            </w:pPr>
            <w:r>
              <w:rPr>
                <w:rFonts w:hint="eastAsia" w:ascii="Calibri" w:hAnsi="Calibri" w:cs="Calibri"/>
                <w:sz w:val="18"/>
                <w:szCs w:val="18"/>
              </w:rPr>
              <w:t>0</w:t>
            </w:r>
          </w:p>
        </w:tc>
        <w:tc>
          <w:tcPr>
            <w:tcW w:w="1706" w:type="dxa"/>
            <w:vAlign w:val="center"/>
          </w:tcPr>
          <w:p w14:paraId="7F41169E">
            <w:pPr>
              <w:spacing w:after="240"/>
              <w:jc w:val="center"/>
              <w:rPr>
                <w:rFonts w:ascii="Calibri" w:hAnsi="Calibri" w:cs="Calibri"/>
                <w:sz w:val="18"/>
                <w:szCs w:val="18"/>
              </w:rPr>
            </w:pPr>
            <w:r>
              <w:rPr>
                <w:rFonts w:ascii="Calibri" w:hAnsi="Calibri" w:cs="Calibri"/>
                <w:sz w:val="18"/>
                <w:szCs w:val="18"/>
              </w:rPr>
              <w:t>40MPa</w:t>
            </w:r>
          </w:p>
        </w:tc>
        <w:tc>
          <w:tcPr>
            <w:tcW w:w="1706" w:type="dxa"/>
            <w:vAlign w:val="center"/>
          </w:tcPr>
          <w:p w14:paraId="7F0DA0E2">
            <w:pPr>
              <w:spacing w:after="240"/>
              <w:jc w:val="center"/>
              <w:rPr>
                <w:rFonts w:ascii="Calibri" w:hAnsi="Calibri" w:cs="Calibri"/>
                <w:sz w:val="18"/>
                <w:szCs w:val="18"/>
              </w:rPr>
            </w:pPr>
            <w:r>
              <w:rPr>
                <w:rFonts w:ascii="Calibri" w:hAnsi="Calibri" w:cs="Calibri"/>
                <w:sz w:val="18"/>
                <w:szCs w:val="18"/>
              </w:rPr>
              <w:t>80MPa</w:t>
            </w:r>
          </w:p>
        </w:tc>
      </w:tr>
      <w:tr w14:paraId="4FD1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5"/>
          </w:tcPr>
          <w:p w14:paraId="1FD1D480">
            <w:pPr>
              <w:spacing w:after="240"/>
              <w:rPr>
                <w:rFonts w:cstheme="minorHAnsi"/>
                <w:sz w:val="18"/>
                <w:szCs w:val="18"/>
              </w:rPr>
            </w:pPr>
            <w:r>
              <w:rPr>
                <w:rFonts w:cstheme="minorHAnsi"/>
                <w:sz w:val="18"/>
                <w:szCs w:val="18"/>
              </w:rPr>
              <w:t>Set the high and low limit requirements：The low and high limit values are taken within the upper range.  When URV-LRV ≥ minimum range</w:t>
            </w:r>
          </w:p>
        </w:tc>
      </w:tr>
      <w:tr w14:paraId="55E1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5"/>
          </w:tcPr>
          <w:p w14:paraId="4536798C">
            <w:pPr>
              <w:spacing w:after="240"/>
              <w:rPr>
                <w:rFonts w:cstheme="minorHAnsi"/>
                <w:sz w:val="18"/>
                <w:szCs w:val="18"/>
              </w:rPr>
            </w:pPr>
            <w:r>
              <w:rPr>
                <w:rFonts w:cstheme="minorHAnsi"/>
                <w:sz w:val="18"/>
                <w:szCs w:val="18"/>
              </w:rPr>
              <w:t>Overpressure limit value: It depends on the pressure value of the weakest part with the pressure bearing capacity. This overload pressure is the maximum pressure that the sensor can bear, not the maximum pressure that the product itself can bear.</w:t>
            </w:r>
          </w:p>
        </w:tc>
      </w:tr>
    </w:tbl>
    <w:p w14:paraId="54A16B91">
      <w:pPr>
        <w:numPr>
          <w:ilvl w:val="0"/>
          <w:numId w:val="28"/>
        </w:numPr>
        <w:spacing w:before="120" w:beforeLines="50" w:after="120" w:afterLines="50"/>
        <w:rPr>
          <w:rFonts w:cstheme="minorHAnsi"/>
          <w:b/>
        </w:rPr>
      </w:pPr>
      <w:r>
        <w:rPr>
          <w:rFonts w:cstheme="minorHAnsi"/>
          <w:b/>
        </w:rPr>
        <w:t>Reference accuracy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5981"/>
      </w:tblGrid>
      <w:tr w14:paraId="7615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4FA871F1">
            <w:pPr>
              <w:spacing w:after="240"/>
              <w:rPr>
                <w:rFonts w:cstheme="minorHAnsi"/>
                <w:sz w:val="18"/>
                <w:szCs w:val="18"/>
              </w:rPr>
            </w:pPr>
            <w:r>
              <w:rPr>
                <w:rFonts w:cstheme="minorHAnsi"/>
                <w:sz w:val="18"/>
                <w:szCs w:val="18"/>
              </w:rPr>
              <w:t>Range</w:t>
            </w:r>
          </w:p>
        </w:tc>
        <w:tc>
          <w:tcPr>
            <w:tcW w:w="5981" w:type="dxa"/>
          </w:tcPr>
          <w:p w14:paraId="0C280358">
            <w:pPr>
              <w:spacing w:after="240"/>
              <w:rPr>
                <w:rFonts w:cstheme="minorHAnsi"/>
                <w:sz w:val="18"/>
                <w:szCs w:val="18"/>
              </w:rPr>
            </w:pPr>
            <w:r>
              <w:rPr>
                <w:rFonts w:cstheme="minorHAnsi"/>
                <w:sz w:val="18"/>
                <w:szCs w:val="18"/>
              </w:rPr>
              <w:t>Reference accuracy (including linearity, hysteresis, and repeatability)</w:t>
            </w:r>
          </w:p>
        </w:tc>
      </w:tr>
      <w:tr w14:paraId="5A48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1F4008EC">
            <w:pPr>
              <w:spacing w:before="120" w:beforeLines="50" w:after="120" w:afterLines="50"/>
              <w:rPr>
                <w:rFonts w:ascii="Calibri" w:hAnsi="Calibri" w:cs="Calibri"/>
                <w:sz w:val="18"/>
                <w:szCs w:val="18"/>
              </w:rPr>
            </w:pPr>
            <w:r>
              <w:rPr>
                <w:rFonts w:hint="eastAsia" w:ascii="Calibri" w:hAnsi="Calibri" w:cs="Calibri"/>
                <w:sz w:val="18"/>
                <w:szCs w:val="18"/>
              </w:rPr>
              <w:t>250kPa、1MPa、10MPa、40MPa</w:t>
            </w:r>
          </w:p>
        </w:tc>
        <w:tc>
          <w:tcPr>
            <w:tcW w:w="5981" w:type="dxa"/>
          </w:tcPr>
          <w:p w14:paraId="76A30EC9">
            <w:pPr>
              <w:spacing w:after="240"/>
              <w:rPr>
                <w:rFonts w:cstheme="minorHAnsi"/>
                <w:sz w:val="18"/>
                <w:szCs w:val="18"/>
              </w:rPr>
            </w:pPr>
            <w:r>
              <w:rPr>
                <w:rFonts w:cstheme="minorHAnsi"/>
                <w:sz w:val="18"/>
                <w:szCs w:val="18"/>
              </w:rPr>
              <w:t>±0.075%SPAN</w:t>
            </w:r>
          </w:p>
          <w:p w14:paraId="687B390B">
            <w:pPr>
              <w:spacing w:after="240"/>
              <w:rPr>
                <w:rFonts w:cstheme="minorHAnsi"/>
                <w:sz w:val="18"/>
                <w:szCs w:val="18"/>
              </w:rPr>
            </w:pPr>
            <w:r>
              <w:rPr>
                <w:rFonts w:cstheme="minorHAnsi"/>
                <w:sz w:val="18"/>
                <w:szCs w:val="18"/>
              </w:rPr>
              <w:t>For ranges less than 10:1, accuracy: ± (0.015 * TD)% * SPAN</w:t>
            </w:r>
          </w:p>
        </w:tc>
      </w:tr>
      <w:tr w14:paraId="31E1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Pr>
          <w:p w14:paraId="1F7043CC">
            <w:pPr>
              <w:spacing w:before="120" w:beforeLines="50" w:after="120" w:afterLines="50"/>
              <w:rPr>
                <w:rFonts w:ascii="Calibri" w:hAnsi="Calibri" w:cs="Calibri"/>
                <w:sz w:val="18"/>
                <w:szCs w:val="18"/>
              </w:rPr>
            </w:pPr>
            <w:r>
              <w:rPr>
                <w:rFonts w:hint="eastAsia" w:ascii="Calibri" w:hAnsi="Calibri" w:cs="Calibri"/>
                <w:sz w:val="18"/>
                <w:szCs w:val="18"/>
              </w:rPr>
              <w:t>40kPa</w:t>
            </w:r>
          </w:p>
        </w:tc>
        <w:tc>
          <w:tcPr>
            <w:tcW w:w="5981" w:type="dxa"/>
          </w:tcPr>
          <w:p w14:paraId="30E59BD6">
            <w:pPr>
              <w:spacing w:after="240"/>
              <w:rPr>
                <w:rFonts w:cstheme="minorHAnsi"/>
                <w:sz w:val="18"/>
                <w:szCs w:val="18"/>
              </w:rPr>
            </w:pPr>
            <w:r>
              <w:rPr>
                <w:rFonts w:cstheme="minorHAnsi"/>
                <w:sz w:val="18"/>
                <w:szCs w:val="18"/>
              </w:rPr>
              <w:t>±0.075%SPAN</w:t>
            </w:r>
          </w:p>
          <w:p w14:paraId="73983974">
            <w:pPr>
              <w:spacing w:after="240"/>
              <w:rPr>
                <w:rFonts w:cstheme="minorHAnsi"/>
                <w:sz w:val="18"/>
                <w:szCs w:val="18"/>
              </w:rPr>
            </w:pPr>
            <w:r>
              <w:rPr>
                <w:rFonts w:cstheme="minorHAnsi"/>
                <w:sz w:val="18"/>
                <w:szCs w:val="18"/>
              </w:rPr>
              <w:t>For ranges less than 5:1, accuracy:</w:t>
            </w:r>
            <w:r>
              <w:rPr>
                <w:rFonts w:hint="eastAsia" w:ascii="Calibri" w:hAnsi="Calibri" w:cs="Calibri"/>
                <w:sz w:val="18"/>
                <w:szCs w:val="18"/>
              </w:rPr>
              <w:t>±(0.0</w:t>
            </w:r>
            <w:r>
              <w:rPr>
                <w:rFonts w:ascii="Calibri" w:hAnsi="Calibri" w:cs="Calibri"/>
                <w:sz w:val="18"/>
                <w:szCs w:val="18"/>
              </w:rPr>
              <w:t>375</w:t>
            </w:r>
            <w:r>
              <w:rPr>
                <w:rFonts w:hint="eastAsia" w:ascii="Calibri" w:hAnsi="Calibri" w:cs="Calibri"/>
                <w:sz w:val="18"/>
                <w:szCs w:val="18"/>
              </w:rPr>
              <w:t>*TD)%*SPAN</w:t>
            </w:r>
          </w:p>
        </w:tc>
      </w:tr>
      <w:tr w14:paraId="1943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2"/>
          </w:tcPr>
          <w:p w14:paraId="23A55894">
            <w:pPr>
              <w:spacing w:after="240"/>
              <w:rPr>
                <w:rFonts w:cstheme="minorHAnsi"/>
                <w:sz w:val="18"/>
                <w:szCs w:val="18"/>
              </w:rPr>
            </w:pPr>
            <w:r>
              <w:rPr>
                <w:rFonts w:cstheme="minorHAnsi"/>
                <w:sz w:val="18"/>
                <w:szCs w:val="18"/>
              </w:rPr>
              <w:t>The square root output accuracy is 1.5 times that of the above linear reference accuracy</w:t>
            </w:r>
          </w:p>
        </w:tc>
      </w:tr>
      <w:tr w14:paraId="597C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2"/>
          </w:tcPr>
          <w:p w14:paraId="5F27E0B2">
            <w:pPr>
              <w:spacing w:after="240"/>
              <w:rPr>
                <w:rFonts w:cstheme="minorHAnsi"/>
                <w:sz w:val="18"/>
                <w:szCs w:val="18"/>
              </w:rPr>
            </w:pPr>
            <w:r>
              <w:rPr>
                <w:rFonts w:cstheme="minorHAnsi"/>
                <w:sz w:val="18"/>
                <w:szCs w:val="18"/>
              </w:rPr>
              <w:t>Note 1, TD (Turn down) is the range ratio, when | URV | ≥ | LRV |, TD=URL/ | LRV |</w:t>
            </w:r>
          </w:p>
          <w:p w14:paraId="17E4018E">
            <w:pPr>
              <w:spacing w:after="240"/>
              <w:rPr>
                <w:rFonts w:cstheme="minorHAnsi"/>
                <w:sz w:val="18"/>
                <w:szCs w:val="18"/>
              </w:rPr>
            </w:pPr>
            <w:r>
              <w:rPr>
                <w:rFonts w:cstheme="minorHAnsi"/>
                <w:sz w:val="18"/>
                <w:szCs w:val="18"/>
              </w:rPr>
              <w:t>When | URV | ≤ | LRV |, TD=URL/ | LRV |</w:t>
            </w:r>
          </w:p>
          <w:p w14:paraId="211C65DA">
            <w:pPr>
              <w:spacing w:after="240"/>
              <w:rPr>
                <w:rFonts w:cstheme="minorHAnsi"/>
                <w:sz w:val="18"/>
                <w:szCs w:val="18"/>
              </w:rPr>
            </w:pPr>
            <w:r>
              <w:rPr>
                <w:rFonts w:cstheme="minorHAnsi"/>
                <w:sz w:val="18"/>
                <w:szCs w:val="18"/>
              </w:rPr>
              <w:t>Note 2: SPAN refers to range difference: SPAN=|URV-LRV|</w:t>
            </w:r>
          </w:p>
        </w:tc>
      </w:tr>
    </w:tbl>
    <w:p w14:paraId="08A59D52">
      <w:pPr>
        <w:numPr>
          <w:ilvl w:val="0"/>
          <w:numId w:val="28"/>
        </w:numPr>
        <w:spacing w:before="120" w:beforeLines="50" w:after="120" w:afterLines="50"/>
        <w:rPr>
          <w:rFonts w:cstheme="minorHAnsi"/>
          <w:b/>
        </w:rPr>
      </w:pPr>
      <w:r>
        <w:rPr>
          <w:rFonts w:eastAsia="微软雅黑" w:cstheme="minorHAnsi"/>
          <w:b/>
          <w:sz w:val="18"/>
          <w:szCs w:val="18"/>
        </w:rPr>
        <w:t>Ambient temperature impact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49A5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4" w:type="dxa"/>
          </w:tcPr>
          <w:p w14:paraId="54911939">
            <w:pPr>
              <w:spacing w:after="240"/>
              <w:rPr>
                <w:rFonts w:cstheme="minorHAnsi"/>
                <w:b/>
                <w:sz w:val="18"/>
                <w:szCs w:val="18"/>
              </w:rPr>
            </w:pPr>
            <w:r>
              <w:rPr>
                <w:rFonts w:eastAsia="微软雅黑" w:cstheme="minorHAnsi"/>
                <w:sz w:val="18"/>
                <w:szCs w:val="18"/>
              </w:rPr>
              <w:t>Total impact for every 10</w:t>
            </w:r>
            <w:r>
              <w:rPr>
                <w:rFonts w:ascii="Cambria Math" w:hAnsi="Cambria Math" w:cs="Cambria Math"/>
                <w:sz w:val="18"/>
                <w:szCs w:val="18"/>
              </w:rPr>
              <w:t>℃</w:t>
            </w:r>
            <w:r>
              <w:rPr>
                <w:rFonts w:eastAsia="微软雅黑" w:cstheme="minorHAnsi"/>
                <w:sz w:val="18"/>
                <w:szCs w:val="18"/>
              </w:rPr>
              <w:t xml:space="preserve"> within the-40-85</w:t>
            </w:r>
            <w:r>
              <w:rPr>
                <w:rFonts w:ascii="Cambria Math" w:hAnsi="Cambria Math" w:cs="Cambria Math"/>
                <w:sz w:val="18"/>
                <w:szCs w:val="18"/>
              </w:rPr>
              <w:t>℃</w:t>
            </w:r>
            <w:r>
              <w:rPr>
                <w:rFonts w:eastAsia="微软雅黑" w:cstheme="minorHAnsi"/>
                <w:sz w:val="18"/>
                <w:szCs w:val="18"/>
              </w:rPr>
              <w:t xml:space="preserve"> range</w:t>
            </w:r>
          </w:p>
        </w:tc>
        <w:tc>
          <w:tcPr>
            <w:tcW w:w="4264" w:type="dxa"/>
          </w:tcPr>
          <w:p w14:paraId="5D816FA7">
            <w:pPr>
              <w:spacing w:after="240"/>
              <w:rPr>
                <w:rFonts w:cstheme="minorHAnsi"/>
                <w:sz w:val="18"/>
                <w:szCs w:val="18"/>
              </w:rPr>
            </w:pPr>
            <w:r>
              <w:rPr>
                <w:rFonts w:ascii="Calibri" w:hAnsi="Calibri" w:cs="Calibri"/>
                <w:sz w:val="18"/>
                <w:szCs w:val="18"/>
              </w:rPr>
              <w:t>±0.075%URL</w:t>
            </w:r>
          </w:p>
        </w:tc>
      </w:tr>
    </w:tbl>
    <w:p w14:paraId="665EBE3A">
      <w:pPr>
        <w:numPr>
          <w:ilvl w:val="0"/>
          <w:numId w:val="28"/>
        </w:numPr>
        <w:spacing w:before="120" w:beforeLines="50" w:after="120" w:afterLines="50"/>
        <w:rPr>
          <w:rFonts w:cstheme="minorHAnsi"/>
          <w:b/>
        </w:rPr>
      </w:pPr>
      <w:r>
        <w:rPr>
          <w:rFonts w:eastAsia="微软雅黑" w:cstheme="minorHAnsi"/>
          <w:b/>
          <w:sz w:val="18"/>
          <w:szCs w:val="18"/>
        </w:rPr>
        <w:t>Power supply influence</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3B80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tcPr>
          <w:p w14:paraId="5BB4A091">
            <w:pPr>
              <w:spacing w:after="240"/>
              <w:rPr>
                <w:rFonts w:cstheme="minorHAnsi"/>
                <w:sz w:val="18"/>
                <w:szCs w:val="18"/>
              </w:rPr>
            </w:pPr>
            <w:r>
              <w:rPr>
                <w:rFonts w:eastAsia="微软雅黑" w:cstheme="minorHAnsi"/>
                <w:sz w:val="18"/>
                <w:szCs w:val="18"/>
              </w:rPr>
              <w:t>The zero and range changes shall not exceed the ± 0.005% upper range limit / V</w:t>
            </w:r>
          </w:p>
        </w:tc>
      </w:tr>
    </w:tbl>
    <w:p w14:paraId="57E9CBF6">
      <w:pPr>
        <w:numPr>
          <w:ilvl w:val="0"/>
          <w:numId w:val="28"/>
        </w:numPr>
        <w:spacing w:before="240" w:after="240"/>
        <w:rPr>
          <w:rFonts w:eastAsia="微软雅黑" w:cstheme="minorHAnsi"/>
          <w:b/>
          <w:sz w:val="18"/>
          <w:szCs w:val="18"/>
        </w:rPr>
      </w:pPr>
      <w:r>
        <w:rPr>
          <w:rFonts w:eastAsia="微软雅黑" w:cstheme="minorHAnsi"/>
          <w:b/>
          <w:sz w:val="18"/>
          <w:szCs w:val="18"/>
        </w:rPr>
        <w:t>Stability</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77FC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vAlign w:val="center"/>
          </w:tcPr>
          <w:p w14:paraId="3F429288">
            <w:pPr>
              <w:spacing w:after="240"/>
              <w:rPr>
                <w:rFonts w:eastAsia="微软雅黑" w:cstheme="minorHAnsi"/>
                <w:sz w:val="18"/>
                <w:szCs w:val="18"/>
              </w:rPr>
            </w:pPr>
            <w:r>
              <w:rPr>
                <w:rFonts w:eastAsia="微软雅黑" w:cstheme="minorHAnsi"/>
                <w:sz w:val="18"/>
                <w:szCs w:val="18"/>
              </w:rPr>
              <w:t xml:space="preserve">Annual stability: ± 0.2% </w:t>
            </w:r>
            <w:r>
              <w:rPr>
                <w:rFonts w:cstheme="minorHAnsi"/>
                <w:sz w:val="18"/>
                <w:szCs w:val="18"/>
              </w:rPr>
              <w:t>URL</w:t>
            </w:r>
            <w:r>
              <w:rPr>
                <w:rFonts w:eastAsia="微软雅黑" w:cstheme="minorHAnsi"/>
                <w:sz w:val="18"/>
                <w:szCs w:val="18"/>
              </w:rPr>
              <w:t xml:space="preserve"> /5 years</w:t>
            </w:r>
          </w:p>
        </w:tc>
      </w:tr>
    </w:tbl>
    <w:p w14:paraId="20CBD829">
      <w:pPr>
        <w:pStyle w:val="3"/>
        <w:spacing w:before="120" w:beforeLines="50" w:after="120" w:afterLines="50" w:line="240" w:lineRule="auto"/>
        <w:ind w:left="578" w:hanging="578"/>
        <w:rPr>
          <w:rFonts w:asciiTheme="minorHAnsi" w:hAnsiTheme="minorHAnsi" w:cstheme="minorHAnsi"/>
        </w:rPr>
      </w:pPr>
      <w:bookmarkStart w:id="228" w:name="_Toc199429868"/>
      <w:r>
        <w:rPr>
          <w:rFonts w:asciiTheme="minorHAnsi" w:hAnsiTheme="minorHAnsi" w:cstheme="minorHAnsi"/>
        </w:rPr>
        <w:t>Physical properties</w:t>
      </w:r>
      <w:bookmarkEnd w:id="220"/>
      <w:bookmarkEnd w:id="221"/>
      <w:bookmarkEnd w:id="222"/>
      <w:bookmarkEnd w:id="223"/>
      <w:bookmarkEnd w:id="224"/>
      <w:bookmarkEnd w:id="225"/>
      <w:bookmarkEnd w:id="227"/>
      <w:bookmarkEnd w:id="228"/>
    </w:p>
    <w:p w14:paraId="47305F5B">
      <w:pPr>
        <w:pStyle w:val="4"/>
        <w:spacing w:before="120" w:beforeLines="50" w:after="120" w:afterLines="50"/>
        <w:rPr>
          <w:rFonts w:asciiTheme="minorHAnsi" w:hAnsiTheme="minorHAnsi" w:cstheme="minorHAnsi"/>
        </w:rPr>
      </w:pPr>
      <w:bookmarkStart w:id="229" w:name="_Toc199429869"/>
      <w:bookmarkStart w:id="230" w:name="_Toc99099416"/>
      <w:r>
        <w:rPr>
          <w:rFonts w:asciiTheme="minorHAnsi" w:hAnsiTheme="minorHAnsi" w:cstheme="minorHAnsi"/>
        </w:rPr>
        <w:t>NCS-PT105IIM Intelligent pressure transmitter</w:t>
      </w:r>
      <w:bookmarkEnd w:id="229"/>
      <w:bookmarkEnd w:id="230"/>
    </w:p>
    <w:tbl>
      <w:tblPr>
        <w:tblStyle w:val="30"/>
        <w:tblW w:w="4732"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968"/>
        <w:gridCol w:w="7467"/>
      </w:tblGrid>
      <w:tr w14:paraId="3ED4AE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4" w:hRule="atLeast"/>
          <w:jc w:val="center"/>
        </w:trPr>
        <w:tc>
          <w:tcPr>
            <w:tcW w:w="1043" w:type="pct"/>
            <w:shd w:val="clear" w:color="auto" w:fill="CCCCCC"/>
            <w:vAlign w:val="center"/>
          </w:tcPr>
          <w:p w14:paraId="25C70452">
            <w:pPr>
              <w:spacing w:after="240"/>
              <w:rPr>
                <w:rFonts w:cstheme="minorHAnsi"/>
                <w:sz w:val="18"/>
                <w:szCs w:val="18"/>
              </w:rPr>
            </w:pPr>
            <w:r>
              <w:rPr>
                <w:rFonts w:cstheme="minorHAnsi"/>
                <w:sz w:val="18"/>
                <w:szCs w:val="18"/>
              </w:rPr>
              <w:t>Electrical connection</w:t>
            </w:r>
          </w:p>
        </w:tc>
        <w:tc>
          <w:tcPr>
            <w:tcW w:w="3957" w:type="pct"/>
          </w:tcPr>
          <w:p w14:paraId="5EFD8498">
            <w:pPr>
              <w:spacing w:after="240"/>
              <w:rPr>
                <w:rFonts w:cstheme="minorHAnsi"/>
                <w:sz w:val="18"/>
                <w:szCs w:val="18"/>
              </w:rPr>
            </w:pPr>
            <w:r>
              <w:rPr>
                <w:rFonts w:cstheme="minorHAnsi"/>
                <w:sz w:val="18"/>
                <w:szCs w:val="18"/>
              </w:rPr>
              <w:t xml:space="preserve">1/2-14 NPT female </w:t>
            </w:r>
          </w:p>
        </w:tc>
      </w:tr>
      <w:tr w14:paraId="7E6930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3" w:hRule="atLeast"/>
          <w:jc w:val="center"/>
        </w:trPr>
        <w:tc>
          <w:tcPr>
            <w:tcW w:w="1043" w:type="pct"/>
            <w:shd w:val="clear" w:color="auto" w:fill="CCCCCC"/>
            <w:vAlign w:val="center"/>
          </w:tcPr>
          <w:p w14:paraId="0024670F">
            <w:pPr>
              <w:spacing w:after="240"/>
              <w:rPr>
                <w:rFonts w:cstheme="minorHAnsi"/>
                <w:sz w:val="18"/>
                <w:szCs w:val="18"/>
              </w:rPr>
            </w:pPr>
            <w:r>
              <w:rPr>
                <w:rFonts w:cstheme="minorHAnsi"/>
                <w:sz w:val="18"/>
                <w:szCs w:val="18"/>
              </w:rPr>
              <w:t>Process connection</w:t>
            </w:r>
          </w:p>
        </w:tc>
        <w:tc>
          <w:tcPr>
            <w:tcW w:w="3957" w:type="pct"/>
          </w:tcPr>
          <w:p w14:paraId="0F92663F">
            <w:pPr>
              <w:spacing w:after="240"/>
              <w:rPr>
                <w:rFonts w:cstheme="minorHAnsi"/>
                <w:sz w:val="18"/>
                <w:szCs w:val="18"/>
              </w:rPr>
            </w:pPr>
            <w:r>
              <w:rPr>
                <w:rFonts w:cstheme="minorHAnsi"/>
                <w:sz w:val="18"/>
                <w:szCs w:val="18"/>
              </w:rPr>
              <w:t xml:space="preserve">1/4-18 NPT female </w:t>
            </w:r>
          </w:p>
        </w:tc>
      </w:tr>
      <w:tr w14:paraId="549BD1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043" w:type="pct"/>
            <w:shd w:val="clear" w:color="auto" w:fill="CCCCCC"/>
            <w:vAlign w:val="center"/>
          </w:tcPr>
          <w:p w14:paraId="24733D30">
            <w:pPr>
              <w:spacing w:after="240"/>
              <w:rPr>
                <w:rFonts w:cstheme="minorHAnsi"/>
                <w:sz w:val="18"/>
                <w:szCs w:val="18"/>
              </w:rPr>
            </w:pPr>
            <w:r>
              <w:rPr>
                <w:rFonts w:cstheme="minorHAnsi"/>
                <w:sz w:val="18"/>
                <w:szCs w:val="18"/>
              </w:rPr>
              <w:t>Structural materials</w:t>
            </w:r>
          </w:p>
        </w:tc>
        <w:tc>
          <w:tcPr>
            <w:tcW w:w="3957" w:type="pct"/>
            <w:vAlign w:val="center"/>
          </w:tcPr>
          <w:p w14:paraId="73FF2F07">
            <w:pPr>
              <w:spacing w:after="240"/>
              <w:rPr>
                <w:rFonts w:cstheme="minorHAnsi"/>
                <w:sz w:val="18"/>
                <w:szCs w:val="18"/>
              </w:rPr>
            </w:pPr>
            <w:r>
              <w:rPr>
                <w:rFonts w:hint="eastAsia" w:cstheme="minorHAnsi"/>
                <w:sz w:val="18"/>
                <w:szCs w:val="18"/>
              </w:rPr>
              <w:t>MOC</w:t>
            </w:r>
            <w:r>
              <w:rPr>
                <w:rFonts w:cstheme="minorHAnsi"/>
                <w:sz w:val="18"/>
                <w:szCs w:val="18"/>
              </w:rPr>
              <w:t>：316 stainless steel, Hastelloy C,</w:t>
            </w:r>
            <w:r>
              <w:rPr>
                <w:rFonts w:cstheme="minorHAnsi"/>
              </w:rPr>
              <w:t xml:space="preserve"> </w:t>
            </w:r>
            <w:r>
              <w:rPr>
                <w:rFonts w:cstheme="minorHAnsi"/>
                <w:sz w:val="18"/>
                <w:szCs w:val="18"/>
              </w:rPr>
              <w:t>Monel or tantalum;</w:t>
            </w:r>
          </w:p>
          <w:p w14:paraId="1FBC2285">
            <w:pPr>
              <w:spacing w:after="240"/>
              <w:rPr>
                <w:rFonts w:cstheme="minorHAnsi"/>
                <w:sz w:val="18"/>
                <w:szCs w:val="18"/>
              </w:rPr>
            </w:pPr>
            <w:r>
              <w:rPr>
                <w:rFonts w:cstheme="minorHAnsi"/>
                <w:sz w:val="18"/>
                <w:szCs w:val="18"/>
              </w:rPr>
              <w:t xml:space="preserve">Bleed/drain valve: 304 stainless steel, 316 stainless steel; </w:t>
            </w:r>
          </w:p>
          <w:p w14:paraId="0F850F47">
            <w:pPr>
              <w:spacing w:after="240"/>
              <w:rPr>
                <w:rFonts w:cstheme="minorHAnsi"/>
                <w:sz w:val="18"/>
                <w:szCs w:val="18"/>
              </w:rPr>
            </w:pPr>
            <w:r>
              <w:rPr>
                <w:rFonts w:cstheme="minorHAnsi"/>
                <w:sz w:val="18"/>
                <w:szCs w:val="18"/>
              </w:rPr>
              <w:t xml:space="preserve">Flange and connector: 304 stainless steel, 316 stainless steel; </w:t>
            </w:r>
          </w:p>
          <w:p w14:paraId="7EA7CACA">
            <w:pPr>
              <w:spacing w:after="240"/>
              <w:rPr>
                <w:rFonts w:cstheme="minorHAnsi"/>
                <w:sz w:val="18"/>
                <w:szCs w:val="18"/>
              </w:rPr>
            </w:pPr>
            <w:r>
              <w:rPr>
                <w:rFonts w:cstheme="minorHAnsi"/>
                <w:sz w:val="18"/>
                <w:szCs w:val="18"/>
              </w:rPr>
              <w:t xml:space="preserve">O-ring: Nitrile rubber, fluorine rubber; </w:t>
            </w:r>
          </w:p>
          <w:p w14:paraId="061BA9D6">
            <w:pPr>
              <w:spacing w:after="240"/>
              <w:rPr>
                <w:rFonts w:cstheme="minorHAnsi"/>
                <w:sz w:val="18"/>
                <w:szCs w:val="18"/>
              </w:rPr>
            </w:pPr>
            <w:r>
              <w:rPr>
                <w:rFonts w:cstheme="minorHAnsi"/>
                <w:sz w:val="18"/>
                <w:szCs w:val="18"/>
              </w:rPr>
              <w:t>Filled liquid: silicon oil or fluorocarbon oil;</w:t>
            </w:r>
          </w:p>
          <w:p w14:paraId="6E4F335B">
            <w:pPr>
              <w:spacing w:after="240"/>
              <w:rPr>
                <w:rFonts w:cstheme="minorHAnsi"/>
                <w:sz w:val="18"/>
                <w:szCs w:val="18"/>
              </w:rPr>
            </w:pPr>
            <w:r>
              <w:rPr>
                <w:rFonts w:cstheme="minorHAnsi"/>
                <w:sz w:val="18"/>
                <w:szCs w:val="18"/>
              </w:rPr>
              <w:t>Bolt：zinc plating carbon steel;</w:t>
            </w:r>
          </w:p>
          <w:p w14:paraId="6F72283C">
            <w:pPr>
              <w:spacing w:after="240"/>
              <w:rPr>
                <w:rFonts w:cstheme="minorHAnsi"/>
                <w:sz w:val="18"/>
                <w:szCs w:val="18"/>
              </w:rPr>
            </w:pPr>
            <w:r>
              <w:rPr>
                <w:rFonts w:cstheme="minorHAnsi"/>
                <w:sz w:val="18"/>
                <w:szCs w:val="18"/>
              </w:rPr>
              <w:t>(The material above should be selected at order, if has other requirement, please report in advance)</w:t>
            </w:r>
          </w:p>
          <w:p w14:paraId="097E8182">
            <w:pPr>
              <w:spacing w:after="240"/>
              <w:rPr>
                <w:rFonts w:cstheme="minorHAnsi"/>
                <w:sz w:val="18"/>
                <w:szCs w:val="18"/>
              </w:rPr>
            </w:pPr>
            <w:r>
              <w:rPr>
                <w:rFonts w:cstheme="minorHAnsi"/>
                <w:sz w:val="18"/>
                <w:szCs w:val="18"/>
              </w:rPr>
              <w:t>Housing: low copper aluminum alloy;</w:t>
            </w:r>
          </w:p>
          <w:p w14:paraId="553B0781">
            <w:pPr>
              <w:spacing w:after="240"/>
              <w:rPr>
                <w:rFonts w:cstheme="minorHAnsi"/>
                <w:sz w:val="18"/>
                <w:szCs w:val="18"/>
              </w:rPr>
            </w:pPr>
            <w:r>
              <w:rPr>
                <w:rFonts w:cstheme="minorHAnsi"/>
                <w:sz w:val="18"/>
                <w:szCs w:val="18"/>
              </w:rPr>
              <w:t>Coating: Polyester epoxy resin.</w:t>
            </w:r>
          </w:p>
        </w:tc>
      </w:tr>
    </w:tbl>
    <w:p w14:paraId="78B97752">
      <w:pPr>
        <w:pStyle w:val="4"/>
        <w:spacing w:before="120" w:beforeLines="50" w:after="120" w:afterLines="50"/>
        <w:rPr>
          <w:rFonts w:asciiTheme="minorHAnsi" w:hAnsiTheme="minorHAnsi" w:cstheme="minorHAnsi"/>
        </w:rPr>
      </w:pPr>
      <w:bookmarkStart w:id="231" w:name="_附：NCS-PT105Ⅱ系列智能压力变送器型号及附件代码"/>
      <w:bookmarkEnd w:id="231"/>
      <w:bookmarkStart w:id="232" w:name="_Toc199429870"/>
      <w:bookmarkStart w:id="233" w:name="_Toc99099417"/>
      <w:bookmarkStart w:id="234" w:name="_Toc165177478"/>
      <w:bookmarkStart w:id="235" w:name="_Toc166471648"/>
      <w:r>
        <w:rPr>
          <w:rFonts w:asciiTheme="minorHAnsi" w:hAnsiTheme="minorHAnsi" w:cstheme="minorHAnsi"/>
        </w:rPr>
        <w:t>NCS-PT105IISM Intelligent pressure transmitter</w:t>
      </w:r>
      <w:bookmarkEnd w:id="232"/>
      <w:bookmarkEnd w:id="233"/>
    </w:p>
    <w:tbl>
      <w:tblPr>
        <w:tblStyle w:val="30"/>
        <w:tblW w:w="4729" w:type="pct"/>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1"/>
        <w:gridCol w:w="7108"/>
      </w:tblGrid>
      <w:tr w14:paraId="7397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231" w:type="pct"/>
            <w:shd w:val="clear" w:color="auto" w:fill="CCCCCC"/>
            <w:vAlign w:val="center"/>
          </w:tcPr>
          <w:p w14:paraId="7E238AC2">
            <w:pPr>
              <w:spacing w:after="240"/>
              <w:rPr>
                <w:rFonts w:cstheme="minorHAnsi"/>
                <w:sz w:val="18"/>
                <w:szCs w:val="18"/>
              </w:rPr>
            </w:pPr>
            <w:r>
              <w:rPr>
                <w:rFonts w:cstheme="minorHAnsi"/>
                <w:sz w:val="18"/>
                <w:szCs w:val="18"/>
              </w:rPr>
              <w:t>Electrical connection</w:t>
            </w:r>
          </w:p>
        </w:tc>
        <w:tc>
          <w:tcPr>
            <w:tcW w:w="3769" w:type="pct"/>
          </w:tcPr>
          <w:p w14:paraId="348F2BFD">
            <w:pPr>
              <w:spacing w:after="240"/>
              <w:rPr>
                <w:rFonts w:cstheme="minorHAnsi"/>
                <w:sz w:val="18"/>
                <w:szCs w:val="18"/>
              </w:rPr>
            </w:pPr>
            <w:r>
              <w:rPr>
                <w:rFonts w:cstheme="minorHAnsi"/>
                <w:sz w:val="18"/>
                <w:szCs w:val="18"/>
              </w:rPr>
              <w:t xml:space="preserve">1/2-14 NPT female </w:t>
            </w:r>
          </w:p>
        </w:tc>
      </w:tr>
    </w:tbl>
    <w:p w14:paraId="6BAAA2ED">
      <w:pPr>
        <w:pStyle w:val="3"/>
        <w:spacing w:before="120" w:beforeLines="50" w:after="120" w:afterLines="50" w:line="240" w:lineRule="auto"/>
        <w:ind w:left="578" w:hanging="578"/>
        <w:rPr>
          <w:rFonts w:asciiTheme="minorHAnsi" w:hAnsiTheme="minorHAnsi" w:cstheme="minorHAnsi"/>
        </w:rPr>
      </w:pPr>
      <w:r>
        <w:rPr>
          <w:rFonts w:hint="eastAsia" w:asciiTheme="minorHAnsi" w:hAnsiTheme="minorHAnsi" w:cstheme="minorHAnsi"/>
        </w:rPr>
        <w:t>Si</w:t>
      </w:r>
      <w:r>
        <w:rPr>
          <w:rFonts w:asciiTheme="minorHAnsi" w:hAnsiTheme="minorHAnsi" w:cstheme="minorHAnsi"/>
        </w:rPr>
        <w:t>ze of diaphragm</w:t>
      </w:r>
    </w:p>
    <w:p w14:paraId="0C396113">
      <w:pPr>
        <w:spacing w:after="240"/>
        <w:jc w:val="center"/>
      </w:pPr>
      <w:r>
        <w:drawing>
          <wp:inline distT="0" distB="0" distL="0" distR="0">
            <wp:extent cx="4199255" cy="3101975"/>
            <wp:effectExtent l="0" t="0" r="4445" b="0"/>
            <wp:docPr id="516145145" name="图片 51614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145145" name="图片 51614514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4244767" cy="3135966"/>
                    </a:xfrm>
                    <a:prstGeom prst="rect">
                      <a:avLst/>
                    </a:prstGeom>
                    <a:noFill/>
                    <a:ln>
                      <a:noFill/>
                    </a:ln>
                  </pic:spPr>
                </pic:pic>
              </a:graphicData>
            </a:graphic>
          </wp:inline>
        </w:drawing>
      </w:r>
      <w:r>
        <w:drawing>
          <wp:inline distT="0" distB="0" distL="0" distR="0">
            <wp:extent cx="3302000" cy="4580255"/>
            <wp:effectExtent l="0" t="0" r="0" b="4445"/>
            <wp:docPr id="999199873" name="图片 999199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199873" name="图片 99919987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3325656" cy="4613225"/>
                    </a:xfrm>
                    <a:prstGeom prst="rect">
                      <a:avLst/>
                    </a:prstGeom>
                    <a:noFill/>
                    <a:ln>
                      <a:noFill/>
                    </a:ln>
                  </pic:spPr>
                </pic:pic>
              </a:graphicData>
            </a:graphic>
          </wp:inline>
        </w:drawing>
      </w:r>
    </w:p>
    <w:p w14:paraId="104DDCDD">
      <w:pPr>
        <w:pStyle w:val="12"/>
        <w:spacing w:before="120" w:after="120"/>
      </w:pPr>
      <w:r>
        <w:rPr>
          <w:rFonts w:hint="eastAsia"/>
        </w:rPr>
        <w:t>F</w:t>
      </w:r>
      <w:r>
        <w:t>igure 11.1 Size of diaphragm</w:t>
      </w:r>
    </w:p>
    <w:p w14:paraId="161EBE4A">
      <w:pPr>
        <w:pStyle w:val="4"/>
        <w:spacing w:before="120" w:beforeLines="50" w:after="120" w:afterLines="50"/>
        <w:rPr>
          <w:rFonts w:asciiTheme="minorHAnsi" w:hAnsiTheme="minorHAnsi" w:cstheme="minorHAnsi"/>
        </w:rPr>
      </w:pPr>
      <w:r>
        <w:rPr>
          <w:rFonts w:asciiTheme="minorHAnsi" w:hAnsiTheme="minorHAnsi" w:cstheme="minorHAnsi"/>
        </w:rPr>
        <w:t>DN50 size table</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763"/>
        <w:gridCol w:w="992"/>
        <w:gridCol w:w="1134"/>
        <w:gridCol w:w="2126"/>
        <w:gridCol w:w="1075"/>
        <w:gridCol w:w="1218"/>
        <w:gridCol w:w="1218"/>
      </w:tblGrid>
      <w:tr w14:paraId="28B2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217" w:type="dxa"/>
            <w:shd w:val="clear" w:color="auto" w:fill="F1F1F1" w:themeFill="background1" w:themeFillShade="F2"/>
            <w:vAlign w:val="center"/>
          </w:tcPr>
          <w:p w14:paraId="3476D29C">
            <w:pPr>
              <w:spacing w:after="240"/>
              <w:jc w:val="center"/>
              <w:rPr>
                <w:rFonts w:ascii="Calibri" w:hAnsi="Calibri" w:cs="Calibri"/>
                <w:sz w:val="18"/>
                <w:szCs w:val="18"/>
              </w:rPr>
            </w:pPr>
            <w:r>
              <w:rPr>
                <w:rFonts w:ascii="Calibri" w:hAnsi="Calibri" w:cs="Calibri"/>
                <w:sz w:val="18"/>
                <w:szCs w:val="18"/>
              </w:rPr>
              <w:t>Class</w:t>
            </w:r>
          </w:p>
        </w:tc>
        <w:tc>
          <w:tcPr>
            <w:tcW w:w="763" w:type="dxa"/>
            <w:shd w:val="clear" w:color="auto" w:fill="F1F1F1" w:themeFill="background1" w:themeFillShade="F2"/>
            <w:vAlign w:val="center"/>
          </w:tcPr>
          <w:p w14:paraId="4D7A6737">
            <w:pPr>
              <w:spacing w:after="240"/>
              <w:jc w:val="center"/>
              <w:rPr>
                <w:rFonts w:ascii="Calibri" w:hAnsi="Calibri" w:cs="Calibri"/>
                <w:sz w:val="18"/>
                <w:szCs w:val="18"/>
              </w:rPr>
            </w:pPr>
            <w:r>
              <w:rPr>
                <w:rFonts w:ascii="Calibri" w:hAnsi="Calibri" w:cs="Calibri"/>
                <w:sz w:val="18"/>
                <w:szCs w:val="18"/>
              </w:rPr>
              <w:t>A</w:t>
            </w:r>
          </w:p>
        </w:tc>
        <w:tc>
          <w:tcPr>
            <w:tcW w:w="992" w:type="dxa"/>
            <w:shd w:val="clear" w:color="auto" w:fill="F1F1F1" w:themeFill="background1" w:themeFillShade="F2"/>
            <w:vAlign w:val="center"/>
          </w:tcPr>
          <w:p w14:paraId="6BD679D3">
            <w:pPr>
              <w:spacing w:after="240"/>
              <w:jc w:val="center"/>
              <w:rPr>
                <w:rFonts w:ascii="Calibri" w:hAnsi="Calibri" w:cs="Calibri"/>
                <w:sz w:val="18"/>
                <w:szCs w:val="18"/>
              </w:rPr>
            </w:pPr>
            <w:r>
              <w:rPr>
                <w:rFonts w:ascii="Calibri" w:hAnsi="Calibri" w:cs="Calibri"/>
                <w:sz w:val="18"/>
                <w:szCs w:val="18"/>
              </w:rPr>
              <w:t>B</w:t>
            </w:r>
          </w:p>
        </w:tc>
        <w:tc>
          <w:tcPr>
            <w:tcW w:w="1134" w:type="dxa"/>
            <w:shd w:val="clear" w:color="auto" w:fill="F1F1F1" w:themeFill="background1" w:themeFillShade="F2"/>
            <w:vAlign w:val="center"/>
          </w:tcPr>
          <w:p w14:paraId="1E0C937B">
            <w:pPr>
              <w:spacing w:after="240"/>
              <w:jc w:val="center"/>
              <w:rPr>
                <w:rFonts w:ascii="Calibri" w:hAnsi="Calibri" w:cs="Calibri"/>
                <w:sz w:val="18"/>
                <w:szCs w:val="18"/>
              </w:rPr>
            </w:pPr>
            <w:r>
              <w:rPr>
                <w:rFonts w:ascii="Calibri" w:hAnsi="Calibri" w:cs="Calibri"/>
                <w:sz w:val="18"/>
                <w:szCs w:val="18"/>
              </w:rPr>
              <w:t>C</w:t>
            </w:r>
          </w:p>
        </w:tc>
        <w:tc>
          <w:tcPr>
            <w:tcW w:w="2126" w:type="dxa"/>
            <w:shd w:val="clear" w:color="auto" w:fill="F1F1F1" w:themeFill="background1" w:themeFillShade="F2"/>
            <w:vAlign w:val="center"/>
          </w:tcPr>
          <w:p w14:paraId="6382AB06">
            <w:pPr>
              <w:spacing w:after="240"/>
              <w:jc w:val="center"/>
              <w:rPr>
                <w:rFonts w:ascii="Calibri" w:hAnsi="Calibri" w:cs="Calibri"/>
                <w:sz w:val="18"/>
                <w:szCs w:val="18"/>
              </w:rPr>
            </w:pPr>
            <w:r>
              <w:rPr>
                <w:rFonts w:ascii="Calibri" w:hAnsi="Calibri" w:cs="Calibri"/>
                <w:sz w:val="18"/>
                <w:szCs w:val="18"/>
              </w:rPr>
              <w:t>D（Inner diameter of gasket contact surface）</w:t>
            </w:r>
          </w:p>
        </w:tc>
        <w:tc>
          <w:tcPr>
            <w:tcW w:w="1075" w:type="dxa"/>
            <w:shd w:val="clear" w:color="auto" w:fill="F1F1F1" w:themeFill="background1" w:themeFillShade="F2"/>
            <w:vAlign w:val="center"/>
          </w:tcPr>
          <w:p w14:paraId="26E8011D">
            <w:pPr>
              <w:spacing w:after="240"/>
              <w:jc w:val="center"/>
              <w:rPr>
                <w:rFonts w:ascii="Calibri" w:hAnsi="Calibri" w:cs="Calibri"/>
                <w:sz w:val="18"/>
                <w:szCs w:val="18"/>
              </w:rPr>
            </w:pPr>
            <w:r>
              <w:rPr>
                <w:rFonts w:ascii="Calibri" w:hAnsi="Calibri" w:cs="Calibri"/>
                <w:sz w:val="18"/>
                <w:szCs w:val="18"/>
              </w:rPr>
              <w:t>E</w:t>
            </w:r>
          </w:p>
        </w:tc>
        <w:tc>
          <w:tcPr>
            <w:tcW w:w="1218" w:type="dxa"/>
            <w:shd w:val="clear" w:color="auto" w:fill="F1F1F1" w:themeFill="background1" w:themeFillShade="F2"/>
            <w:vAlign w:val="center"/>
          </w:tcPr>
          <w:p w14:paraId="2D7F79A5">
            <w:pPr>
              <w:spacing w:after="240"/>
              <w:jc w:val="center"/>
              <w:rPr>
                <w:rFonts w:ascii="Calibri" w:hAnsi="Calibri" w:cs="Calibri"/>
                <w:sz w:val="18"/>
                <w:szCs w:val="18"/>
              </w:rPr>
            </w:pPr>
            <w:r>
              <w:rPr>
                <w:rFonts w:ascii="Calibri" w:hAnsi="Calibri" w:cs="Calibri"/>
                <w:sz w:val="18"/>
                <w:szCs w:val="18"/>
              </w:rPr>
              <w:t>Number of bolts(n)</w:t>
            </w:r>
          </w:p>
        </w:tc>
        <w:tc>
          <w:tcPr>
            <w:tcW w:w="1218" w:type="dxa"/>
            <w:shd w:val="clear" w:color="auto" w:fill="F1F1F1" w:themeFill="background1" w:themeFillShade="F2"/>
            <w:vAlign w:val="center"/>
          </w:tcPr>
          <w:p w14:paraId="0E6A8D0E">
            <w:pPr>
              <w:spacing w:after="240"/>
              <w:jc w:val="center"/>
              <w:rPr>
                <w:rFonts w:ascii="Calibri" w:hAnsi="Calibri" w:cs="Calibri"/>
                <w:sz w:val="18"/>
                <w:szCs w:val="18"/>
              </w:rPr>
            </w:pPr>
            <w:r>
              <w:rPr>
                <w:rFonts w:ascii="Calibri" w:hAnsi="Calibri" w:cs="Calibri"/>
                <w:sz w:val="18"/>
                <w:szCs w:val="18"/>
              </w:rPr>
              <w:t>Diameter of bolt hole (d)</w:t>
            </w:r>
          </w:p>
        </w:tc>
      </w:tr>
      <w:tr w14:paraId="3287B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515B2DAC">
            <w:pPr>
              <w:spacing w:after="240"/>
              <w:jc w:val="center"/>
              <w:rPr>
                <w:rFonts w:ascii="Calibri" w:hAnsi="Calibri" w:cs="Calibri"/>
                <w:sz w:val="18"/>
                <w:szCs w:val="18"/>
              </w:rPr>
            </w:pPr>
            <w:r>
              <w:rPr>
                <w:rFonts w:ascii="Calibri" w:hAnsi="Calibri" w:cs="Calibri"/>
                <w:sz w:val="18"/>
                <w:szCs w:val="18"/>
              </w:rPr>
              <w:t>ANSI 150</w:t>
            </w:r>
          </w:p>
        </w:tc>
        <w:tc>
          <w:tcPr>
            <w:tcW w:w="763" w:type="dxa"/>
            <w:vAlign w:val="center"/>
          </w:tcPr>
          <w:p w14:paraId="31F40311">
            <w:pPr>
              <w:spacing w:after="240"/>
              <w:jc w:val="center"/>
              <w:rPr>
                <w:rFonts w:ascii="Calibri" w:hAnsi="Calibri" w:cs="Calibri"/>
                <w:sz w:val="18"/>
                <w:szCs w:val="18"/>
              </w:rPr>
            </w:pPr>
            <w:r>
              <w:rPr>
                <w:rFonts w:ascii="Calibri" w:hAnsi="Calibri" w:cs="Calibri"/>
                <w:sz w:val="18"/>
                <w:szCs w:val="18"/>
              </w:rPr>
              <w:t>150</w:t>
            </w:r>
          </w:p>
        </w:tc>
        <w:tc>
          <w:tcPr>
            <w:tcW w:w="992" w:type="dxa"/>
            <w:vAlign w:val="center"/>
          </w:tcPr>
          <w:p w14:paraId="79266602">
            <w:pPr>
              <w:spacing w:after="240"/>
              <w:jc w:val="center"/>
              <w:rPr>
                <w:rFonts w:ascii="Calibri" w:hAnsi="Calibri" w:cs="Calibri"/>
                <w:sz w:val="18"/>
                <w:szCs w:val="18"/>
              </w:rPr>
            </w:pPr>
            <w:r>
              <w:rPr>
                <w:rFonts w:ascii="Calibri" w:hAnsi="Calibri" w:cs="Calibri"/>
                <w:sz w:val="18"/>
                <w:szCs w:val="18"/>
              </w:rPr>
              <w:t>120.7</w:t>
            </w:r>
          </w:p>
        </w:tc>
        <w:tc>
          <w:tcPr>
            <w:tcW w:w="1134" w:type="dxa"/>
            <w:vAlign w:val="center"/>
          </w:tcPr>
          <w:p w14:paraId="51245BD4">
            <w:pPr>
              <w:spacing w:after="240"/>
              <w:jc w:val="center"/>
              <w:rPr>
                <w:rFonts w:ascii="Calibri" w:hAnsi="Calibri" w:cs="Calibri"/>
                <w:sz w:val="18"/>
                <w:szCs w:val="18"/>
              </w:rPr>
            </w:pPr>
            <w:r>
              <w:rPr>
                <w:rFonts w:ascii="Calibri" w:hAnsi="Calibri" w:cs="Calibri"/>
                <w:sz w:val="18"/>
                <w:szCs w:val="18"/>
              </w:rPr>
              <w:t>92.1</w:t>
            </w:r>
          </w:p>
        </w:tc>
        <w:tc>
          <w:tcPr>
            <w:tcW w:w="2126" w:type="dxa"/>
            <w:vAlign w:val="center"/>
          </w:tcPr>
          <w:p w14:paraId="7AE3ACA7">
            <w:pPr>
              <w:spacing w:after="240"/>
              <w:jc w:val="center"/>
              <w:rPr>
                <w:rFonts w:ascii="Calibri" w:hAnsi="Calibri" w:cs="Calibri"/>
                <w:sz w:val="18"/>
                <w:szCs w:val="18"/>
              </w:rPr>
            </w:pPr>
            <w:r>
              <w:rPr>
                <w:rFonts w:ascii="Calibri" w:hAnsi="Calibri" w:cs="Calibri"/>
                <w:sz w:val="18"/>
                <w:szCs w:val="18"/>
              </w:rPr>
              <w:t>61</w:t>
            </w:r>
          </w:p>
        </w:tc>
        <w:tc>
          <w:tcPr>
            <w:tcW w:w="1075" w:type="dxa"/>
            <w:vAlign w:val="center"/>
          </w:tcPr>
          <w:p w14:paraId="0B637E4E">
            <w:pPr>
              <w:spacing w:after="240"/>
              <w:jc w:val="center"/>
              <w:rPr>
                <w:rFonts w:ascii="Calibri" w:hAnsi="Calibri" w:cs="Calibri"/>
                <w:sz w:val="18"/>
                <w:szCs w:val="18"/>
              </w:rPr>
            </w:pPr>
            <w:r>
              <w:rPr>
                <w:rFonts w:ascii="Calibri" w:hAnsi="Calibri" w:cs="Calibri"/>
                <w:sz w:val="18"/>
                <w:szCs w:val="18"/>
              </w:rPr>
              <w:t>17.5</w:t>
            </w:r>
          </w:p>
        </w:tc>
        <w:tc>
          <w:tcPr>
            <w:tcW w:w="1218" w:type="dxa"/>
            <w:vAlign w:val="center"/>
          </w:tcPr>
          <w:p w14:paraId="02F11EBA">
            <w:pPr>
              <w:spacing w:after="240"/>
              <w:jc w:val="center"/>
              <w:rPr>
                <w:rFonts w:ascii="Calibri" w:hAnsi="Calibri" w:cs="Calibri"/>
                <w:sz w:val="18"/>
                <w:szCs w:val="18"/>
              </w:rPr>
            </w:pPr>
            <w:r>
              <w:rPr>
                <w:rFonts w:ascii="Calibri" w:hAnsi="Calibri" w:cs="Calibri"/>
                <w:sz w:val="18"/>
                <w:szCs w:val="18"/>
              </w:rPr>
              <w:t>4</w:t>
            </w:r>
          </w:p>
        </w:tc>
        <w:tc>
          <w:tcPr>
            <w:tcW w:w="1218" w:type="dxa"/>
            <w:vAlign w:val="center"/>
          </w:tcPr>
          <w:p w14:paraId="7734755F">
            <w:pPr>
              <w:spacing w:after="240"/>
              <w:jc w:val="center"/>
              <w:rPr>
                <w:rFonts w:ascii="Calibri" w:hAnsi="Calibri" w:cs="Calibri"/>
                <w:sz w:val="18"/>
                <w:szCs w:val="18"/>
              </w:rPr>
            </w:pPr>
            <w:r>
              <w:rPr>
                <w:rFonts w:ascii="Calibri" w:hAnsi="Calibri" w:cs="Calibri"/>
                <w:sz w:val="18"/>
                <w:szCs w:val="18"/>
              </w:rPr>
              <w:t>18</w:t>
            </w:r>
          </w:p>
        </w:tc>
      </w:tr>
      <w:tr w14:paraId="39C2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1BDF45A9">
            <w:pPr>
              <w:spacing w:after="240"/>
              <w:jc w:val="center"/>
              <w:rPr>
                <w:rFonts w:ascii="Calibri" w:hAnsi="Calibri" w:cs="Calibri"/>
                <w:sz w:val="18"/>
                <w:szCs w:val="18"/>
              </w:rPr>
            </w:pPr>
            <w:r>
              <w:rPr>
                <w:rFonts w:ascii="Calibri" w:hAnsi="Calibri" w:cs="Calibri"/>
                <w:sz w:val="18"/>
                <w:szCs w:val="18"/>
              </w:rPr>
              <w:t>ANSI 300</w:t>
            </w:r>
          </w:p>
        </w:tc>
        <w:tc>
          <w:tcPr>
            <w:tcW w:w="763" w:type="dxa"/>
            <w:vAlign w:val="center"/>
          </w:tcPr>
          <w:p w14:paraId="5F801732">
            <w:pPr>
              <w:spacing w:after="240"/>
              <w:jc w:val="center"/>
              <w:rPr>
                <w:rFonts w:ascii="Calibri" w:hAnsi="Calibri" w:cs="Calibri"/>
                <w:sz w:val="18"/>
                <w:szCs w:val="18"/>
              </w:rPr>
            </w:pPr>
            <w:r>
              <w:rPr>
                <w:rFonts w:ascii="Calibri" w:hAnsi="Calibri" w:cs="Calibri"/>
                <w:sz w:val="18"/>
                <w:szCs w:val="18"/>
              </w:rPr>
              <w:t>165</w:t>
            </w:r>
          </w:p>
        </w:tc>
        <w:tc>
          <w:tcPr>
            <w:tcW w:w="992" w:type="dxa"/>
            <w:vAlign w:val="center"/>
          </w:tcPr>
          <w:p w14:paraId="5006B8D9">
            <w:pPr>
              <w:spacing w:after="240"/>
              <w:jc w:val="center"/>
              <w:rPr>
                <w:rFonts w:ascii="Calibri" w:hAnsi="Calibri" w:cs="Calibri"/>
                <w:sz w:val="18"/>
                <w:szCs w:val="18"/>
              </w:rPr>
            </w:pPr>
            <w:r>
              <w:rPr>
                <w:rFonts w:ascii="Calibri" w:hAnsi="Calibri" w:cs="Calibri"/>
                <w:sz w:val="18"/>
                <w:szCs w:val="18"/>
              </w:rPr>
              <w:t>127</w:t>
            </w:r>
          </w:p>
        </w:tc>
        <w:tc>
          <w:tcPr>
            <w:tcW w:w="1134" w:type="dxa"/>
            <w:vAlign w:val="center"/>
          </w:tcPr>
          <w:p w14:paraId="2CEE34F3">
            <w:pPr>
              <w:spacing w:after="240"/>
              <w:jc w:val="center"/>
              <w:rPr>
                <w:rFonts w:ascii="Calibri" w:hAnsi="Calibri" w:cs="Calibri"/>
                <w:sz w:val="18"/>
                <w:szCs w:val="18"/>
              </w:rPr>
            </w:pPr>
            <w:r>
              <w:rPr>
                <w:rFonts w:ascii="Calibri" w:hAnsi="Calibri" w:cs="Calibri"/>
                <w:sz w:val="18"/>
                <w:szCs w:val="18"/>
              </w:rPr>
              <w:t>92.1</w:t>
            </w:r>
          </w:p>
        </w:tc>
        <w:tc>
          <w:tcPr>
            <w:tcW w:w="2126" w:type="dxa"/>
            <w:vAlign w:val="center"/>
          </w:tcPr>
          <w:p w14:paraId="49721921">
            <w:pPr>
              <w:spacing w:after="240"/>
              <w:jc w:val="center"/>
              <w:rPr>
                <w:rFonts w:ascii="Calibri" w:hAnsi="Calibri" w:cs="Calibri"/>
                <w:sz w:val="18"/>
                <w:szCs w:val="18"/>
              </w:rPr>
            </w:pPr>
            <w:r>
              <w:rPr>
                <w:rFonts w:ascii="Calibri" w:hAnsi="Calibri" w:cs="Calibri"/>
                <w:sz w:val="18"/>
                <w:szCs w:val="18"/>
              </w:rPr>
              <w:t>61</w:t>
            </w:r>
          </w:p>
        </w:tc>
        <w:tc>
          <w:tcPr>
            <w:tcW w:w="1075" w:type="dxa"/>
            <w:vAlign w:val="center"/>
          </w:tcPr>
          <w:p w14:paraId="393AF270">
            <w:pPr>
              <w:spacing w:after="240"/>
              <w:jc w:val="center"/>
              <w:rPr>
                <w:rFonts w:ascii="Calibri" w:hAnsi="Calibri" w:cs="Calibri"/>
                <w:sz w:val="18"/>
                <w:szCs w:val="18"/>
              </w:rPr>
            </w:pPr>
            <w:r>
              <w:rPr>
                <w:rFonts w:ascii="Calibri" w:hAnsi="Calibri" w:cs="Calibri"/>
                <w:sz w:val="18"/>
                <w:szCs w:val="18"/>
              </w:rPr>
              <w:t>20.7</w:t>
            </w:r>
          </w:p>
        </w:tc>
        <w:tc>
          <w:tcPr>
            <w:tcW w:w="1218" w:type="dxa"/>
            <w:vAlign w:val="center"/>
          </w:tcPr>
          <w:p w14:paraId="2573784C">
            <w:pPr>
              <w:spacing w:after="240"/>
              <w:jc w:val="center"/>
              <w:rPr>
                <w:rFonts w:ascii="Calibri" w:hAnsi="Calibri" w:cs="Calibri"/>
                <w:sz w:val="18"/>
                <w:szCs w:val="18"/>
              </w:rPr>
            </w:pPr>
            <w:r>
              <w:rPr>
                <w:rFonts w:ascii="Calibri" w:hAnsi="Calibri" w:cs="Calibri"/>
                <w:sz w:val="18"/>
                <w:szCs w:val="18"/>
              </w:rPr>
              <w:t>8</w:t>
            </w:r>
          </w:p>
        </w:tc>
        <w:tc>
          <w:tcPr>
            <w:tcW w:w="1218" w:type="dxa"/>
            <w:vAlign w:val="center"/>
          </w:tcPr>
          <w:p w14:paraId="59DACBA2">
            <w:pPr>
              <w:spacing w:after="240"/>
              <w:jc w:val="center"/>
              <w:rPr>
                <w:rFonts w:ascii="Calibri" w:hAnsi="Calibri" w:cs="Calibri"/>
                <w:sz w:val="18"/>
                <w:szCs w:val="18"/>
              </w:rPr>
            </w:pPr>
            <w:r>
              <w:rPr>
                <w:rFonts w:ascii="Calibri" w:hAnsi="Calibri" w:cs="Calibri"/>
                <w:sz w:val="18"/>
                <w:szCs w:val="18"/>
              </w:rPr>
              <w:t>18</w:t>
            </w:r>
          </w:p>
        </w:tc>
      </w:tr>
      <w:tr w14:paraId="58A0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0400DB7E">
            <w:pPr>
              <w:spacing w:after="240"/>
              <w:jc w:val="center"/>
              <w:rPr>
                <w:rFonts w:ascii="Calibri" w:hAnsi="Calibri" w:cs="Calibri"/>
                <w:sz w:val="18"/>
                <w:szCs w:val="18"/>
              </w:rPr>
            </w:pPr>
            <w:r>
              <w:rPr>
                <w:rFonts w:ascii="Calibri" w:hAnsi="Calibri" w:cs="Calibri"/>
                <w:sz w:val="18"/>
                <w:szCs w:val="18"/>
              </w:rPr>
              <w:t>ANSI 600</w:t>
            </w:r>
          </w:p>
        </w:tc>
        <w:tc>
          <w:tcPr>
            <w:tcW w:w="763" w:type="dxa"/>
            <w:vAlign w:val="center"/>
          </w:tcPr>
          <w:p w14:paraId="2FF13449">
            <w:pPr>
              <w:spacing w:after="240"/>
              <w:jc w:val="center"/>
              <w:rPr>
                <w:rFonts w:ascii="Calibri" w:hAnsi="Calibri" w:cs="Calibri"/>
                <w:sz w:val="18"/>
                <w:szCs w:val="18"/>
              </w:rPr>
            </w:pPr>
            <w:r>
              <w:rPr>
                <w:rFonts w:ascii="Calibri" w:hAnsi="Calibri" w:cs="Calibri"/>
                <w:sz w:val="18"/>
                <w:szCs w:val="18"/>
              </w:rPr>
              <w:t>165</w:t>
            </w:r>
          </w:p>
        </w:tc>
        <w:tc>
          <w:tcPr>
            <w:tcW w:w="992" w:type="dxa"/>
            <w:vAlign w:val="center"/>
          </w:tcPr>
          <w:p w14:paraId="536FA13F">
            <w:pPr>
              <w:spacing w:after="240"/>
              <w:jc w:val="center"/>
              <w:rPr>
                <w:rFonts w:ascii="Calibri" w:hAnsi="Calibri" w:cs="Calibri"/>
                <w:sz w:val="18"/>
                <w:szCs w:val="18"/>
              </w:rPr>
            </w:pPr>
            <w:r>
              <w:rPr>
                <w:rFonts w:ascii="Calibri" w:hAnsi="Calibri" w:cs="Calibri"/>
                <w:sz w:val="18"/>
                <w:szCs w:val="18"/>
              </w:rPr>
              <w:t>127</w:t>
            </w:r>
          </w:p>
        </w:tc>
        <w:tc>
          <w:tcPr>
            <w:tcW w:w="1134" w:type="dxa"/>
            <w:vAlign w:val="center"/>
          </w:tcPr>
          <w:p w14:paraId="7C89C7B9">
            <w:pPr>
              <w:spacing w:after="240"/>
              <w:jc w:val="center"/>
              <w:rPr>
                <w:rFonts w:ascii="Calibri" w:hAnsi="Calibri" w:cs="Calibri"/>
                <w:sz w:val="18"/>
                <w:szCs w:val="18"/>
              </w:rPr>
            </w:pPr>
            <w:r>
              <w:rPr>
                <w:rFonts w:ascii="Calibri" w:hAnsi="Calibri" w:cs="Calibri"/>
                <w:sz w:val="18"/>
                <w:szCs w:val="18"/>
              </w:rPr>
              <w:t>92.1</w:t>
            </w:r>
          </w:p>
        </w:tc>
        <w:tc>
          <w:tcPr>
            <w:tcW w:w="2126" w:type="dxa"/>
            <w:vAlign w:val="center"/>
          </w:tcPr>
          <w:p w14:paraId="4CBFFC3E">
            <w:pPr>
              <w:spacing w:after="240"/>
              <w:jc w:val="center"/>
              <w:rPr>
                <w:rFonts w:ascii="Calibri" w:hAnsi="Calibri" w:cs="Calibri"/>
                <w:sz w:val="18"/>
                <w:szCs w:val="18"/>
              </w:rPr>
            </w:pPr>
            <w:r>
              <w:rPr>
                <w:rFonts w:ascii="Calibri" w:hAnsi="Calibri" w:cs="Calibri"/>
                <w:sz w:val="18"/>
                <w:szCs w:val="18"/>
              </w:rPr>
              <w:t>61</w:t>
            </w:r>
          </w:p>
        </w:tc>
        <w:tc>
          <w:tcPr>
            <w:tcW w:w="1075" w:type="dxa"/>
            <w:vAlign w:val="center"/>
          </w:tcPr>
          <w:p w14:paraId="7C3CB00F">
            <w:pPr>
              <w:spacing w:after="240"/>
              <w:jc w:val="center"/>
              <w:rPr>
                <w:rFonts w:ascii="Calibri" w:hAnsi="Calibri" w:cs="Calibri"/>
                <w:sz w:val="18"/>
                <w:szCs w:val="18"/>
              </w:rPr>
            </w:pPr>
            <w:r>
              <w:rPr>
                <w:rFonts w:ascii="Calibri" w:hAnsi="Calibri" w:cs="Calibri"/>
                <w:sz w:val="18"/>
                <w:szCs w:val="18"/>
              </w:rPr>
              <w:t>25.4</w:t>
            </w:r>
          </w:p>
        </w:tc>
        <w:tc>
          <w:tcPr>
            <w:tcW w:w="1218" w:type="dxa"/>
            <w:vAlign w:val="center"/>
          </w:tcPr>
          <w:p w14:paraId="3F3B31FA">
            <w:pPr>
              <w:spacing w:after="240"/>
              <w:jc w:val="center"/>
              <w:rPr>
                <w:rFonts w:ascii="Calibri" w:hAnsi="Calibri" w:cs="Calibri"/>
                <w:sz w:val="18"/>
                <w:szCs w:val="18"/>
              </w:rPr>
            </w:pPr>
            <w:r>
              <w:rPr>
                <w:rFonts w:ascii="Calibri" w:hAnsi="Calibri" w:cs="Calibri"/>
                <w:sz w:val="18"/>
                <w:szCs w:val="18"/>
              </w:rPr>
              <w:t>8</w:t>
            </w:r>
          </w:p>
        </w:tc>
        <w:tc>
          <w:tcPr>
            <w:tcW w:w="1218" w:type="dxa"/>
            <w:vAlign w:val="center"/>
          </w:tcPr>
          <w:p w14:paraId="5CF9077B">
            <w:pPr>
              <w:spacing w:after="240"/>
              <w:jc w:val="center"/>
              <w:rPr>
                <w:rFonts w:ascii="Calibri" w:hAnsi="Calibri" w:cs="Calibri"/>
                <w:sz w:val="18"/>
                <w:szCs w:val="18"/>
              </w:rPr>
            </w:pPr>
            <w:r>
              <w:rPr>
                <w:rFonts w:ascii="Calibri" w:hAnsi="Calibri" w:cs="Calibri"/>
                <w:sz w:val="18"/>
                <w:szCs w:val="18"/>
              </w:rPr>
              <w:t>18</w:t>
            </w:r>
          </w:p>
        </w:tc>
      </w:tr>
      <w:tr w14:paraId="77C2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2CFF2BEE">
            <w:pPr>
              <w:spacing w:after="240"/>
              <w:jc w:val="center"/>
              <w:rPr>
                <w:rFonts w:ascii="Calibri" w:hAnsi="Calibri" w:cs="Calibri"/>
                <w:sz w:val="18"/>
                <w:szCs w:val="18"/>
              </w:rPr>
            </w:pPr>
            <w:r>
              <w:rPr>
                <w:rFonts w:ascii="Calibri" w:hAnsi="Calibri" w:cs="Calibri"/>
                <w:sz w:val="18"/>
                <w:szCs w:val="18"/>
              </w:rPr>
              <w:t>DIN PN 10/16</w:t>
            </w:r>
          </w:p>
        </w:tc>
        <w:tc>
          <w:tcPr>
            <w:tcW w:w="763" w:type="dxa"/>
            <w:vAlign w:val="center"/>
          </w:tcPr>
          <w:p w14:paraId="54451BE2">
            <w:pPr>
              <w:spacing w:after="240"/>
              <w:jc w:val="center"/>
              <w:rPr>
                <w:rFonts w:ascii="Calibri" w:hAnsi="Calibri" w:cs="Calibri"/>
                <w:sz w:val="18"/>
                <w:szCs w:val="18"/>
              </w:rPr>
            </w:pPr>
            <w:r>
              <w:rPr>
                <w:rFonts w:ascii="Calibri" w:hAnsi="Calibri" w:cs="Calibri"/>
                <w:sz w:val="18"/>
                <w:szCs w:val="18"/>
              </w:rPr>
              <w:t>165</w:t>
            </w:r>
          </w:p>
        </w:tc>
        <w:tc>
          <w:tcPr>
            <w:tcW w:w="992" w:type="dxa"/>
            <w:vAlign w:val="center"/>
          </w:tcPr>
          <w:p w14:paraId="7A4B7F72">
            <w:pPr>
              <w:spacing w:after="240"/>
              <w:jc w:val="center"/>
              <w:rPr>
                <w:rFonts w:ascii="Calibri" w:hAnsi="Calibri" w:cs="Calibri"/>
                <w:sz w:val="18"/>
                <w:szCs w:val="18"/>
              </w:rPr>
            </w:pPr>
            <w:r>
              <w:rPr>
                <w:rFonts w:ascii="Calibri" w:hAnsi="Calibri" w:cs="Calibri"/>
                <w:sz w:val="18"/>
                <w:szCs w:val="18"/>
              </w:rPr>
              <w:t>125</w:t>
            </w:r>
          </w:p>
        </w:tc>
        <w:tc>
          <w:tcPr>
            <w:tcW w:w="1134" w:type="dxa"/>
            <w:vAlign w:val="center"/>
          </w:tcPr>
          <w:p w14:paraId="3D652A28">
            <w:pPr>
              <w:spacing w:after="240"/>
              <w:jc w:val="center"/>
              <w:rPr>
                <w:rFonts w:ascii="Calibri" w:hAnsi="Calibri" w:cs="Calibri"/>
                <w:sz w:val="18"/>
                <w:szCs w:val="18"/>
              </w:rPr>
            </w:pPr>
            <w:r>
              <w:rPr>
                <w:rFonts w:ascii="Calibri" w:hAnsi="Calibri" w:cs="Calibri"/>
                <w:sz w:val="18"/>
                <w:szCs w:val="18"/>
              </w:rPr>
              <w:t>102</w:t>
            </w:r>
          </w:p>
        </w:tc>
        <w:tc>
          <w:tcPr>
            <w:tcW w:w="2126" w:type="dxa"/>
            <w:vAlign w:val="center"/>
          </w:tcPr>
          <w:p w14:paraId="6D0F102D">
            <w:pPr>
              <w:spacing w:after="240"/>
              <w:jc w:val="center"/>
              <w:rPr>
                <w:rFonts w:ascii="Calibri" w:hAnsi="Calibri" w:cs="Calibri"/>
                <w:sz w:val="18"/>
                <w:szCs w:val="18"/>
              </w:rPr>
            </w:pPr>
            <w:r>
              <w:rPr>
                <w:rFonts w:ascii="Calibri" w:hAnsi="Calibri" w:cs="Calibri"/>
                <w:sz w:val="18"/>
                <w:szCs w:val="18"/>
              </w:rPr>
              <w:t>61</w:t>
            </w:r>
          </w:p>
        </w:tc>
        <w:tc>
          <w:tcPr>
            <w:tcW w:w="1075" w:type="dxa"/>
            <w:vAlign w:val="center"/>
          </w:tcPr>
          <w:p w14:paraId="75EC91C5">
            <w:pPr>
              <w:spacing w:after="240"/>
              <w:jc w:val="center"/>
              <w:rPr>
                <w:rFonts w:ascii="Calibri" w:hAnsi="Calibri" w:cs="Calibri"/>
                <w:sz w:val="18"/>
                <w:szCs w:val="18"/>
              </w:rPr>
            </w:pPr>
            <w:r>
              <w:rPr>
                <w:rFonts w:ascii="Calibri" w:hAnsi="Calibri" w:cs="Calibri"/>
                <w:sz w:val="18"/>
                <w:szCs w:val="18"/>
              </w:rPr>
              <w:t>16</w:t>
            </w:r>
          </w:p>
        </w:tc>
        <w:tc>
          <w:tcPr>
            <w:tcW w:w="1218" w:type="dxa"/>
            <w:vAlign w:val="center"/>
          </w:tcPr>
          <w:p w14:paraId="0FA1237D">
            <w:pPr>
              <w:spacing w:after="240"/>
              <w:jc w:val="center"/>
              <w:rPr>
                <w:rFonts w:ascii="Calibri" w:hAnsi="Calibri" w:cs="Calibri"/>
                <w:sz w:val="18"/>
                <w:szCs w:val="18"/>
              </w:rPr>
            </w:pPr>
            <w:r>
              <w:rPr>
                <w:rFonts w:ascii="Calibri" w:hAnsi="Calibri" w:cs="Calibri"/>
                <w:sz w:val="18"/>
                <w:szCs w:val="18"/>
              </w:rPr>
              <w:t>4</w:t>
            </w:r>
          </w:p>
        </w:tc>
        <w:tc>
          <w:tcPr>
            <w:tcW w:w="1218" w:type="dxa"/>
            <w:vAlign w:val="center"/>
          </w:tcPr>
          <w:p w14:paraId="33DB1BB2">
            <w:pPr>
              <w:spacing w:after="240"/>
              <w:jc w:val="center"/>
              <w:rPr>
                <w:rFonts w:ascii="Calibri" w:hAnsi="Calibri" w:cs="Calibri"/>
                <w:sz w:val="18"/>
                <w:szCs w:val="18"/>
              </w:rPr>
            </w:pPr>
            <w:r>
              <w:rPr>
                <w:rFonts w:ascii="Calibri" w:hAnsi="Calibri" w:cs="Calibri"/>
                <w:sz w:val="18"/>
                <w:szCs w:val="18"/>
              </w:rPr>
              <w:t>18</w:t>
            </w:r>
          </w:p>
        </w:tc>
      </w:tr>
      <w:tr w14:paraId="39AE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75D2A1F9">
            <w:pPr>
              <w:spacing w:after="240"/>
              <w:jc w:val="center"/>
              <w:rPr>
                <w:rFonts w:ascii="Calibri" w:hAnsi="Calibri" w:cs="Calibri"/>
                <w:sz w:val="18"/>
                <w:szCs w:val="18"/>
              </w:rPr>
            </w:pPr>
            <w:r>
              <w:rPr>
                <w:rFonts w:ascii="Calibri" w:hAnsi="Calibri" w:cs="Calibri"/>
                <w:sz w:val="18"/>
                <w:szCs w:val="18"/>
              </w:rPr>
              <w:t>DIN PN 25/40</w:t>
            </w:r>
          </w:p>
        </w:tc>
        <w:tc>
          <w:tcPr>
            <w:tcW w:w="763" w:type="dxa"/>
            <w:vAlign w:val="center"/>
          </w:tcPr>
          <w:p w14:paraId="2C9CB589">
            <w:pPr>
              <w:spacing w:after="240"/>
              <w:jc w:val="center"/>
              <w:rPr>
                <w:rFonts w:ascii="Calibri" w:hAnsi="Calibri" w:cs="Calibri"/>
                <w:sz w:val="18"/>
                <w:szCs w:val="18"/>
              </w:rPr>
            </w:pPr>
            <w:r>
              <w:rPr>
                <w:rFonts w:ascii="Calibri" w:hAnsi="Calibri" w:cs="Calibri"/>
                <w:sz w:val="18"/>
                <w:szCs w:val="18"/>
              </w:rPr>
              <w:t>165</w:t>
            </w:r>
          </w:p>
        </w:tc>
        <w:tc>
          <w:tcPr>
            <w:tcW w:w="992" w:type="dxa"/>
            <w:vAlign w:val="center"/>
          </w:tcPr>
          <w:p w14:paraId="12ED07CA">
            <w:pPr>
              <w:spacing w:after="240"/>
              <w:jc w:val="center"/>
              <w:rPr>
                <w:rFonts w:ascii="Calibri" w:hAnsi="Calibri" w:cs="Calibri"/>
                <w:sz w:val="18"/>
                <w:szCs w:val="18"/>
              </w:rPr>
            </w:pPr>
            <w:r>
              <w:rPr>
                <w:rFonts w:ascii="Calibri" w:hAnsi="Calibri" w:cs="Calibri"/>
                <w:sz w:val="18"/>
                <w:szCs w:val="18"/>
              </w:rPr>
              <w:t>125</w:t>
            </w:r>
          </w:p>
        </w:tc>
        <w:tc>
          <w:tcPr>
            <w:tcW w:w="1134" w:type="dxa"/>
            <w:vAlign w:val="center"/>
          </w:tcPr>
          <w:p w14:paraId="2A507AA5">
            <w:pPr>
              <w:spacing w:after="240"/>
              <w:jc w:val="center"/>
              <w:rPr>
                <w:rFonts w:ascii="Calibri" w:hAnsi="Calibri" w:cs="Calibri"/>
                <w:sz w:val="18"/>
                <w:szCs w:val="18"/>
              </w:rPr>
            </w:pPr>
            <w:r>
              <w:rPr>
                <w:rFonts w:ascii="Calibri" w:hAnsi="Calibri" w:cs="Calibri"/>
                <w:sz w:val="18"/>
                <w:szCs w:val="18"/>
              </w:rPr>
              <w:t>102</w:t>
            </w:r>
          </w:p>
        </w:tc>
        <w:tc>
          <w:tcPr>
            <w:tcW w:w="2126" w:type="dxa"/>
            <w:vAlign w:val="center"/>
          </w:tcPr>
          <w:p w14:paraId="6C7DD080">
            <w:pPr>
              <w:spacing w:after="240"/>
              <w:jc w:val="center"/>
              <w:rPr>
                <w:rFonts w:ascii="Calibri" w:hAnsi="Calibri" w:cs="Calibri"/>
                <w:sz w:val="18"/>
                <w:szCs w:val="18"/>
              </w:rPr>
            </w:pPr>
            <w:r>
              <w:rPr>
                <w:rFonts w:ascii="Calibri" w:hAnsi="Calibri" w:cs="Calibri"/>
                <w:sz w:val="18"/>
                <w:szCs w:val="18"/>
              </w:rPr>
              <w:t>61</w:t>
            </w:r>
          </w:p>
        </w:tc>
        <w:tc>
          <w:tcPr>
            <w:tcW w:w="1075" w:type="dxa"/>
            <w:vAlign w:val="center"/>
          </w:tcPr>
          <w:p w14:paraId="31B4A00F">
            <w:pPr>
              <w:spacing w:after="240"/>
              <w:jc w:val="center"/>
              <w:rPr>
                <w:rFonts w:ascii="Calibri" w:hAnsi="Calibri" w:cs="Calibri"/>
                <w:sz w:val="18"/>
                <w:szCs w:val="18"/>
              </w:rPr>
            </w:pPr>
            <w:r>
              <w:rPr>
                <w:rFonts w:ascii="Calibri" w:hAnsi="Calibri" w:cs="Calibri"/>
                <w:sz w:val="18"/>
                <w:szCs w:val="18"/>
              </w:rPr>
              <w:t>18</w:t>
            </w:r>
          </w:p>
        </w:tc>
        <w:tc>
          <w:tcPr>
            <w:tcW w:w="1218" w:type="dxa"/>
            <w:vAlign w:val="center"/>
          </w:tcPr>
          <w:p w14:paraId="796D261A">
            <w:pPr>
              <w:spacing w:after="240"/>
              <w:jc w:val="center"/>
              <w:rPr>
                <w:rFonts w:ascii="Calibri" w:hAnsi="Calibri" w:cs="Calibri"/>
                <w:sz w:val="18"/>
                <w:szCs w:val="18"/>
              </w:rPr>
            </w:pPr>
            <w:r>
              <w:rPr>
                <w:rFonts w:ascii="Calibri" w:hAnsi="Calibri" w:cs="Calibri"/>
                <w:sz w:val="18"/>
                <w:szCs w:val="18"/>
              </w:rPr>
              <w:t>4</w:t>
            </w:r>
          </w:p>
        </w:tc>
        <w:tc>
          <w:tcPr>
            <w:tcW w:w="1218" w:type="dxa"/>
            <w:vAlign w:val="center"/>
          </w:tcPr>
          <w:p w14:paraId="6B5BBEA9">
            <w:pPr>
              <w:spacing w:after="240"/>
              <w:jc w:val="center"/>
              <w:rPr>
                <w:rFonts w:ascii="Calibri" w:hAnsi="Calibri" w:cs="Calibri"/>
                <w:sz w:val="18"/>
                <w:szCs w:val="18"/>
              </w:rPr>
            </w:pPr>
            <w:r>
              <w:rPr>
                <w:rFonts w:ascii="Calibri" w:hAnsi="Calibri" w:cs="Calibri"/>
                <w:sz w:val="18"/>
                <w:szCs w:val="18"/>
              </w:rPr>
              <w:t>18</w:t>
            </w:r>
          </w:p>
        </w:tc>
      </w:tr>
      <w:tr w14:paraId="215C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6DC4B5F3">
            <w:pPr>
              <w:spacing w:after="240"/>
              <w:jc w:val="center"/>
              <w:rPr>
                <w:rFonts w:ascii="Calibri" w:hAnsi="Calibri" w:cs="Calibri"/>
                <w:sz w:val="18"/>
                <w:szCs w:val="18"/>
              </w:rPr>
            </w:pPr>
            <w:r>
              <w:rPr>
                <w:rFonts w:ascii="Calibri" w:hAnsi="Calibri" w:cs="Calibri"/>
                <w:sz w:val="18"/>
                <w:szCs w:val="18"/>
              </w:rPr>
              <w:t>DIN PN 64</w:t>
            </w:r>
          </w:p>
        </w:tc>
        <w:tc>
          <w:tcPr>
            <w:tcW w:w="763" w:type="dxa"/>
            <w:vAlign w:val="center"/>
          </w:tcPr>
          <w:p w14:paraId="2E852F4D">
            <w:pPr>
              <w:spacing w:after="240"/>
              <w:jc w:val="center"/>
              <w:rPr>
                <w:rFonts w:ascii="Calibri" w:hAnsi="Calibri" w:cs="Calibri"/>
                <w:sz w:val="18"/>
                <w:szCs w:val="18"/>
              </w:rPr>
            </w:pPr>
            <w:r>
              <w:rPr>
                <w:rFonts w:ascii="Calibri" w:hAnsi="Calibri" w:cs="Calibri"/>
                <w:sz w:val="18"/>
                <w:szCs w:val="18"/>
              </w:rPr>
              <w:t>180</w:t>
            </w:r>
          </w:p>
        </w:tc>
        <w:tc>
          <w:tcPr>
            <w:tcW w:w="992" w:type="dxa"/>
            <w:vAlign w:val="center"/>
          </w:tcPr>
          <w:p w14:paraId="467478E9">
            <w:pPr>
              <w:spacing w:after="240"/>
              <w:jc w:val="center"/>
              <w:rPr>
                <w:rFonts w:ascii="Calibri" w:hAnsi="Calibri" w:cs="Calibri"/>
                <w:sz w:val="18"/>
                <w:szCs w:val="18"/>
              </w:rPr>
            </w:pPr>
            <w:r>
              <w:rPr>
                <w:rFonts w:ascii="Calibri" w:hAnsi="Calibri" w:cs="Calibri"/>
                <w:sz w:val="18"/>
                <w:szCs w:val="18"/>
              </w:rPr>
              <w:t>135</w:t>
            </w:r>
          </w:p>
        </w:tc>
        <w:tc>
          <w:tcPr>
            <w:tcW w:w="1134" w:type="dxa"/>
            <w:vAlign w:val="center"/>
          </w:tcPr>
          <w:p w14:paraId="7D4F579C">
            <w:pPr>
              <w:spacing w:after="240"/>
              <w:jc w:val="center"/>
              <w:rPr>
                <w:rFonts w:ascii="Calibri" w:hAnsi="Calibri" w:cs="Calibri"/>
                <w:sz w:val="18"/>
                <w:szCs w:val="18"/>
              </w:rPr>
            </w:pPr>
            <w:r>
              <w:rPr>
                <w:rFonts w:ascii="Calibri" w:hAnsi="Calibri" w:cs="Calibri"/>
                <w:sz w:val="18"/>
                <w:szCs w:val="18"/>
              </w:rPr>
              <w:t>102</w:t>
            </w:r>
          </w:p>
        </w:tc>
        <w:tc>
          <w:tcPr>
            <w:tcW w:w="2126" w:type="dxa"/>
            <w:vAlign w:val="center"/>
          </w:tcPr>
          <w:p w14:paraId="67E0FB1F">
            <w:pPr>
              <w:spacing w:after="240"/>
              <w:jc w:val="center"/>
              <w:rPr>
                <w:rFonts w:ascii="Calibri" w:hAnsi="Calibri" w:cs="Calibri"/>
                <w:sz w:val="18"/>
                <w:szCs w:val="18"/>
              </w:rPr>
            </w:pPr>
            <w:r>
              <w:rPr>
                <w:rFonts w:ascii="Calibri" w:hAnsi="Calibri" w:cs="Calibri"/>
                <w:sz w:val="18"/>
                <w:szCs w:val="18"/>
              </w:rPr>
              <w:t>61</w:t>
            </w:r>
          </w:p>
        </w:tc>
        <w:tc>
          <w:tcPr>
            <w:tcW w:w="1075" w:type="dxa"/>
            <w:vAlign w:val="center"/>
          </w:tcPr>
          <w:p w14:paraId="3D0ED36A">
            <w:pPr>
              <w:spacing w:after="240"/>
              <w:jc w:val="center"/>
              <w:rPr>
                <w:rFonts w:ascii="Calibri" w:hAnsi="Calibri" w:cs="Calibri"/>
                <w:sz w:val="18"/>
                <w:szCs w:val="18"/>
              </w:rPr>
            </w:pPr>
            <w:r>
              <w:rPr>
                <w:rFonts w:ascii="Calibri" w:hAnsi="Calibri" w:cs="Calibri"/>
                <w:sz w:val="18"/>
                <w:szCs w:val="18"/>
              </w:rPr>
              <w:t>24</w:t>
            </w:r>
          </w:p>
        </w:tc>
        <w:tc>
          <w:tcPr>
            <w:tcW w:w="1218" w:type="dxa"/>
            <w:vAlign w:val="center"/>
          </w:tcPr>
          <w:p w14:paraId="7CD16CB6">
            <w:pPr>
              <w:spacing w:after="240"/>
              <w:jc w:val="center"/>
              <w:rPr>
                <w:rFonts w:ascii="Calibri" w:hAnsi="Calibri" w:cs="Calibri"/>
                <w:sz w:val="18"/>
                <w:szCs w:val="18"/>
              </w:rPr>
            </w:pPr>
            <w:r>
              <w:rPr>
                <w:rFonts w:ascii="Calibri" w:hAnsi="Calibri" w:cs="Calibri"/>
                <w:sz w:val="18"/>
                <w:szCs w:val="18"/>
              </w:rPr>
              <w:t>4</w:t>
            </w:r>
          </w:p>
        </w:tc>
        <w:tc>
          <w:tcPr>
            <w:tcW w:w="1218" w:type="dxa"/>
            <w:vAlign w:val="center"/>
          </w:tcPr>
          <w:p w14:paraId="09446ED8">
            <w:pPr>
              <w:spacing w:after="240"/>
              <w:jc w:val="center"/>
              <w:rPr>
                <w:rFonts w:ascii="Calibri" w:hAnsi="Calibri" w:cs="Calibri"/>
                <w:sz w:val="18"/>
                <w:szCs w:val="18"/>
              </w:rPr>
            </w:pPr>
            <w:r>
              <w:rPr>
                <w:rFonts w:ascii="Calibri" w:hAnsi="Calibri" w:cs="Calibri"/>
                <w:sz w:val="18"/>
                <w:szCs w:val="18"/>
              </w:rPr>
              <w:t>22</w:t>
            </w:r>
          </w:p>
        </w:tc>
      </w:tr>
      <w:tr w14:paraId="03D5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0682BD8F">
            <w:pPr>
              <w:spacing w:after="240"/>
              <w:jc w:val="center"/>
              <w:rPr>
                <w:rFonts w:ascii="Calibri" w:hAnsi="Calibri" w:cs="Calibri"/>
                <w:sz w:val="18"/>
                <w:szCs w:val="18"/>
              </w:rPr>
            </w:pPr>
            <w:r>
              <w:rPr>
                <w:rFonts w:ascii="Calibri" w:hAnsi="Calibri" w:cs="Calibri"/>
                <w:sz w:val="18"/>
                <w:szCs w:val="18"/>
              </w:rPr>
              <w:t>DIN PN 100</w:t>
            </w:r>
          </w:p>
        </w:tc>
        <w:tc>
          <w:tcPr>
            <w:tcW w:w="763" w:type="dxa"/>
            <w:vAlign w:val="center"/>
          </w:tcPr>
          <w:p w14:paraId="60AECC5F">
            <w:pPr>
              <w:spacing w:after="240"/>
              <w:jc w:val="center"/>
              <w:rPr>
                <w:rFonts w:ascii="Calibri" w:hAnsi="Calibri" w:cs="Calibri"/>
                <w:sz w:val="18"/>
                <w:szCs w:val="18"/>
              </w:rPr>
            </w:pPr>
            <w:r>
              <w:rPr>
                <w:rFonts w:ascii="Calibri" w:hAnsi="Calibri" w:cs="Calibri"/>
                <w:sz w:val="18"/>
                <w:szCs w:val="18"/>
              </w:rPr>
              <w:t>195</w:t>
            </w:r>
          </w:p>
        </w:tc>
        <w:tc>
          <w:tcPr>
            <w:tcW w:w="992" w:type="dxa"/>
            <w:vAlign w:val="center"/>
          </w:tcPr>
          <w:p w14:paraId="2CE345E9">
            <w:pPr>
              <w:spacing w:after="240"/>
              <w:jc w:val="center"/>
              <w:rPr>
                <w:rFonts w:ascii="Calibri" w:hAnsi="Calibri" w:cs="Calibri"/>
                <w:sz w:val="18"/>
                <w:szCs w:val="18"/>
              </w:rPr>
            </w:pPr>
            <w:r>
              <w:rPr>
                <w:rFonts w:ascii="Calibri" w:hAnsi="Calibri" w:cs="Calibri"/>
                <w:sz w:val="18"/>
                <w:szCs w:val="18"/>
              </w:rPr>
              <w:t>145</w:t>
            </w:r>
          </w:p>
        </w:tc>
        <w:tc>
          <w:tcPr>
            <w:tcW w:w="1134" w:type="dxa"/>
            <w:vAlign w:val="center"/>
          </w:tcPr>
          <w:p w14:paraId="25FDB69D">
            <w:pPr>
              <w:spacing w:after="240"/>
              <w:jc w:val="center"/>
              <w:rPr>
                <w:rFonts w:ascii="Calibri" w:hAnsi="Calibri" w:cs="Calibri"/>
                <w:sz w:val="18"/>
                <w:szCs w:val="18"/>
              </w:rPr>
            </w:pPr>
            <w:r>
              <w:rPr>
                <w:rFonts w:ascii="Calibri" w:hAnsi="Calibri" w:cs="Calibri"/>
                <w:sz w:val="18"/>
                <w:szCs w:val="18"/>
              </w:rPr>
              <w:t>102</w:t>
            </w:r>
          </w:p>
        </w:tc>
        <w:tc>
          <w:tcPr>
            <w:tcW w:w="2126" w:type="dxa"/>
            <w:vAlign w:val="center"/>
          </w:tcPr>
          <w:p w14:paraId="11537D01">
            <w:pPr>
              <w:spacing w:after="240"/>
              <w:jc w:val="center"/>
              <w:rPr>
                <w:rFonts w:ascii="Calibri" w:hAnsi="Calibri" w:cs="Calibri"/>
                <w:sz w:val="18"/>
                <w:szCs w:val="18"/>
              </w:rPr>
            </w:pPr>
            <w:r>
              <w:rPr>
                <w:rFonts w:ascii="Calibri" w:hAnsi="Calibri" w:cs="Calibri"/>
                <w:sz w:val="18"/>
                <w:szCs w:val="18"/>
              </w:rPr>
              <w:t>61</w:t>
            </w:r>
          </w:p>
        </w:tc>
        <w:tc>
          <w:tcPr>
            <w:tcW w:w="1075" w:type="dxa"/>
            <w:vAlign w:val="center"/>
          </w:tcPr>
          <w:p w14:paraId="4AEF4C48">
            <w:pPr>
              <w:spacing w:after="240"/>
              <w:jc w:val="center"/>
              <w:rPr>
                <w:rFonts w:ascii="Calibri" w:hAnsi="Calibri" w:cs="Calibri"/>
                <w:sz w:val="18"/>
                <w:szCs w:val="18"/>
              </w:rPr>
            </w:pPr>
            <w:r>
              <w:rPr>
                <w:rFonts w:ascii="Calibri" w:hAnsi="Calibri" w:cs="Calibri"/>
                <w:sz w:val="18"/>
                <w:szCs w:val="18"/>
              </w:rPr>
              <w:t>26</w:t>
            </w:r>
          </w:p>
        </w:tc>
        <w:tc>
          <w:tcPr>
            <w:tcW w:w="1218" w:type="dxa"/>
            <w:vAlign w:val="center"/>
          </w:tcPr>
          <w:p w14:paraId="594E337B">
            <w:pPr>
              <w:spacing w:after="240"/>
              <w:jc w:val="center"/>
              <w:rPr>
                <w:rFonts w:ascii="Calibri" w:hAnsi="Calibri" w:cs="Calibri"/>
                <w:sz w:val="18"/>
                <w:szCs w:val="18"/>
              </w:rPr>
            </w:pPr>
            <w:r>
              <w:rPr>
                <w:rFonts w:ascii="Calibri" w:hAnsi="Calibri" w:cs="Calibri"/>
                <w:sz w:val="18"/>
                <w:szCs w:val="18"/>
              </w:rPr>
              <w:t>4</w:t>
            </w:r>
          </w:p>
        </w:tc>
        <w:tc>
          <w:tcPr>
            <w:tcW w:w="1218" w:type="dxa"/>
            <w:vAlign w:val="center"/>
          </w:tcPr>
          <w:p w14:paraId="2819E0E8">
            <w:pPr>
              <w:spacing w:after="240"/>
              <w:jc w:val="center"/>
              <w:rPr>
                <w:rFonts w:ascii="Calibri" w:hAnsi="Calibri" w:cs="Calibri"/>
                <w:sz w:val="18"/>
                <w:szCs w:val="18"/>
              </w:rPr>
            </w:pPr>
            <w:r>
              <w:rPr>
                <w:rFonts w:ascii="Calibri" w:hAnsi="Calibri" w:cs="Calibri"/>
                <w:sz w:val="18"/>
                <w:szCs w:val="18"/>
              </w:rPr>
              <w:t>26</w:t>
            </w:r>
          </w:p>
        </w:tc>
      </w:tr>
    </w:tbl>
    <w:p w14:paraId="1969A843">
      <w:pPr>
        <w:pStyle w:val="4"/>
        <w:spacing w:before="120" w:beforeLines="50" w:after="120" w:afterLines="50"/>
      </w:pPr>
      <w:bookmarkStart w:id="236" w:name="_Toc202275199"/>
      <w:r>
        <w:rPr>
          <w:rFonts w:hint="eastAsia" w:asciiTheme="minorHAnsi" w:hAnsiTheme="minorHAnsi" w:cstheme="minorHAnsi"/>
        </w:rPr>
        <w:t>DN</w:t>
      </w:r>
      <w:r>
        <w:rPr>
          <w:rFonts w:asciiTheme="minorHAnsi" w:hAnsiTheme="minorHAnsi" w:cstheme="minorHAnsi"/>
        </w:rPr>
        <w:t>8</w:t>
      </w:r>
      <w:r>
        <w:rPr>
          <w:rFonts w:hint="eastAsia" w:asciiTheme="minorHAnsi" w:hAnsiTheme="minorHAnsi" w:cstheme="minorHAnsi"/>
        </w:rPr>
        <w:t>0</w:t>
      </w:r>
      <w:bookmarkEnd w:id="236"/>
      <w:r>
        <w:rPr>
          <w:rFonts w:asciiTheme="minorHAnsi" w:hAnsiTheme="minorHAnsi" w:cstheme="minorHAnsi"/>
        </w:rPr>
        <w:t xml:space="preserve"> size table</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763"/>
        <w:gridCol w:w="992"/>
        <w:gridCol w:w="1134"/>
        <w:gridCol w:w="2126"/>
        <w:gridCol w:w="1075"/>
        <w:gridCol w:w="1218"/>
        <w:gridCol w:w="1218"/>
      </w:tblGrid>
      <w:tr w14:paraId="2EED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shd w:val="clear" w:color="auto" w:fill="F1F1F1" w:themeFill="background1" w:themeFillShade="F2"/>
            <w:vAlign w:val="center"/>
          </w:tcPr>
          <w:p w14:paraId="0568D2B5">
            <w:pPr>
              <w:spacing w:after="240"/>
              <w:jc w:val="center"/>
              <w:rPr>
                <w:rFonts w:cstheme="minorHAnsi"/>
                <w:sz w:val="18"/>
                <w:szCs w:val="18"/>
              </w:rPr>
            </w:pPr>
            <w:r>
              <w:rPr>
                <w:rFonts w:cstheme="minorHAnsi"/>
                <w:sz w:val="18"/>
                <w:szCs w:val="18"/>
              </w:rPr>
              <w:t>Class</w:t>
            </w:r>
          </w:p>
        </w:tc>
        <w:tc>
          <w:tcPr>
            <w:tcW w:w="763" w:type="dxa"/>
            <w:shd w:val="clear" w:color="auto" w:fill="F1F1F1" w:themeFill="background1" w:themeFillShade="F2"/>
            <w:vAlign w:val="center"/>
          </w:tcPr>
          <w:p w14:paraId="21681E5B">
            <w:pPr>
              <w:spacing w:after="240"/>
              <w:jc w:val="center"/>
              <w:rPr>
                <w:rFonts w:cstheme="minorHAnsi"/>
                <w:sz w:val="18"/>
                <w:szCs w:val="18"/>
              </w:rPr>
            </w:pPr>
            <w:r>
              <w:rPr>
                <w:rFonts w:cstheme="minorHAnsi"/>
                <w:sz w:val="18"/>
                <w:szCs w:val="18"/>
              </w:rPr>
              <w:t>A</w:t>
            </w:r>
          </w:p>
        </w:tc>
        <w:tc>
          <w:tcPr>
            <w:tcW w:w="992" w:type="dxa"/>
            <w:shd w:val="clear" w:color="auto" w:fill="F1F1F1" w:themeFill="background1" w:themeFillShade="F2"/>
            <w:vAlign w:val="center"/>
          </w:tcPr>
          <w:p w14:paraId="3261502B">
            <w:pPr>
              <w:spacing w:after="240"/>
              <w:jc w:val="center"/>
              <w:rPr>
                <w:rFonts w:cstheme="minorHAnsi"/>
                <w:sz w:val="18"/>
                <w:szCs w:val="18"/>
              </w:rPr>
            </w:pPr>
            <w:r>
              <w:rPr>
                <w:rFonts w:cstheme="minorHAnsi"/>
                <w:sz w:val="18"/>
                <w:szCs w:val="18"/>
              </w:rPr>
              <w:t>B</w:t>
            </w:r>
          </w:p>
        </w:tc>
        <w:tc>
          <w:tcPr>
            <w:tcW w:w="1134" w:type="dxa"/>
            <w:shd w:val="clear" w:color="auto" w:fill="F1F1F1" w:themeFill="background1" w:themeFillShade="F2"/>
            <w:vAlign w:val="center"/>
          </w:tcPr>
          <w:p w14:paraId="5A4D438F">
            <w:pPr>
              <w:spacing w:after="240"/>
              <w:jc w:val="center"/>
              <w:rPr>
                <w:rFonts w:cstheme="minorHAnsi"/>
                <w:sz w:val="18"/>
                <w:szCs w:val="18"/>
              </w:rPr>
            </w:pPr>
            <w:r>
              <w:rPr>
                <w:rFonts w:cstheme="minorHAnsi"/>
                <w:sz w:val="18"/>
                <w:szCs w:val="18"/>
              </w:rPr>
              <w:t>C</w:t>
            </w:r>
          </w:p>
        </w:tc>
        <w:tc>
          <w:tcPr>
            <w:tcW w:w="2126" w:type="dxa"/>
            <w:shd w:val="clear" w:color="auto" w:fill="F1F1F1" w:themeFill="background1" w:themeFillShade="F2"/>
            <w:vAlign w:val="center"/>
          </w:tcPr>
          <w:p w14:paraId="612598CB">
            <w:pPr>
              <w:spacing w:after="240"/>
              <w:jc w:val="center"/>
              <w:rPr>
                <w:rFonts w:cstheme="minorHAnsi"/>
                <w:sz w:val="18"/>
                <w:szCs w:val="18"/>
              </w:rPr>
            </w:pPr>
            <w:r>
              <w:rPr>
                <w:rFonts w:cstheme="minorHAnsi"/>
                <w:sz w:val="18"/>
                <w:szCs w:val="18"/>
              </w:rPr>
              <w:t>D（Inner diameter of gasket contact surface）</w:t>
            </w:r>
          </w:p>
        </w:tc>
        <w:tc>
          <w:tcPr>
            <w:tcW w:w="1075" w:type="dxa"/>
            <w:shd w:val="clear" w:color="auto" w:fill="F1F1F1" w:themeFill="background1" w:themeFillShade="F2"/>
            <w:vAlign w:val="center"/>
          </w:tcPr>
          <w:p w14:paraId="7A638766">
            <w:pPr>
              <w:spacing w:after="240"/>
              <w:jc w:val="center"/>
              <w:rPr>
                <w:rFonts w:cstheme="minorHAnsi"/>
                <w:sz w:val="18"/>
                <w:szCs w:val="18"/>
              </w:rPr>
            </w:pPr>
            <w:r>
              <w:rPr>
                <w:rFonts w:cstheme="minorHAnsi"/>
                <w:sz w:val="18"/>
                <w:szCs w:val="18"/>
              </w:rPr>
              <w:t>E</w:t>
            </w:r>
          </w:p>
        </w:tc>
        <w:tc>
          <w:tcPr>
            <w:tcW w:w="1218" w:type="dxa"/>
            <w:shd w:val="clear" w:color="auto" w:fill="F1F1F1" w:themeFill="background1" w:themeFillShade="F2"/>
            <w:vAlign w:val="center"/>
          </w:tcPr>
          <w:p w14:paraId="574E4439">
            <w:pPr>
              <w:spacing w:after="240"/>
              <w:jc w:val="center"/>
              <w:rPr>
                <w:rFonts w:cstheme="minorHAnsi"/>
                <w:sz w:val="18"/>
                <w:szCs w:val="18"/>
              </w:rPr>
            </w:pPr>
            <w:r>
              <w:rPr>
                <w:rFonts w:cstheme="minorHAnsi"/>
                <w:sz w:val="18"/>
                <w:szCs w:val="18"/>
              </w:rPr>
              <w:t>Number of bolts(n)</w:t>
            </w:r>
          </w:p>
        </w:tc>
        <w:tc>
          <w:tcPr>
            <w:tcW w:w="1218" w:type="dxa"/>
            <w:shd w:val="clear" w:color="auto" w:fill="F1F1F1" w:themeFill="background1" w:themeFillShade="F2"/>
            <w:vAlign w:val="center"/>
          </w:tcPr>
          <w:p w14:paraId="709C1565">
            <w:pPr>
              <w:spacing w:after="240"/>
              <w:jc w:val="center"/>
              <w:rPr>
                <w:rFonts w:cstheme="minorHAnsi"/>
                <w:sz w:val="18"/>
                <w:szCs w:val="18"/>
              </w:rPr>
            </w:pPr>
            <w:r>
              <w:rPr>
                <w:rFonts w:cstheme="minorHAnsi"/>
                <w:sz w:val="18"/>
                <w:szCs w:val="18"/>
              </w:rPr>
              <w:t>Diameter of bolt hole (d)</w:t>
            </w:r>
          </w:p>
        </w:tc>
      </w:tr>
      <w:tr w14:paraId="66D3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7369CF63">
            <w:pPr>
              <w:spacing w:after="240"/>
              <w:jc w:val="center"/>
              <w:rPr>
                <w:rFonts w:cstheme="minorHAnsi"/>
                <w:sz w:val="18"/>
                <w:szCs w:val="18"/>
              </w:rPr>
            </w:pPr>
            <w:r>
              <w:rPr>
                <w:rFonts w:cstheme="minorHAnsi"/>
                <w:sz w:val="18"/>
                <w:szCs w:val="18"/>
              </w:rPr>
              <w:t>ANSI 150</w:t>
            </w:r>
          </w:p>
        </w:tc>
        <w:tc>
          <w:tcPr>
            <w:tcW w:w="763" w:type="dxa"/>
            <w:vAlign w:val="center"/>
          </w:tcPr>
          <w:p w14:paraId="3D45EDD2">
            <w:pPr>
              <w:spacing w:after="240"/>
              <w:jc w:val="center"/>
              <w:rPr>
                <w:rFonts w:cstheme="minorHAnsi"/>
                <w:sz w:val="18"/>
                <w:szCs w:val="18"/>
              </w:rPr>
            </w:pPr>
            <w:r>
              <w:rPr>
                <w:rFonts w:cstheme="minorHAnsi"/>
                <w:sz w:val="18"/>
                <w:szCs w:val="18"/>
              </w:rPr>
              <w:t>190</w:t>
            </w:r>
          </w:p>
        </w:tc>
        <w:tc>
          <w:tcPr>
            <w:tcW w:w="992" w:type="dxa"/>
            <w:vAlign w:val="center"/>
          </w:tcPr>
          <w:p w14:paraId="3EC157A6">
            <w:pPr>
              <w:spacing w:after="240"/>
              <w:jc w:val="center"/>
              <w:rPr>
                <w:rFonts w:cstheme="minorHAnsi"/>
                <w:sz w:val="18"/>
                <w:szCs w:val="18"/>
              </w:rPr>
            </w:pPr>
            <w:r>
              <w:rPr>
                <w:rFonts w:cstheme="minorHAnsi"/>
                <w:sz w:val="18"/>
                <w:szCs w:val="18"/>
              </w:rPr>
              <w:t>152.4</w:t>
            </w:r>
          </w:p>
        </w:tc>
        <w:tc>
          <w:tcPr>
            <w:tcW w:w="1134" w:type="dxa"/>
            <w:vAlign w:val="center"/>
          </w:tcPr>
          <w:p w14:paraId="1A4C444A">
            <w:pPr>
              <w:spacing w:after="240"/>
              <w:jc w:val="center"/>
              <w:rPr>
                <w:rFonts w:cstheme="minorHAnsi"/>
                <w:sz w:val="18"/>
                <w:szCs w:val="18"/>
              </w:rPr>
            </w:pPr>
            <w:r>
              <w:rPr>
                <w:rFonts w:cstheme="minorHAnsi"/>
                <w:sz w:val="18"/>
                <w:szCs w:val="18"/>
              </w:rPr>
              <w:t>127</w:t>
            </w:r>
          </w:p>
        </w:tc>
        <w:tc>
          <w:tcPr>
            <w:tcW w:w="2126" w:type="dxa"/>
            <w:vAlign w:val="center"/>
          </w:tcPr>
          <w:p w14:paraId="7AE47B35">
            <w:pPr>
              <w:spacing w:after="240"/>
              <w:jc w:val="center"/>
              <w:rPr>
                <w:rFonts w:cstheme="minorHAnsi"/>
                <w:sz w:val="18"/>
                <w:szCs w:val="18"/>
              </w:rPr>
            </w:pPr>
            <w:r>
              <w:rPr>
                <w:rFonts w:cstheme="minorHAnsi"/>
                <w:sz w:val="18"/>
                <w:szCs w:val="18"/>
              </w:rPr>
              <w:t>89</w:t>
            </w:r>
          </w:p>
        </w:tc>
        <w:tc>
          <w:tcPr>
            <w:tcW w:w="1075" w:type="dxa"/>
            <w:vAlign w:val="center"/>
          </w:tcPr>
          <w:p w14:paraId="2A57A687">
            <w:pPr>
              <w:spacing w:after="240"/>
              <w:jc w:val="center"/>
              <w:rPr>
                <w:rFonts w:cstheme="minorHAnsi"/>
                <w:sz w:val="18"/>
                <w:szCs w:val="18"/>
              </w:rPr>
            </w:pPr>
            <w:r>
              <w:rPr>
                <w:rFonts w:cstheme="minorHAnsi"/>
                <w:sz w:val="18"/>
                <w:szCs w:val="18"/>
              </w:rPr>
              <w:t>22.3</w:t>
            </w:r>
          </w:p>
        </w:tc>
        <w:tc>
          <w:tcPr>
            <w:tcW w:w="1218" w:type="dxa"/>
            <w:vAlign w:val="center"/>
          </w:tcPr>
          <w:p w14:paraId="7F9C4FB2">
            <w:pPr>
              <w:spacing w:after="240"/>
              <w:jc w:val="center"/>
              <w:rPr>
                <w:rFonts w:cstheme="minorHAnsi"/>
                <w:sz w:val="18"/>
                <w:szCs w:val="18"/>
              </w:rPr>
            </w:pPr>
            <w:r>
              <w:rPr>
                <w:rFonts w:cstheme="minorHAnsi"/>
                <w:sz w:val="18"/>
                <w:szCs w:val="18"/>
              </w:rPr>
              <w:t>4</w:t>
            </w:r>
          </w:p>
        </w:tc>
        <w:tc>
          <w:tcPr>
            <w:tcW w:w="1218" w:type="dxa"/>
            <w:vAlign w:val="center"/>
          </w:tcPr>
          <w:p w14:paraId="2AAA6AE2">
            <w:pPr>
              <w:spacing w:after="240"/>
              <w:jc w:val="center"/>
              <w:rPr>
                <w:rFonts w:cstheme="minorHAnsi"/>
                <w:sz w:val="18"/>
                <w:szCs w:val="18"/>
              </w:rPr>
            </w:pPr>
            <w:r>
              <w:rPr>
                <w:rFonts w:cstheme="minorHAnsi"/>
                <w:sz w:val="18"/>
                <w:szCs w:val="18"/>
              </w:rPr>
              <w:t>18</w:t>
            </w:r>
          </w:p>
        </w:tc>
      </w:tr>
      <w:tr w14:paraId="7D88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4D7745D9">
            <w:pPr>
              <w:spacing w:after="240"/>
              <w:jc w:val="center"/>
              <w:rPr>
                <w:rFonts w:cstheme="minorHAnsi"/>
                <w:sz w:val="18"/>
                <w:szCs w:val="18"/>
              </w:rPr>
            </w:pPr>
            <w:r>
              <w:rPr>
                <w:rFonts w:cstheme="minorHAnsi"/>
                <w:sz w:val="18"/>
                <w:szCs w:val="18"/>
              </w:rPr>
              <w:t>ANSI 300</w:t>
            </w:r>
          </w:p>
        </w:tc>
        <w:tc>
          <w:tcPr>
            <w:tcW w:w="763" w:type="dxa"/>
            <w:vAlign w:val="center"/>
          </w:tcPr>
          <w:p w14:paraId="73BF6C85">
            <w:pPr>
              <w:spacing w:after="240"/>
              <w:jc w:val="center"/>
              <w:rPr>
                <w:rFonts w:cstheme="minorHAnsi"/>
                <w:sz w:val="18"/>
                <w:szCs w:val="18"/>
              </w:rPr>
            </w:pPr>
            <w:r>
              <w:rPr>
                <w:rFonts w:cstheme="minorHAnsi"/>
                <w:sz w:val="18"/>
                <w:szCs w:val="18"/>
              </w:rPr>
              <w:t>210</w:t>
            </w:r>
          </w:p>
        </w:tc>
        <w:tc>
          <w:tcPr>
            <w:tcW w:w="992" w:type="dxa"/>
            <w:vAlign w:val="center"/>
          </w:tcPr>
          <w:p w14:paraId="11B33097">
            <w:pPr>
              <w:spacing w:after="240"/>
              <w:jc w:val="center"/>
              <w:rPr>
                <w:rFonts w:cstheme="minorHAnsi"/>
                <w:sz w:val="18"/>
                <w:szCs w:val="18"/>
              </w:rPr>
            </w:pPr>
            <w:r>
              <w:rPr>
                <w:rFonts w:cstheme="minorHAnsi"/>
                <w:sz w:val="18"/>
                <w:szCs w:val="18"/>
              </w:rPr>
              <w:t>168.3</w:t>
            </w:r>
          </w:p>
        </w:tc>
        <w:tc>
          <w:tcPr>
            <w:tcW w:w="1134" w:type="dxa"/>
            <w:vAlign w:val="center"/>
          </w:tcPr>
          <w:p w14:paraId="225BD784">
            <w:pPr>
              <w:spacing w:after="240"/>
              <w:jc w:val="center"/>
              <w:rPr>
                <w:rFonts w:cstheme="minorHAnsi"/>
                <w:sz w:val="18"/>
                <w:szCs w:val="18"/>
              </w:rPr>
            </w:pPr>
            <w:r>
              <w:rPr>
                <w:rFonts w:cstheme="minorHAnsi"/>
                <w:sz w:val="18"/>
                <w:szCs w:val="18"/>
              </w:rPr>
              <w:t>127</w:t>
            </w:r>
          </w:p>
        </w:tc>
        <w:tc>
          <w:tcPr>
            <w:tcW w:w="2126" w:type="dxa"/>
            <w:vAlign w:val="center"/>
          </w:tcPr>
          <w:p w14:paraId="3867A172">
            <w:pPr>
              <w:spacing w:after="240"/>
              <w:jc w:val="center"/>
              <w:rPr>
                <w:rFonts w:cstheme="minorHAnsi"/>
                <w:sz w:val="18"/>
                <w:szCs w:val="18"/>
              </w:rPr>
            </w:pPr>
            <w:r>
              <w:rPr>
                <w:rFonts w:cstheme="minorHAnsi"/>
                <w:sz w:val="18"/>
                <w:szCs w:val="18"/>
              </w:rPr>
              <w:t>89</w:t>
            </w:r>
          </w:p>
        </w:tc>
        <w:tc>
          <w:tcPr>
            <w:tcW w:w="1075" w:type="dxa"/>
            <w:vAlign w:val="center"/>
          </w:tcPr>
          <w:p w14:paraId="7AA9589E">
            <w:pPr>
              <w:spacing w:after="240"/>
              <w:jc w:val="center"/>
              <w:rPr>
                <w:rFonts w:cstheme="minorHAnsi"/>
                <w:sz w:val="18"/>
                <w:szCs w:val="18"/>
              </w:rPr>
            </w:pPr>
            <w:r>
              <w:rPr>
                <w:rFonts w:cstheme="minorHAnsi"/>
                <w:sz w:val="18"/>
                <w:szCs w:val="18"/>
              </w:rPr>
              <w:t>27</w:t>
            </w:r>
          </w:p>
        </w:tc>
        <w:tc>
          <w:tcPr>
            <w:tcW w:w="1218" w:type="dxa"/>
            <w:vAlign w:val="center"/>
          </w:tcPr>
          <w:p w14:paraId="4DB9AD2B">
            <w:pPr>
              <w:spacing w:after="240"/>
              <w:jc w:val="center"/>
              <w:rPr>
                <w:rFonts w:cstheme="minorHAnsi"/>
                <w:sz w:val="18"/>
                <w:szCs w:val="18"/>
              </w:rPr>
            </w:pPr>
            <w:r>
              <w:rPr>
                <w:rFonts w:cstheme="minorHAnsi"/>
                <w:sz w:val="18"/>
                <w:szCs w:val="18"/>
              </w:rPr>
              <w:t>8</w:t>
            </w:r>
          </w:p>
        </w:tc>
        <w:tc>
          <w:tcPr>
            <w:tcW w:w="1218" w:type="dxa"/>
            <w:vAlign w:val="center"/>
          </w:tcPr>
          <w:p w14:paraId="6735298E">
            <w:pPr>
              <w:spacing w:after="240"/>
              <w:jc w:val="center"/>
              <w:rPr>
                <w:rFonts w:cstheme="minorHAnsi"/>
                <w:sz w:val="18"/>
                <w:szCs w:val="18"/>
              </w:rPr>
            </w:pPr>
            <w:r>
              <w:rPr>
                <w:rFonts w:cstheme="minorHAnsi"/>
                <w:sz w:val="18"/>
                <w:szCs w:val="18"/>
              </w:rPr>
              <w:t>22</w:t>
            </w:r>
          </w:p>
        </w:tc>
      </w:tr>
      <w:tr w14:paraId="57CE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67376C16">
            <w:pPr>
              <w:spacing w:after="240"/>
              <w:jc w:val="center"/>
              <w:rPr>
                <w:rFonts w:cstheme="minorHAnsi"/>
                <w:sz w:val="18"/>
                <w:szCs w:val="18"/>
              </w:rPr>
            </w:pPr>
            <w:r>
              <w:rPr>
                <w:rFonts w:cstheme="minorHAnsi"/>
                <w:sz w:val="18"/>
                <w:szCs w:val="18"/>
              </w:rPr>
              <w:t>ANSI 600</w:t>
            </w:r>
          </w:p>
        </w:tc>
        <w:tc>
          <w:tcPr>
            <w:tcW w:w="763" w:type="dxa"/>
            <w:vAlign w:val="center"/>
          </w:tcPr>
          <w:p w14:paraId="543A6FC4">
            <w:pPr>
              <w:spacing w:after="240"/>
              <w:jc w:val="center"/>
              <w:rPr>
                <w:rFonts w:cstheme="minorHAnsi"/>
                <w:sz w:val="18"/>
                <w:szCs w:val="18"/>
              </w:rPr>
            </w:pPr>
            <w:r>
              <w:rPr>
                <w:rFonts w:cstheme="minorHAnsi"/>
                <w:sz w:val="18"/>
                <w:szCs w:val="18"/>
              </w:rPr>
              <w:t>210</w:t>
            </w:r>
          </w:p>
        </w:tc>
        <w:tc>
          <w:tcPr>
            <w:tcW w:w="992" w:type="dxa"/>
            <w:vAlign w:val="center"/>
          </w:tcPr>
          <w:p w14:paraId="60DEA1FF">
            <w:pPr>
              <w:spacing w:after="240"/>
              <w:jc w:val="center"/>
              <w:rPr>
                <w:rFonts w:cstheme="minorHAnsi"/>
                <w:sz w:val="18"/>
                <w:szCs w:val="18"/>
              </w:rPr>
            </w:pPr>
            <w:r>
              <w:rPr>
                <w:rFonts w:cstheme="minorHAnsi"/>
                <w:sz w:val="18"/>
                <w:szCs w:val="18"/>
              </w:rPr>
              <w:t>168.3</w:t>
            </w:r>
          </w:p>
        </w:tc>
        <w:tc>
          <w:tcPr>
            <w:tcW w:w="1134" w:type="dxa"/>
            <w:vAlign w:val="center"/>
          </w:tcPr>
          <w:p w14:paraId="57F98DC6">
            <w:pPr>
              <w:spacing w:after="240"/>
              <w:jc w:val="center"/>
              <w:rPr>
                <w:rFonts w:cstheme="minorHAnsi"/>
                <w:sz w:val="18"/>
                <w:szCs w:val="18"/>
              </w:rPr>
            </w:pPr>
            <w:r>
              <w:rPr>
                <w:rFonts w:cstheme="minorHAnsi"/>
                <w:sz w:val="18"/>
                <w:szCs w:val="18"/>
              </w:rPr>
              <w:t>127</w:t>
            </w:r>
          </w:p>
        </w:tc>
        <w:tc>
          <w:tcPr>
            <w:tcW w:w="2126" w:type="dxa"/>
            <w:vAlign w:val="center"/>
          </w:tcPr>
          <w:p w14:paraId="1BC0D27A">
            <w:pPr>
              <w:spacing w:after="240"/>
              <w:jc w:val="center"/>
              <w:rPr>
                <w:rFonts w:cstheme="minorHAnsi"/>
                <w:sz w:val="18"/>
                <w:szCs w:val="18"/>
              </w:rPr>
            </w:pPr>
            <w:r>
              <w:rPr>
                <w:rFonts w:cstheme="minorHAnsi"/>
                <w:sz w:val="18"/>
                <w:szCs w:val="18"/>
              </w:rPr>
              <w:t>89</w:t>
            </w:r>
          </w:p>
        </w:tc>
        <w:tc>
          <w:tcPr>
            <w:tcW w:w="1075" w:type="dxa"/>
            <w:vAlign w:val="center"/>
          </w:tcPr>
          <w:p w14:paraId="4F575B3A">
            <w:pPr>
              <w:spacing w:after="240"/>
              <w:jc w:val="center"/>
              <w:rPr>
                <w:rFonts w:cstheme="minorHAnsi"/>
                <w:sz w:val="18"/>
                <w:szCs w:val="18"/>
              </w:rPr>
            </w:pPr>
            <w:r>
              <w:rPr>
                <w:rFonts w:cstheme="minorHAnsi"/>
                <w:sz w:val="18"/>
                <w:szCs w:val="18"/>
              </w:rPr>
              <w:t>31.8</w:t>
            </w:r>
          </w:p>
        </w:tc>
        <w:tc>
          <w:tcPr>
            <w:tcW w:w="1218" w:type="dxa"/>
            <w:vAlign w:val="center"/>
          </w:tcPr>
          <w:p w14:paraId="65538FCB">
            <w:pPr>
              <w:spacing w:after="240"/>
              <w:jc w:val="center"/>
              <w:rPr>
                <w:rFonts w:cstheme="minorHAnsi"/>
                <w:sz w:val="18"/>
                <w:szCs w:val="18"/>
              </w:rPr>
            </w:pPr>
            <w:r>
              <w:rPr>
                <w:rFonts w:cstheme="minorHAnsi"/>
                <w:sz w:val="18"/>
                <w:szCs w:val="18"/>
              </w:rPr>
              <w:t>8</w:t>
            </w:r>
          </w:p>
        </w:tc>
        <w:tc>
          <w:tcPr>
            <w:tcW w:w="1218" w:type="dxa"/>
            <w:vAlign w:val="center"/>
          </w:tcPr>
          <w:p w14:paraId="51C042C6">
            <w:pPr>
              <w:spacing w:after="240"/>
              <w:jc w:val="center"/>
              <w:rPr>
                <w:rFonts w:cstheme="minorHAnsi"/>
                <w:sz w:val="18"/>
                <w:szCs w:val="18"/>
              </w:rPr>
            </w:pPr>
            <w:r>
              <w:rPr>
                <w:rFonts w:cstheme="minorHAnsi"/>
                <w:sz w:val="18"/>
                <w:szCs w:val="18"/>
              </w:rPr>
              <w:t>22</w:t>
            </w:r>
          </w:p>
        </w:tc>
      </w:tr>
      <w:tr w14:paraId="0088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2AD9F9C7">
            <w:pPr>
              <w:spacing w:after="240"/>
              <w:jc w:val="center"/>
              <w:rPr>
                <w:rFonts w:cstheme="minorHAnsi"/>
                <w:sz w:val="18"/>
                <w:szCs w:val="18"/>
              </w:rPr>
            </w:pPr>
            <w:r>
              <w:rPr>
                <w:rFonts w:cstheme="minorHAnsi"/>
                <w:sz w:val="18"/>
                <w:szCs w:val="18"/>
              </w:rPr>
              <w:t>DIN PN 10/16</w:t>
            </w:r>
          </w:p>
        </w:tc>
        <w:tc>
          <w:tcPr>
            <w:tcW w:w="763" w:type="dxa"/>
            <w:vAlign w:val="center"/>
          </w:tcPr>
          <w:p w14:paraId="0750221C">
            <w:pPr>
              <w:spacing w:after="240"/>
              <w:jc w:val="center"/>
              <w:rPr>
                <w:rFonts w:cstheme="minorHAnsi"/>
                <w:sz w:val="18"/>
                <w:szCs w:val="18"/>
              </w:rPr>
            </w:pPr>
            <w:r>
              <w:rPr>
                <w:rFonts w:cstheme="minorHAnsi"/>
                <w:sz w:val="18"/>
                <w:szCs w:val="18"/>
              </w:rPr>
              <w:t>200</w:t>
            </w:r>
          </w:p>
        </w:tc>
        <w:tc>
          <w:tcPr>
            <w:tcW w:w="992" w:type="dxa"/>
            <w:vAlign w:val="center"/>
          </w:tcPr>
          <w:p w14:paraId="28394558">
            <w:pPr>
              <w:spacing w:after="240"/>
              <w:jc w:val="center"/>
              <w:rPr>
                <w:rFonts w:cstheme="minorHAnsi"/>
                <w:sz w:val="18"/>
                <w:szCs w:val="18"/>
              </w:rPr>
            </w:pPr>
            <w:r>
              <w:rPr>
                <w:rFonts w:cstheme="minorHAnsi"/>
                <w:sz w:val="18"/>
                <w:szCs w:val="18"/>
              </w:rPr>
              <w:t>160</w:t>
            </w:r>
          </w:p>
        </w:tc>
        <w:tc>
          <w:tcPr>
            <w:tcW w:w="1134" w:type="dxa"/>
            <w:vAlign w:val="center"/>
          </w:tcPr>
          <w:p w14:paraId="38260B26">
            <w:pPr>
              <w:spacing w:after="240"/>
              <w:jc w:val="center"/>
              <w:rPr>
                <w:rFonts w:cstheme="minorHAnsi"/>
                <w:sz w:val="18"/>
                <w:szCs w:val="18"/>
              </w:rPr>
            </w:pPr>
            <w:r>
              <w:rPr>
                <w:rFonts w:cstheme="minorHAnsi"/>
                <w:sz w:val="18"/>
                <w:szCs w:val="18"/>
              </w:rPr>
              <w:t>138</w:t>
            </w:r>
          </w:p>
        </w:tc>
        <w:tc>
          <w:tcPr>
            <w:tcW w:w="2126" w:type="dxa"/>
            <w:vAlign w:val="center"/>
          </w:tcPr>
          <w:p w14:paraId="268683E7">
            <w:pPr>
              <w:spacing w:after="240"/>
              <w:jc w:val="center"/>
              <w:rPr>
                <w:rFonts w:cstheme="minorHAnsi"/>
                <w:sz w:val="18"/>
                <w:szCs w:val="18"/>
              </w:rPr>
            </w:pPr>
            <w:r>
              <w:rPr>
                <w:rFonts w:cstheme="minorHAnsi"/>
                <w:sz w:val="18"/>
                <w:szCs w:val="18"/>
              </w:rPr>
              <w:t>89</w:t>
            </w:r>
          </w:p>
        </w:tc>
        <w:tc>
          <w:tcPr>
            <w:tcW w:w="1075" w:type="dxa"/>
            <w:vAlign w:val="center"/>
          </w:tcPr>
          <w:p w14:paraId="117EF941">
            <w:pPr>
              <w:spacing w:after="240"/>
              <w:jc w:val="center"/>
              <w:rPr>
                <w:rFonts w:cstheme="minorHAnsi"/>
                <w:sz w:val="18"/>
                <w:szCs w:val="18"/>
              </w:rPr>
            </w:pPr>
            <w:r>
              <w:rPr>
                <w:rFonts w:cstheme="minorHAnsi"/>
                <w:sz w:val="18"/>
                <w:szCs w:val="18"/>
              </w:rPr>
              <w:t>18</w:t>
            </w:r>
          </w:p>
        </w:tc>
        <w:tc>
          <w:tcPr>
            <w:tcW w:w="1218" w:type="dxa"/>
            <w:vAlign w:val="center"/>
          </w:tcPr>
          <w:p w14:paraId="4F2CFF44">
            <w:pPr>
              <w:spacing w:after="240"/>
              <w:jc w:val="center"/>
              <w:rPr>
                <w:rFonts w:cstheme="minorHAnsi"/>
                <w:sz w:val="18"/>
                <w:szCs w:val="18"/>
              </w:rPr>
            </w:pPr>
            <w:r>
              <w:rPr>
                <w:rFonts w:cstheme="minorHAnsi"/>
                <w:sz w:val="18"/>
                <w:szCs w:val="18"/>
              </w:rPr>
              <w:t>8</w:t>
            </w:r>
          </w:p>
        </w:tc>
        <w:tc>
          <w:tcPr>
            <w:tcW w:w="1218" w:type="dxa"/>
            <w:vAlign w:val="center"/>
          </w:tcPr>
          <w:p w14:paraId="0C49A694">
            <w:pPr>
              <w:spacing w:after="240"/>
              <w:jc w:val="center"/>
              <w:rPr>
                <w:rFonts w:cstheme="minorHAnsi"/>
                <w:sz w:val="18"/>
                <w:szCs w:val="18"/>
              </w:rPr>
            </w:pPr>
            <w:r>
              <w:rPr>
                <w:rFonts w:cstheme="minorHAnsi"/>
                <w:sz w:val="18"/>
                <w:szCs w:val="18"/>
              </w:rPr>
              <w:t>18</w:t>
            </w:r>
          </w:p>
        </w:tc>
      </w:tr>
      <w:tr w14:paraId="675F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02EDF62F">
            <w:pPr>
              <w:spacing w:after="240"/>
              <w:jc w:val="center"/>
              <w:rPr>
                <w:rFonts w:cstheme="minorHAnsi"/>
                <w:sz w:val="18"/>
                <w:szCs w:val="18"/>
              </w:rPr>
            </w:pPr>
            <w:r>
              <w:rPr>
                <w:rFonts w:cstheme="minorHAnsi"/>
                <w:sz w:val="18"/>
                <w:szCs w:val="18"/>
              </w:rPr>
              <w:t>DIN PN 25/40</w:t>
            </w:r>
          </w:p>
        </w:tc>
        <w:tc>
          <w:tcPr>
            <w:tcW w:w="763" w:type="dxa"/>
            <w:vAlign w:val="center"/>
          </w:tcPr>
          <w:p w14:paraId="7E0A1475">
            <w:pPr>
              <w:spacing w:after="240"/>
              <w:jc w:val="center"/>
              <w:rPr>
                <w:rFonts w:cstheme="minorHAnsi"/>
                <w:sz w:val="18"/>
                <w:szCs w:val="18"/>
              </w:rPr>
            </w:pPr>
            <w:r>
              <w:rPr>
                <w:rFonts w:cstheme="minorHAnsi"/>
                <w:sz w:val="18"/>
                <w:szCs w:val="18"/>
              </w:rPr>
              <w:t>200</w:t>
            </w:r>
          </w:p>
        </w:tc>
        <w:tc>
          <w:tcPr>
            <w:tcW w:w="992" w:type="dxa"/>
            <w:vAlign w:val="center"/>
          </w:tcPr>
          <w:p w14:paraId="63BFB85C">
            <w:pPr>
              <w:spacing w:after="240"/>
              <w:jc w:val="center"/>
              <w:rPr>
                <w:rFonts w:cstheme="minorHAnsi"/>
                <w:sz w:val="18"/>
                <w:szCs w:val="18"/>
              </w:rPr>
            </w:pPr>
            <w:r>
              <w:rPr>
                <w:rFonts w:cstheme="minorHAnsi"/>
                <w:sz w:val="18"/>
                <w:szCs w:val="18"/>
              </w:rPr>
              <w:t>160</w:t>
            </w:r>
          </w:p>
        </w:tc>
        <w:tc>
          <w:tcPr>
            <w:tcW w:w="1134" w:type="dxa"/>
            <w:vAlign w:val="center"/>
          </w:tcPr>
          <w:p w14:paraId="4D1089A6">
            <w:pPr>
              <w:spacing w:after="240"/>
              <w:jc w:val="center"/>
              <w:rPr>
                <w:rFonts w:cstheme="minorHAnsi"/>
                <w:sz w:val="18"/>
                <w:szCs w:val="18"/>
              </w:rPr>
            </w:pPr>
            <w:r>
              <w:rPr>
                <w:rFonts w:cstheme="minorHAnsi"/>
                <w:sz w:val="18"/>
                <w:szCs w:val="18"/>
              </w:rPr>
              <w:t>138</w:t>
            </w:r>
          </w:p>
        </w:tc>
        <w:tc>
          <w:tcPr>
            <w:tcW w:w="2126" w:type="dxa"/>
            <w:vAlign w:val="center"/>
          </w:tcPr>
          <w:p w14:paraId="0E7D722F">
            <w:pPr>
              <w:spacing w:after="240"/>
              <w:jc w:val="center"/>
              <w:rPr>
                <w:rFonts w:cstheme="minorHAnsi"/>
                <w:sz w:val="18"/>
                <w:szCs w:val="18"/>
              </w:rPr>
            </w:pPr>
            <w:r>
              <w:rPr>
                <w:rFonts w:cstheme="minorHAnsi"/>
                <w:sz w:val="18"/>
                <w:szCs w:val="18"/>
              </w:rPr>
              <w:t>89</w:t>
            </w:r>
          </w:p>
        </w:tc>
        <w:tc>
          <w:tcPr>
            <w:tcW w:w="1075" w:type="dxa"/>
            <w:vAlign w:val="center"/>
          </w:tcPr>
          <w:p w14:paraId="7D92367C">
            <w:pPr>
              <w:spacing w:after="240"/>
              <w:jc w:val="center"/>
              <w:rPr>
                <w:rFonts w:cstheme="minorHAnsi"/>
                <w:sz w:val="18"/>
                <w:szCs w:val="18"/>
              </w:rPr>
            </w:pPr>
            <w:r>
              <w:rPr>
                <w:rFonts w:cstheme="minorHAnsi"/>
                <w:sz w:val="18"/>
                <w:szCs w:val="18"/>
              </w:rPr>
              <w:t>22</w:t>
            </w:r>
          </w:p>
        </w:tc>
        <w:tc>
          <w:tcPr>
            <w:tcW w:w="1218" w:type="dxa"/>
            <w:vAlign w:val="center"/>
          </w:tcPr>
          <w:p w14:paraId="6D4122D6">
            <w:pPr>
              <w:spacing w:after="240"/>
              <w:jc w:val="center"/>
              <w:rPr>
                <w:rFonts w:cstheme="minorHAnsi"/>
                <w:sz w:val="18"/>
                <w:szCs w:val="18"/>
              </w:rPr>
            </w:pPr>
            <w:r>
              <w:rPr>
                <w:rFonts w:cstheme="minorHAnsi"/>
                <w:sz w:val="18"/>
                <w:szCs w:val="18"/>
              </w:rPr>
              <w:t>8</w:t>
            </w:r>
          </w:p>
        </w:tc>
        <w:tc>
          <w:tcPr>
            <w:tcW w:w="1218" w:type="dxa"/>
            <w:vAlign w:val="center"/>
          </w:tcPr>
          <w:p w14:paraId="76E26C3E">
            <w:pPr>
              <w:spacing w:after="240"/>
              <w:jc w:val="center"/>
              <w:rPr>
                <w:rFonts w:cstheme="minorHAnsi"/>
                <w:sz w:val="18"/>
                <w:szCs w:val="18"/>
              </w:rPr>
            </w:pPr>
            <w:r>
              <w:rPr>
                <w:rFonts w:cstheme="minorHAnsi"/>
                <w:sz w:val="18"/>
                <w:szCs w:val="18"/>
              </w:rPr>
              <w:t>18</w:t>
            </w:r>
          </w:p>
        </w:tc>
      </w:tr>
      <w:tr w14:paraId="7AAE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53F77F64">
            <w:pPr>
              <w:spacing w:after="240"/>
              <w:jc w:val="center"/>
              <w:rPr>
                <w:rFonts w:cstheme="minorHAnsi"/>
                <w:sz w:val="18"/>
                <w:szCs w:val="18"/>
              </w:rPr>
            </w:pPr>
            <w:r>
              <w:rPr>
                <w:rFonts w:cstheme="minorHAnsi"/>
                <w:sz w:val="18"/>
                <w:szCs w:val="18"/>
              </w:rPr>
              <w:t>DIN PN 64</w:t>
            </w:r>
          </w:p>
        </w:tc>
        <w:tc>
          <w:tcPr>
            <w:tcW w:w="763" w:type="dxa"/>
            <w:vAlign w:val="center"/>
          </w:tcPr>
          <w:p w14:paraId="58DEF1E6">
            <w:pPr>
              <w:spacing w:after="240"/>
              <w:jc w:val="center"/>
              <w:rPr>
                <w:rFonts w:cstheme="minorHAnsi"/>
                <w:sz w:val="18"/>
                <w:szCs w:val="18"/>
              </w:rPr>
            </w:pPr>
            <w:r>
              <w:rPr>
                <w:rFonts w:cstheme="minorHAnsi"/>
                <w:sz w:val="18"/>
                <w:szCs w:val="18"/>
              </w:rPr>
              <w:t>215</w:t>
            </w:r>
          </w:p>
        </w:tc>
        <w:tc>
          <w:tcPr>
            <w:tcW w:w="992" w:type="dxa"/>
            <w:vAlign w:val="center"/>
          </w:tcPr>
          <w:p w14:paraId="7BF2E4D6">
            <w:pPr>
              <w:spacing w:after="240"/>
              <w:jc w:val="center"/>
              <w:rPr>
                <w:rFonts w:cstheme="minorHAnsi"/>
                <w:sz w:val="18"/>
                <w:szCs w:val="18"/>
              </w:rPr>
            </w:pPr>
            <w:r>
              <w:rPr>
                <w:rFonts w:cstheme="minorHAnsi"/>
                <w:sz w:val="18"/>
                <w:szCs w:val="18"/>
              </w:rPr>
              <w:t>170</w:t>
            </w:r>
          </w:p>
        </w:tc>
        <w:tc>
          <w:tcPr>
            <w:tcW w:w="1134" w:type="dxa"/>
            <w:vAlign w:val="center"/>
          </w:tcPr>
          <w:p w14:paraId="3041CF3E">
            <w:pPr>
              <w:spacing w:after="240"/>
              <w:jc w:val="center"/>
              <w:rPr>
                <w:rFonts w:cstheme="minorHAnsi"/>
                <w:sz w:val="18"/>
                <w:szCs w:val="18"/>
              </w:rPr>
            </w:pPr>
            <w:r>
              <w:rPr>
                <w:rFonts w:cstheme="minorHAnsi"/>
                <w:sz w:val="18"/>
                <w:szCs w:val="18"/>
              </w:rPr>
              <w:t>138</w:t>
            </w:r>
          </w:p>
        </w:tc>
        <w:tc>
          <w:tcPr>
            <w:tcW w:w="2126" w:type="dxa"/>
            <w:vAlign w:val="center"/>
          </w:tcPr>
          <w:p w14:paraId="67B84DC5">
            <w:pPr>
              <w:spacing w:after="240"/>
              <w:jc w:val="center"/>
              <w:rPr>
                <w:rFonts w:cstheme="minorHAnsi"/>
                <w:sz w:val="18"/>
                <w:szCs w:val="18"/>
              </w:rPr>
            </w:pPr>
            <w:r>
              <w:rPr>
                <w:rFonts w:cstheme="minorHAnsi"/>
                <w:sz w:val="18"/>
                <w:szCs w:val="18"/>
              </w:rPr>
              <w:t>89</w:t>
            </w:r>
          </w:p>
        </w:tc>
        <w:tc>
          <w:tcPr>
            <w:tcW w:w="1075" w:type="dxa"/>
            <w:vAlign w:val="center"/>
          </w:tcPr>
          <w:p w14:paraId="248C6D03">
            <w:pPr>
              <w:spacing w:after="240"/>
              <w:jc w:val="center"/>
              <w:rPr>
                <w:rFonts w:cstheme="minorHAnsi"/>
                <w:sz w:val="18"/>
                <w:szCs w:val="18"/>
              </w:rPr>
            </w:pPr>
            <w:r>
              <w:rPr>
                <w:rFonts w:cstheme="minorHAnsi"/>
                <w:sz w:val="18"/>
                <w:szCs w:val="18"/>
              </w:rPr>
              <w:t>26</w:t>
            </w:r>
          </w:p>
        </w:tc>
        <w:tc>
          <w:tcPr>
            <w:tcW w:w="1218" w:type="dxa"/>
            <w:vAlign w:val="center"/>
          </w:tcPr>
          <w:p w14:paraId="3A3EDBE4">
            <w:pPr>
              <w:spacing w:after="240"/>
              <w:jc w:val="center"/>
              <w:rPr>
                <w:rFonts w:cstheme="minorHAnsi"/>
                <w:sz w:val="18"/>
                <w:szCs w:val="18"/>
              </w:rPr>
            </w:pPr>
            <w:r>
              <w:rPr>
                <w:rFonts w:cstheme="minorHAnsi"/>
                <w:sz w:val="18"/>
                <w:szCs w:val="18"/>
              </w:rPr>
              <w:t>8</w:t>
            </w:r>
          </w:p>
        </w:tc>
        <w:tc>
          <w:tcPr>
            <w:tcW w:w="1218" w:type="dxa"/>
            <w:vAlign w:val="center"/>
          </w:tcPr>
          <w:p w14:paraId="18867E77">
            <w:pPr>
              <w:spacing w:after="240"/>
              <w:jc w:val="center"/>
              <w:rPr>
                <w:rFonts w:cstheme="minorHAnsi"/>
                <w:sz w:val="18"/>
                <w:szCs w:val="18"/>
              </w:rPr>
            </w:pPr>
            <w:r>
              <w:rPr>
                <w:rFonts w:cstheme="minorHAnsi"/>
                <w:sz w:val="18"/>
                <w:szCs w:val="18"/>
              </w:rPr>
              <w:t>22</w:t>
            </w:r>
          </w:p>
        </w:tc>
      </w:tr>
      <w:tr w14:paraId="1356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0E41AE15">
            <w:pPr>
              <w:spacing w:after="240"/>
              <w:jc w:val="center"/>
              <w:rPr>
                <w:rFonts w:cstheme="minorHAnsi"/>
                <w:sz w:val="18"/>
                <w:szCs w:val="18"/>
              </w:rPr>
            </w:pPr>
            <w:r>
              <w:rPr>
                <w:rFonts w:cstheme="minorHAnsi"/>
                <w:sz w:val="18"/>
                <w:szCs w:val="18"/>
              </w:rPr>
              <w:t>DIN PN 100</w:t>
            </w:r>
          </w:p>
        </w:tc>
        <w:tc>
          <w:tcPr>
            <w:tcW w:w="763" w:type="dxa"/>
            <w:vAlign w:val="center"/>
          </w:tcPr>
          <w:p w14:paraId="08C00CB6">
            <w:pPr>
              <w:spacing w:after="240"/>
              <w:jc w:val="center"/>
              <w:rPr>
                <w:rFonts w:cstheme="minorHAnsi"/>
                <w:sz w:val="18"/>
                <w:szCs w:val="18"/>
              </w:rPr>
            </w:pPr>
            <w:r>
              <w:rPr>
                <w:rFonts w:cstheme="minorHAnsi"/>
                <w:sz w:val="18"/>
                <w:szCs w:val="18"/>
              </w:rPr>
              <w:t>230</w:t>
            </w:r>
          </w:p>
        </w:tc>
        <w:tc>
          <w:tcPr>
            <w:tcW w:w="992" w:type="dxa"/>
            <w:vAlign w:val="center"/>
          </w:tcPr>
          <w:p w14:paraId="4AB4549E">
            <w:pPr>
              <w:spacing w:after="240"/>
              <w:jc w:val="center"/>
              <w:rPr>
                <w:rFonts w:cstheme="minorHAnsi"/>
                <w:sz w:val="18"/>
                <w:szCs w:val="18"/>
              </w:rPr>
            </w:pPr>
            <w:r>
              <w:rPr>
                <w:rFonts w:cstheme="minorHAnsi"/>
                <w:sz w:val="18"/>
                <w:szCs w:val="18"/>
              </w:rPr>
              <w:t>180</w:t>
            </w:r>
          </w:p>
        </w:tc>
        <w:tc>
          <w:tcPr>
            <w:tcW w:w="1134" w:type="dxa"/>
            <w:vAlign w:val="center"/>
          </w:tcPr>
          <w:p w14:paraId="031F1B93">
            <w:pPr>
              <w:spacing w:after="240"/>
              <w:jc w:val="center"/>
              <w:rPr>
                <w:rFonts w:cstheme="minorHAnsi"/>
                <w:sz w:val="18"/>
                <w:szCs w:val="18"/>
              </w:rPr>
            </w:pPr>
            <w:r>
              <w:rPr>
                <w:rFonts w:cstheme="minorHAnsi"/>
                <w:sz w:val="18"/>
                <w:szCs w:val="18"/>
              </w:rPr>
              <w:t>138</w:t>
            </w:r>
          </w:p>
        </w:tc>
        <w:tc>
          <w:tcPr>
            <w:tcW w:w="2126" w:type="dxa"/>
            <w:vAlign w:val="center"/>
          </w:tcPr>
          <w:p w14:paraId="5B7198A3">
            <w:pPr>
              <w:spacing w:after="240"/>
              <w:jc w:val="center"/>
              <w:rPr>
                <w:rFonts w:cstheme="minorHAnsi"/>
                <w:sz w:val="18"/>
                <w:szCs w:val="18"/>
              </w:rPr>
            </w:pPr>
            <w:r>
              <w:rPr>
                <w:rFonts w:cstheme="minorHAnsi"/>
                <w:sz w:val="18"/>
                <w:szCs w:val="18"/>
              </w:rPr>
              <w:t>89</w:t>
            </w:r>
          </w:p>
        </w:tc>
        <w:tc>
          <w:tcPr>
            <w:tcW w:w="1075" w:type="dxa"/>
            <w:vAlign w:val="center"/>
          </w:tcPr>
          <w:p w14:paraId="2FF994F0">
            <w:pPr>
              <w:spacing w:after="240"/>
              <w:jc w:val="center"/>
              <w:rPr>
                <w:rFonts w:cstheme="minorHAnsi"/>
                <w:sz w:val="18"/>
                <w:szCs w:val="18"/>
              </w:rPr>
            </w:pPr>
            <w:r>
              <w:rPr>
                <w:rFonts w:cstheme="minorHAnsi"/>
                <w:sz w:val="18"/>
                <w:szCs w:val="18"/>
              </w:rPr>
              <w:t>30</w:t>
            </w:r>
          </w:p>
        </w:tc>
        <w:tc>
          <w:tcPr>
            <w:tcW w:w="1218" w:type="dxa"/>
            <w:vAlign w:val="center"/>
          </w:tcPr>
          <w:p w14:paraId="14D37F00">
            <w:pPr>
              <w:spacing w:after="240"/>
              <w:jc w:val="center"/>
              <w:rPr>
                <w:rFonts w:cstheme="minorHAnsi"/>
                <w:sz w:val="18"/>
                <w:szCs w:val="18"/>
              </w:rPr>
            </w:pPr>
            <w:r>
              <w:rPr>
                <w:rFonts w:cstheme="minorHAnsi"/>
                <w:sz w:val="18"/>
                <w:szCs w:val="18"/>
              </w:rPr>
              <w:t>8</w:t>
            </w:r>
          </w:p>
        </w:tc>
        <w:tc>
          <w:tcPr>
            <w:tcW w:w="1218" w:type="dxa"/>
            <w:vAlign w:val="center"/>
          </w:tcPr>
          <w:p w14:paraId="10BBE53D">
            <w:pPr>
              <w:spacing w:after="240"/>
              <w:jc w:val="center"/>
              <w:rPr>
                <w:rFonts w:cstheme="minorHAnsi"/>
                <w:sz w:val="18"/>
                <w:szCs w:val="18"/>
              </w:rPr>
            </w:pPr>
            <w:r>
              <w:rPr>
                <w:rFonts w:cstheme="minorHAnsi"/>
                <w:sz w:val="18"/>
                <w:szCs w:val="18"/>
              </w:rPr>
              <w:t>26</w:t>
            </w:r>
          </w:p>
        </w:tc>
      </w:tr>
    </w:tbl>
    <w:p w14:paraId="69DD811F">
      <w:pPr>
        <w:pStyle w:val="4"/>
        <w:spacing w:before="120" w:beforeLines="50" w:after="120" w:afterLines="50"/>
        <w:rPr>
          <w:rFonts w:asciiTheme="minorHAnsi" w:hAnsiTheme="minorHAnsi" w:cstheme="minorHAnsi"/>
        </w:rPr>
      </w:pPr>
      <w:bookmarkStart w:id="237" w:name="_Toc202275200"/>
      <w:r>
        <w:rPr>
          <w:rFonts w:hint="eastAsia" w:asciiTheme="minorHAnsi" w:hAnsiTheme="minorHAnsi" w:cstheme="minorHAnsi"/>
        </w:rPr>
        <w:t>DN</w:t>
      </w:r>
      <w:r>
        <w:rPr>
          <w:rFonts w:asciiTheme="minorHAnsi" w:hAnsiTheme="minorHAnsi" w:cstheme="minorHAnsi"/>
        </w:rPr>
        <w:t>10</w:t>
      </w:r>
      <w:r>
        <w:rPr>
          <w:rFonts w:hint="eastAsia" w:asciiTheme="minorHAnsi" w:hAnsiTheme="minorHAnsi" w:cstheme="minorHAnsi"/>
        </w:rPr>
        <w:t>0</w:t>
      </w:r>
      <w:bookmarkEnd w:id="237"/>
      <w:r>
        <w:rPr>
          <w:rFonts w:asciiTheme="minorHAnsi" w:hAnsiTheme="minorHAnsi" w:cstheme="minorHAnsi"/>
        </w:rPr>
        <w:t xml:space="preserve"> size table</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763"/>
        <w:gridCol w:w="992"/>
        <w:gridCol w:w="1134"/>
        <w:gridCol w:w="2126"/>
        <w:gridCol w:w="1075"/>
        <w:gridCol w:w="1218"/>
        <w:gridCol w:w="1218"/>
      </w:tblGrid>
      <w:tr w14:paraId="19DF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shd w:val="clear" w:color="auto" w:fill="F1F1F1" w:themeFill="background1" w:themeFillShade="F2"/>
            <w:vAlign w:val="center"/>
          </w:tcPr>
          <w:p w14:paraId="71AF73ED">
            <w:pPr>
              <w:spacing w:after="240"/>
              <w:jc w:val="center"/>
              <w:rPr>
                <w:rFonts w:cstheme="minorHAnsi"/>
                <w:sz w:val="18"/>
                <w:szCs w:val="18"/>
              </w:rPr>
            </w:pPr>
            <w:r>
              <w:rPr>
                <w:rFonts w:cstheme="minorHAnsi"/>
                <w:sz w:val="18"/>
                <w:szCs w:val="18"/>
              </w:rPr>
              <w:t>Class</w:t>
            </w:r>
          </w:p>
        </w:tc>
        <w:tc>
          <w:tcPr>
            <w:tcW w:w="763" w:type="dxa"/>
            <w:shd w:val="clear" w:color="auto" w:fill="F1F1F1" w:themeFill="background1" w:themeFillShade="F2"/>
            <w:vAlign w:val="center"/>
          </w:tcPr>
          <w:p w14:paraId="72FF39FD">
            <w:pPr>
              <w:spacing w:after="240"/>
              <w:jc w:val="center"/>
              <w:rPr>
                <w:rFonts w:cstheme="minorHAnsi"/>
                <w:sz w:val="18"/>
                <w:szCs w:val="18"/>
              </w:rPr>
            </w:pPr>
            <w:r>
              <w:rPr>
                <w:rFonts w:cstheme="minorHAnsi"/>
                <w:sz w:val="18"/>
                <w:szCs w:val="18"/>
              </w:rPr>
              <w:t>A</w:t>
            </w:r>
          </w:p>
        </w:tc>
        <w:tc>
          <w:tcPr>
            <w:tcW w:w="992" w:type="dxa"/>
            <w:shd w:val="clear" w:color="auto" w:fill="F1F1F1" w:themeFill="background1" w:themeFillShade="F2"/>
            <w:vAlign w:val="center"/>
          </w:tcPr>
          <w:p w14:paraId="44609885">
            <w:pPr>
              <w:spacing w:after="240"/>
              <w:jc w:val="center"/>
              <w:rPr>
                <w:rFonts w:cstheme="minorHAnsi"/>
                <w:sz w:val="18"/>
                <w:szCs w:val="18"/>
              </w:rPr>
            </w:pPr>
            <w:r>
              <w:rPr>
                <w:rFonts w:cstheme="minorHAnsi"/>
                <w:sz w:val="18"/>
                <w:szCs w:val="18"/>
              </w:rPr>
              <w:t>B</w:t>
            </w:r>
          </w:p>
        </w:tc>
        <w:tc>
          <w:tcPr>
            <w:tcW w:w="1134" w:type="dxa"/>
            <w:shd w:val="clear" w:color="auto" w:fill="F1F1F1" w:themeFill="background1" w:themeFillShade="F2"/>
            <w:vAlign w:val="center"/>
          </w:tcPr>
          <w:p w14:paraId="48C7F8AA">
            <w:pPr>
              <w:spacing w:after="240"/>
              <w:jc w:val="center"/>
              <w:rPr>
                <w:rFonts w:cstheme="minorHAnsi"/>
                <w:sz w:val="18"/>
                <w:szCs w:val="18"/>
              </w:rPr>
            </w:pPr>
            <w:r>
              <w:rPr>
                <w:rFonts w:cstheme="minorHAnsi"/>
                <w:sz w:val="18"/>
                <w:szCs w:val="18"/>
              </w:rPr>
              <w:t>C</w:t>
            </w:r>
          </w:p>
        </w:tc>
        <w:tc>
          <w:tcPr>
            <w:tcW w:w="2126" w:type="dxa"/>
            <w:shd w:val="clear" w:color="auto" w:fill="F1F1F1" w:themeFill="background1" w:themeFillShade="F2"/>
            <w:vAlign w:val="center"/>
          </w:tcPr>
          <w:p w14:paraId="3A9B5D23">
            <w:pPr>
              <w:spacing w:after="240"/>
              <w:jc w:val="center"/>
              <w:rPr>
                <w:rFonts w:cstheme="minorHAnsi"/>
                <w:sz w:val="18"/>
                <w:szCs w:val="18"/>
              </w:rPr>
            </w:pPr>
            <w:r>
              <w:rPr>
                <w:rFonts w:cstheme="minorHAnsi"/>
                <w:sz w:val="18"/>
                <w:szCs w:val="18"/>
              </w:rPr>
              <w:t>D（Inner diameter of gasket contact surface）</w:t>
            </w:r>
          </w:p>
        </w:tc>
        <w:tc>
          <w:tcPr>
            <w:tcW w:w="1075" w:type="dxa"/>
            <w:shd w:val="clear" w:color="auto" w:fill="F1F1F1" w:themeFill="background1" w:themeFillShade="F2"/>
            <w:vAlign w:val="center"/>
          </w:tcPr>
          <w:p w14:paraId="7550D736">
            <w:pPr>
              <w:spacing w:after="240"/>
              <w:jc w:val="center"/>
              <w:rPr>
                <w:rFonts w:cstheme="minorHAnsi"/>
                <w:sz w:val="18"/>
                <w:szCs w:val="18"/>
              </w:rPr>
            </w:pPr>
            <w:r>
              <w:rPr>
                <w:rFonts w:cstheme="minorHAnsi"/>
                <w:sz w:val="18"/>
                <w:szCs w:val="18"/>
              </w:rPr>
              <w:t>E</w:t>
            </w:r>
          </w:p>
        </w:tc>
        <w:tc>
          <w:tcPr>
            <w:tcW w:w="1218" w:type="dxa"/>
            <w:shd w:val="clear" w:color="auto" w:fill="F1F1F1" w:themeFill="background1" w:themeFillShade="F2"/>
            <w:vAlign w:val="center"/>
          </w:tcPr>
          <w:p w14:paraId="395D281B">
            <w:pPr>
              <w:spacing w:after="240"/>
              <w:jc w:val="center"/>
              <w:rPr>
                <w:rFonts w:cstheme="minorHAnsi"/>
                <w:sz w:val="18"/>
                <w:szCs w:val="18"/>
              </w:rPr>
            </w:pPr>
            <w:r>
              <w:rPr>
                <w:rFonts w:cstheme="minorHAnsi"/>
                <w:sz w:val="18"/>
                <w:szCs w:val="18"/>
              </w:rPr>
              <w:t>Number of bolts(n)</w:t>
            </w:r>
          </w:p>
        </w:tc>
        <w:tc>
          <w:tcPr>
            <w:tcW w:w="1218" w:type="dxa"/>
            <w:shd w:val="clear" w:color="auto" w:fill="F1F1F1" w:themeFill="background1" w:themeFillShade="F2"/>
            <w:vAlign w:val="center"/>
          </w:tcPr>
          <w:p w14:paraId="45D86674">
            <w:pPr>
              <w:spacing w:after="240"/>
              <w:jc w:val="center"/>
              <w:rPr>
                <w:rFonts w:cstheme="minorHAnsi"/>
                <w:sz w:val="18"/>
                <w:szCs w:val="18"/>
              </w:rPr>
            </w:pPr>
            <w:r>
              <w:rPr>
                <w:rFonts w:cstheme="minorHAnsi"/>
                <w:sz w:val="18"/>
                <w:szCs w:val="18"/>
              </w:rPr>
              <w:t>Diameter of bolt hole (d)</w:t>
            </w:r>
          </w:p>
        </w:tc>
      </w:tr>
      <w:tr w14:paraId="755E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28287CB5">
            <w:pPr>
              <w:spacing w:after="240"/>
              <w:jc w:val="center"/>
              <w:rPr>
                <w:rFonts w:cstheme="minorHAnsi"/>
                <w:sz w:val="18"/>
                <w:szCs w:val="18"/>
              </w:rPr>
            </w:pPr>
            <w:r>
              <w:rPr>
                <w:rFonts w:cstheme="minorHAnsi"/>
                <w:sz w:val="18"/>
                <w:szCs w:val="18"/>
              </w:rPr>
              <w:t>ANSI 150</w:t>
            </w:r>
          </w:p>
        </w:tc>
        <w:tc>
          <w:tcPr>
            <w:tcW w:w="763" w:type="dxa"/>
            <w:vAlign w:val="center"/>
          </w:tcPr>
          <w:p w14:paraId="3444FC61">
            <w:pPr>
              <w:spacing w:after="240"/>
              <w:jc w:val="center"/>
              <w:rPr>
                <w:rFonts w:cstheme="minorHAnsi"/>
                <w:sz w:val="18"/>
                <w:szCs w:val="18"/>
              </w:rPr>
            </w:pPr>
            <w:r>
              <w:rPr>
                <w:rFonts w:cstheme="minorHAnsi"/>
                <w:sz w:val="18"/>
                <w:szCs w:val="18"/>
              </w:rPr>
              <w:t>230</w:t>
            </w:r>
          </w:p>
        </w:tc>
        <w:tc>
          <w:tcPr>
            <w:tcW w:w="992" w:type="dxa"/>
            <w:vAlign w:val="center"/>
          </w:tcPr>
          <w:p w14:paraId="5592D9CC">
            <w:pPr>
              <w:spacing w:after="240"/>
              <w:jc w:val="center"/>
              <w:rPr>
                <w:rFonts w:cstheme="minorHAnsi"/>
                <w:sz w:val="18"/>
                <w:szCs w:val="18"/>
              </w:rPr>
            </w:pPr>
            <w:r>
              <w:rPr>
                <w:rFonts w:cstheme="minorHAnsi"/>
                <w:sz w:val="18"/>
                <w:szCs w:val="18"/>
              </w:rPr>
              <w:t>190.5</w:t>
            </w:r>
          </w:p>
        </w:tc>
        <w:tc>
          <w:tcPr>
            <w:tcW w:w="1134" w:type="dxa"/>
            <w:vAlign w:val="center"/>
          </w:tcPr>
          <w:p w14:paraId="7DBA48AA">
            <w:pPr>
              <w:spacing w:after="240"/>
              <w:jc w:val="center"/>
              <w:rPr>
                <w:rFonts w:cstheme="minorHAnsi"/>
                <w:sz w:val="18"/>
                <w:szCs w:val="18"/>
              </w:rPr>
            </w:pPr>
            <w:r>
              <w:rPr>
                <w:rFonts w:cstheme="minorHAnsi"/>
                <w:sz w:val="18"/>
                <w:szCs w:val="18"/>
              </w:rPr>
              <w:t>157.2</w:t>
            </w:r>
          </w:p>
        </w:tc>
        <w:tc>
          <w:tcPr>
            <w:tcW w:w="2126" w:type="dxa"/>
            <w:vAlign w:val="center"/>
          </w:tcPr>
          <w:p w14:paraId="6E828EA0">
            <w:pPr>
              <w:spacing w:after="240"/>
              <w:jc w:val="center"/>
              <w:rPr>
                <w:rFonts w:cstheme="minorHAnsi"/>
                <w:sz w:val="18"/>
                <w:szCs w:val="18"/>
              </w:rPr>
            </w:pPr>
            <w:r>
              <w:rPr>
                <w:rFonts w:cstheme="minorHAnsi"/>
                <w:sz w:val="18"/>
                <w:szCs w:val="18"/>
              </w:rPr>
              <w:t>115</w:t>
            </w:r>
          </w:p>
        </w:tc>
        <w:tc>
          <w:tcPr>
            <w:tcW w:w="1075" w:type="dxa"/>
            <w:vAlign w:val="center"/>
          </w:tcPr>
          <w:p w14:paraId="21A68D7B">
            <w:pPr>
              <w:spacing w:after="240"/>
              <w:jc w:val="center"/>
              <w:rPr>
                <w:rFonts w:cstheme="minorHAnsi"/>
                <w:sz w:val="18"/>
                <w:szCs w:val="18"/>
              </w:rPr>
            </w:pPr>
            <w:r>
              <w:rPr>
                <w:rFonts w:cstheme="minorHAnsi"/>
                <w:sz w:val="18"/>
                <w:szCs w:val="18"/>
              </w:rPr>
              <w:t>22.3</w:t>
            </w:r>
          </w:p>
        </w:tc>
        <w:tc>
          <w:tcPr>
            <w:tcW w:w="1218" w:type="dxa"/>
            <w:vAlign w:val="center"/>
          </w:tcPr>
          <w:p w14:paraId="0D8E7D2E">
            <w:pPr>
              <w:spacing w:after="240"/>
              <w:jc w:val="center"/>
              <w:rPr>
                <w:rFonts w:cstheme="minorHAnsi"/>
                <w:sz w:val="18"/>
                <w:szCs w:val="18"/>
              </w:rPr>
            </w:pPr>
            <w:r>
              <w:rPr>
                <w:rFonts w:cstheme="minorHAnsi"/>
                <w:sz w:val="18"/>
                <w:szCs w:val="18"/>
              </w:rPr>
              <w:t>8</w:t>
            </w:r>
          </w:p>
        </w:tc>
        <w:tc>
          <w:tcPr>
            <w:tcW w:w="1218" w:type="dxa"/>
            <w:vAlign w:val="center"/>
          </w:tcPr>
          <w:p w14:paraId="2E650ADB">
            <w:pPr>
              <w:spacing w:after="240"/>
              <w:jc w:val="center"/>
              <w:rPr>
                <w:rFonts w:cstheme="minorHAnsi"/>
                <w:sz w:val="18"/>
                <w:szCs w:val="18"/>
              </w:rPr>
            </w:pPr>
            <w:r>
              <w:rPr>
                <w:rFonts w:cstheme="minorHAnsi"/>
                <w:sz w:val="18"/>
                <w:szCs w:val="18"/>
              </w:rPr>
              <w:t>18</w:t>
            </w:r>
          </w:p>
        </w:tc>
      </w:tr>
      <w:tr w14:paraId="1FB6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394E4775">
            <w:pPr>
              <w:spacing w:after="240"/>
              <w:jc w:val="center"/>
              <w:rPr>
                <w:rFonts w:cstheme="minorHAnsi"/>
                <w:sz w:val="18"/>
                <w:szCs w:val="18"/>
              </w:rPr>
            </w:pPr>
            <w:r>
              <w:rPr>
                <w:rFonts w:cstheme="minorHAnsi"/>
                <w:sz w:val="18"/>
                <w:szCs w:val="18"/>
              </w:rPr>
              <w:t>ANSI 300</w:t>
            </w:r>
          </w:p>
        </w:tc>
        <w:tc>
          <w:tcPr>
            <w:tcW w:w="763" w:type="dxa"/>
            <w:vAlign w:val="center"/>
          </w:tcPr>
          <w:p w14:paraId="0B182BD9">
            <w:pPr>
              <w:spacing w:after="240"/>
              <w:jc w:val="center"/>
              <w:rPr>
                <w:rFonts w:cstheme="minorHAnsi"/>
                <w:sz w:val="18"/>
                <w:szCs w:val="18"/>
              </w:rPr>
            </w:pPr>
            <w:r>
              <w:rPr>
                <w:rFonts w:cstheme="minorHAnsi"/>
                <w:sz w:val="18"/>
                <w:szCs w:val="18"/>
              </w:rPr>
              <w:t>255</w:t>
            </w:r>
          </w:p>
        </w:tc>
        <w:tc>
          <w:tcPr>
            <w:tcW w:w="992" w:type="dxa"/>
            <w:vAlign w:val="center"/>
          </w:tcPr>
          <w:p w14:paraId="3956DD3A">
            <w:pPr>
              <w:spacing w:after="240"/>
              <w:jc w:val="center"/>
              <w:rPr>
                <w:rFonts w:cstheme="minorHAnsi"/>
                <w:sz w:val="18"/>
                <w:szCs w:val="18"/>
              </w:rPr>
            </w:pPr>
            <w:r>
              <w:rPr>
                <w:rFonts w:cstheme="minorHAnsi"/>
                <w:sz w:val="18"/>
                <w:szCs w:val="18"/>
              </w:rPr>
              <w:t>200</w:t>
            </w:r>
          </w:p>
        </w:tc>
        <w:tc>
          <w:tcPr>
            <w:tcW w:w="1134" w:type="dxa"/>
            <w:vAlign w:val="center"/>
          </w:tcPr>
          <w:p w14:paraId="5471D927">
            <w:pPr>
              <w:spacing w:after="240"/>
              <w:jc w:val="center"/>
              <w:rPr>
                <w:rFonts w:cstheme="minorHAnsi"/>
                <w:sz w:val="18"/>
                <w:szCs w:val="18"/>
              </w:rPr>
            </w:pPr>
            <w:r>
              <w:rPr>
                <w:rFonts w:cstheme="minorHAnsi"/>
                <w:sz w:val="18"/>
                <w:szCs w:val="18"/>
              </w:rPr>
              <w:t>157.2</w:t>
            </w:r>
          </w:p>
        </w:tc>
        <w:tc>
          <w:tcPr>
            <w:tcW w:w="2126" w:type="dxa"/>
            <w:vAlign w:val="center"/>
          </w:tcPr>
          <w:p w14:paraId="2EA49A44">
            <w:pPr>
              <w:spacing w:after="240"/>
              <w:jc w:val="center"/>
              <w:rPr>
                <w:rFonts w:cstheme="minorHAnsi"/>
                <w:sz w:val="18"/>
                <w:szCs w:val="18"/>
              </w:rPr>
            </w:pPr>
            <w:r>
              <w:rPr>
                <w:rFonts w:cstheme="minorHAnsi"/>
                <w:sz w:val="18"/>
                <w:szCs w:val="18"/>
              </w:rPr>
              <w:t>115</w:t>
            </w:r>
          </w:p>
        </w:tc>
        <w:tc>
          <w:tcPr>
            <w:tcW w:w="1075" w:type="dxa"/>
            <w:vAlign w:val="center"/>
          </w:tcPr>
          <w:p w14:paraId="7BBEE829">
            <w:pPr>
              <w:spacing w:after="240"/>
              <w:jc w:val="center"/>
              <w:rPr>
                <w:rFonts w:cstheme="minorHAnsi"/>
                <w:sz w:val="18"/>
                <w:szCs w:val="18"/>
              </w:rPr>
            </w:pPr>
            <w:r>
              <w:rPr>
                <w:rFonts w:cstheme="minorHAnsi"/>
                <w:sz w:val="18"/>
                <w:szCs w:val="18"/>
              </w:rPr>
              <w:t>30.2</w:t>
            </w:r>
          </w:p>
        </w:tc>
        <w:tc>
          <w:tcPr>
            <w:tcW w:w="1218" w:type="dxa"/>
            <w:vAlign w:val="center"/>
          </w:tcPr>
          <w:p w14:paraId="65DD5558">
            <w:pPr>
              <w:spacing w:after="240"/>
              <w:jc w:val="center"/>
              <w:rPr>
                <w:rFonts w:cstheme="minorHAnsi"/>
                <w:sz w:val="18"/>
                <w:szCs w:val="18"/>
              </w:rPr>
            </w:pPr>
            <w:r>
              <w:rPr>
                <w:rFonts w:cstheme="minorHAnsi"/>
                <w:sz w:val="18"/>
                <w:szCs w:val="18"/>
              </w:rPr>
              <w:t>8</w:t>
            </w:r>
          </w:p>
        </w:tc>
        <w:tc>
          <w:tcPr>
            <w:tcW w:w="1218" w:type="dxa"/>
            <w:vAlign w:val="center"/>
          </w:tcPr>
          <w:p w14:paraId="771FF2E6">
            <w:pPr>
              <w:spacing w:after="240"/>
              <w:jc w:val="center"/>
              <w:rPr>
                <w:rFonts w:cstheme="minorHAnsi"/>
                <w:sz w:val="18"/>
                <w:szCs w:val="18"/>
              </w:rPr>
            </w:pPr>
            <w:r>
              <w:rPr>
                <w:rFonts w:cstheme="minorHAnsi"/>
                <w:sz w:val="18"/>
                <w:szCs w:val="18"/>
              </w:rPr>
              <w:t>22</w:t>
            </w:r>
          </w:p>
        </w:tc>
      </w:tr>
      <w:tr w14:paraId="22E8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2F6468BE">
            <w:pPr>
              <w:spacing w:after="240"/>
              <w:jc w:val="center"/>
              <w:rPr>
                <w:rFonts w:cstheme="minorHAnsi"/>
                <w:sz w:val="18"/>
                <w:szCs w:val="18"/>
              </w:rPr>
            </w:pPr>
            <w:r>
              <w:rPr>
                <w:rFonts w:cstheme="minorHAnsi"/>
                <w:sz w:val="18"/>
                <w:szCs w:val="18"/>
              </w:rPr>
              <w:t>ANSI 600</w:t>
            </w:r>
          </w:p>
        </w:tc>
        <w:tc>
          <w:tcPr>
            <w:tcW w:w="763" w:type="dxa"/>
            <w:vAlign w:val="center"/>
          </w:tcPr>
          <w:p w14:paraId="3A131F49">
            <w:pPr>
              <w:spacing w:after="240"/>
              <w:jc w:val="center"/>
              <w:rPr>
                <w:rFonts w:cstheme="minorHAnsi"/>
                <w:sz w:val="18"/>
                <w:szCs w:val="18"/>
              </w:rPr>
            </w:pPr>
            <w:r>
              <w:rPr>
                <w:rFonts w:cstheme="minorHAnsi"/>
                <w:sz w:val="18"/>
                <w:szCs w:val="18"/>
              </w:rPr>
              <w:t>275</w:t>
            </w:r>
          </w:p>
        </w:tc>
        <w:tc>
          <w:tcPr>
            <w:tcW w:w="992" w:type="dxa"/>
            <w:vAlign w:val="center"/>
          </w:tcPr>
          <w:p w14:paraId="0AA3FA55">
            <w:pPr>
              <w:spacing w:after="240"/>
              <w:jc w:val="center"/>
              <w:rPr>
                <w:rFonts w:cstheme="minorHAnsi"/>
                <w:sz w:val="18"/>
                <w:szCs w:val="18"/>
              </w:rPr>
            </w:pPr>
            <w:r>
              <w:rPr>
                <w:rFonts w:cstheme="minorHAnsi"/>
                <w:sz w:val="18"/>
                <w:szCs w:val="18"/>
              </w:rPr>
              <w:t>215.9</w:t>
            </w:r>
          </w:p>
        </w:tc>
        <w:tc>
          <w:tcPr>
            <w:tcW w:w="1134" w:type="dxa"/>
            <w:vAlign w:val="center"/>
          </w:tcPr>
          <w:p w14:paraId="4FC734F1">
            <w:pPr>
              <w:spacing w:after="240"/>
              <w:jc w:val="center"/>
              <w:rPr>
                <w:rFonts w:cstheme="minorHAnsi"/>
                <w:sz w:val="18"/>
                <w:szCs w:val="18"/>
              </w:rPr>
            </w:pPr>
            <w:r>
              <w:rPr>
                <w:rFonts w:cstheme="minorHAnsi"/>
                <w:sz w:val="18"/>
                <w:szCs w:val="18"/>
              </w:rPr>
              <w:t>157.2</w:t>
            </w:r>
          </w:p>
        </w:tc>
        <w:tc>
          <w:tcPr>
            <w:tcW w:w="2126" w:type="dxa"/>
            <w:vAlign w:val="center"/>
          </w:tcPr>
          <w:p w14:paraId="2846E5E2">
            <w:pPr>
              <w:spacing w:after="240"/>
              <w:jc w:val="center"/>
              <w:rPr>
                <w:rFonts w:cstheme="minorHAnsi"/>
                <w:sz w:val="18"/>
                <w:szCs w:val="18"/>
              </w:rPr>
            </w:pPr>
            <w:r>
              <w:rPr>
                <w:rFonts w:cstheme="minorHAnsi"/>
                <w:sz w:val="18"/>
                <w:szCs w:val="18"/>
              </w:rPr>
              <w:t>115</w:t>
            </w:r>
          </w:p>
        </w:tc>
        <w:tc>
          <w:tcPr>
            <w:tcW w:w="1075" w:type="dxa"/>
            <w:vAlign w:val="center"/>
          </w:tcPr>
          <w:p w14:paraId="42EDCAE5">
            <w:pPr>
              <w:spacing w:after="240"/>
              <w:jc w:val="center"/>
              <w:rPr>
                <w:rFonts w:cstheme="minorHAnsi"/>
                <w:sz w:val="18"/>
                <w:szCs w:val="18"/>
              </w:rPr>
            </w:pPr>
            <w:r>
              <w:rPr>
                <w:rFonts w:cstheme="minorHAnsi"/>
                <w:sz w:val="18"/>
                <w:szCs w:val="18"/>
              </w:rPr>
              <w:t>38.1</w:t>
            </w:r>
          </w:p>
        </w:tc>
        <w:tc>
          <w:tcPr>
            <w:tcW w:w="1218" w:type="dxa"/>
            <w:vAlign w:val="center"/>
          </w:tcPr>
          <w:p w14:paraId="378D8B15">
            <w:pPr>
              <w:spacing w:after="240"/>
              <w:jc w:val="center"/>
              <w:rPr>
                <w:rFonts w:cstheme="minorHAnsi"/>
                <w:sz w:val="18"/>
                <w:szCs w:val="18"/>
              </w:rPr>
            </w:pPr>
            <w:r>
              <w:rPr>
                <w:rFonts w:cstheme="minorHAnsi"/>
                <w:sz w:val="18"/>
                <w:szCs w:val="18"/>
              </w:rPr>
              <w:t>8</w:t>
            </w:r>
          </w:p>
        </w:tc>
        <w:tc>
          <w:tcPr>
            <w:tcW w:w="1218" w:type="dxa"/>
            <w:vAlign w:val="center"/>
          </w:tcPr>
          <w:p w14:paraId="4C1D80F1">
            <w:pPr>
              <w:spacing w:after="240"/>
              <w:jc w:val="center"/>
              <w:rPr>
                <w:rFonts w:cstheme="minorHAnsi"/>
                <w:sz w:val="18"/>
                <w:szCs w:val="18"/>
              </w:rPr>
            </w:pPr>
            <w:r>
              <w:rPr>
                <w:rFonts w:cstheme="minorHAnsi"/>
                <w:sz w:val="18"/>
                <w:szCs w:val="18"/>
              </w:rPr>
              <w:t>26</w:t>
            </w:r>
          </w:p>
        </w:tc>
      </w:tr>
      <w:tr w14:paraId="00A6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49F7177C">
            <w:pPr>
              <w:spacing w:after="240"/>
              <w:jc w:val="center"/>
              <w:rPr>
                <w:rFonts w:cstheme="minorHAnsi"/>
                <w:sz w:val="18"/>
                <w:szCs w:val="18"/>
              </w:rPr>
            </w:pPr>
            <w:r>
              <w:rPr>
                <w:rFonts w:cstheme="minorHAnsi"/>
                <w:sz w:val="18"/>
                <w:szCs w:val="18"/>
              </w:rPr>
              <w:t>DIN PN 10/16</w:t>
            </w:r>
          </w:p>
        </w:tc>
        <w:tc>
          <w:tcPr>
            <w:tcW w:w="763" w:type="dxa"/>
            <w:vAlign w:val="center"/>
          </w:tcPr>
          <w:p w14:paraId="274CCAA3">
            <w:pPr>
              <w:spacing w:after="240"/>
              <w:jc w:val="center"/>
              <w:rPr>
                <w:rFonts w:cstheme="minorHAnsi"/>
                <w:sz w:val="18"/>
                <w:szCs w:val="18"/>
              </w:rPr>
            </w:pPr>
            <w:r>
              <w:rPr>
                <w:rFonts w:cstheme="minorHAnsi"/>
                <w:sz w:val="18"/>
                <w:szCs w:val="18"/>
              </w:rPr>
              <w:t>220</w:t>
            </w:r>
          </w:p>
        </w:tc>
        <w:tc>
          <w:tcPr>
            <w:tcW w:w="992" w:type="dxa"/>
            <w:vAlign w:val="center"/>
          </w:tcPr>
          <w:p w14:paraId="480699D8">
            <w:pPr>
              <w:spacing w:after="240"/>
              <w:jc w:val="center"/>
              <w:rPr>
                <w:rFonts w:cstheme="minorHAnsi"/>
                <w:sz w:val="18"/>
                <w:szCs w:val="18"/>
              </w:rPr>
            </w:pPr>
            <w:r>
              <w:rPr>
                <w:rFonts w:cstheme="minorHAnsi"/>
                <w:sz w:val="18"/>
                <w:szCs w:val="18"/>
              </w:rPr>
              <w:t>180</w:t>
            </w:r>
          </w:p>
        </w:tc>
        <w:tc>
          <w:tcPr>
            <w:tcW w:w="1134" w:type="dxa"/>
            <w:vAlign w:val="center"/>
          </w:tcPr>
          <w:p w14:paraId="4048CA03">
            <w:pPr>
              <w:spacing w:after="240"/>
              <w:jc w:val="center"/>
              <w:rPr>
                <w:rFonts w:cstheme="minorHAnsi"/>
                <w:sz w:val="18"/>
                <w:szCs w:val="18"/>
              </w:rPr>
            </w:pPr>
            <w:r>
              <w:rPr>
                <w:rFonts w:cstheme="minorHAnsi"/>
                <w:sz w:val="18"/>
                <w:szCs w:val="18"/>
              </w:rPr>
              <w:t>158</w:t>
            </w:r>
          </w:p>
        </w:tc>
        <w:tc>
          <w:tcPr>
            <w:tcW w:w="2126" w:type="dxa"/>
            <w:vAlign w:val="center"/>
          </w:tcPr>
          <w:p w14:paraId="437AA710">
            <w:pPr>
              <w:spacing w:after="240"/>
              <w:jc w:val="center"/>
              <w:rPr>
                <w:rFonts w:cstheme="minorHAnsi"/>
                <w:sz w:val="18"/>
                <w:szCs w:val="18"/>
              </w:rPr>
            </w:pPr>
            <w:r>
              <w:rPr>
                <w:rFonts w:cstheme="minorHAnsi"/>
                <w:sz w:val="18"/>
                <w:szCs w:val="18"/>
              </w:rPr>
              <w:t>115</w:t>
            </w:r>
          </w:p>
        </w:tc>
        <w:tc>
          <w:tcPr>
            <w:tcW w:w="1075" w:type="dxa"/>
            <w:vAlign w:val="center"/>
          </w:tcPr>
          <w:p w14:paraId="5367DFB6">
            <w:pPr>
              <w:spacing w:after="240"/>
              <w:jc w:val="center"/>
              <w:rPr>
                <w:rFonts w:cstheme="minorHAnsi"/>
                <w:sz w:val="18"/>
                <w:szCs w:val="18"/>
              </w:rPr>
            </w:pPr>
            <w:r>
              <w:rPr>
                <w:rFonts w:cstheme="minorHAnsi"/>
                <w:sz w:val="18"/>
                <w:szCs w:val="18"/>
              </w:rPr>
              <w:t>18</w:t>
            </w:r>
          </w:p>
        </w:tc>
        <w:tc>
          <w:tcPr>
            <w:tcW w:w="1218" w:type="dxa"/>
            <w:vAlign w:val="center"/>
          </w:tcPr>
          <w:p w14:paraId="52FE2D38">
            <w:pPr>
              <w:spacing w:after="240"/>
              <w:jc w:val="center"/>
              <w:rPr>
                <w:rFonts w:cstheme="minorHAnsi"/>
                <w:sz w:val="18"/>
                <w:szCs w:val="18"/>
              </w:rPr>
            </w:pPr>
            <w:r>
              <w:rPr>
                <w:rFonts w:cstheme="minorHAnsi"/>
                <w:sz w:val="18"/>
                <w:szCs w:val="18"/>
              </w:rPr>
              <w:t>8</w:t>
            </w:r>
          </w:p>
        </w:tc>
        <w:tc>
          <w:tcPr>
            <w:tcW w:w="1218" w:type="dxa"/>
            <w:vAlign w:val="center"/>
          </w:tcPr>
          <w:p w14:paraId="7C19B0F4">
            <w:pPr>
              <w:spacing w:after="240"/>
              <w:jc w:val="center"/>
              <w:rPr>
                <w:rFonts w:cstheme="minorHAnsi"/>
                <w:sz w:val="18"/>
                <w:szCs w:val="18"/>
              </w:rPr>
            </w:pPr>
            <w:r>
              <w:rPr>
                <w:rFonts w:cstheme="minorHAnsi"/>
                <w:sz w:val="18"/>
                <w:szCs w:val="18"/>
              </w:rPr>
              <w:t>18</w:t>
            </w:r>
          </w:p>
        </w:tc>
      </w:tr>
      <w:tr w14:paraId="01CF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10393E51">
            <w:pPr>
              <w:spacing w:after="240"/>
              <w:jc w:val="center"/>
              <w:rPr>
                <w:rFonts w:cstheme="minorHAnsi"/>
                <w:sz w:val="18"/>
                <w:szCs w:val="18"/>
              </w:rPr>
            </w:pPr>
            <w:r>
              <w:rPr>
                <w:rFonts w:cstheme="minorHAnsi"/>
                <w:sz w:val="18"/>
                <w:szCs w:val="18"/>
              </w:rPr>
              <w:t>DIN PN 25/40</w:t>
            </w:r>
          </w:p>
        </w:tc>
        <w:tc>
          <w:tcPr>
            <w:tcW w:w="763" w:type="dxa"/>
            <w:vAlign w:val="center"/>
          </w:tcPr>
          <w:p w14:paraId="7F186D02">
            <w:pPr>
              <w:spacing w:after="240"/>
              <w:jc w:val="center"/>
              <w:rPr>
                <w:rFonts w:cstheme="minorHAnsi"/>
                <w:sz w:val="18"/>
                <w:szCs w:val="18"/>
              </w:rPr>
            </w:pPr>
            <w:r>
              <w:rPr>
                <w:rFonts w:cstheme="minorHAnsi"/>
                <w:sz w:val="18"/>
                <w:szCs w:val="18"/>
              </w:rPr>
              <w:t>235</w:t>
            </w:r>
          </w:p>
        </w:tc>
        <w:tc>
          <w:tcPr>
            <w:tcW w:w="992" w:type="dxa"/>
            <w:vAlign w:val="center"/>
          </w:tcPr>
          <w:p w14:paraId="671AEB49">
            <w:pPr>
              <w:spacing w:after="240"/>
              <w:jc w:val="center"/>
              <w:rPr>
                <w:rFonts w:cstheme="minorHAnsi"/>
                <w:sz w:val="18"/>
                <w:szCs w:val="18"/>
              </w:rPr>
            </w:pPr>
            <w:r>
              <w:rPr>
                <w:rFonts w:cstheme="minorHAnsi"/>
                <w:sz w:val="18"/>
                <w:szCs w:val="18"/>
              </w:rPr>
              <w:t>190</w:t>
            </w:r>
          </w:p>
        </w:tc>
        <w:tc>
          <w:tcPr>
            <w:tcW w:w="1134" w:type="dxa"/>
            <w:vAlign w:val="center"/>
          </w:tcPr>
          <w:p w14:paraId="0EC13400">
            <w:pPr>
              <w:spacing w:after="240"/>
              <w:jc w:val="center"/>
              <w:rPr>
                <w:rFonts w:cstheme="minorHAnsi"/>
                <w:sz w:val="18"/>
                <w:szCs w:val="18"/>
              </w:rPr>
            </w:pPr>
            <w:r>
              <w:rPr>
                <w:rFonts w:cstheme="minorHAnsi"/>
                <w:sz w:val="18"/>
                <w:szCs w:val="18"/>
              </w:rPr>
              <w:t>162</w:t>
            </w:r>
          </w:p>
        </w:tc>
        <w:tc>
          <w:tcPr>
            <w:tcW w:w="2126" w:type="dxa"/>
            <w:vAlign w:val="center"/>
          </w:tcPr>
          <w:p w14:paraId="24F4ADBB">
            <w:pPr>
              <w:spacing w:after="240"/>
              <w:jc w:val="center"/>
              <w:rPr>
                <w:rFonts w:cstheme="minorHAnsi"/>
                <w:sz w:val="18"/>
                <w:szCs w:val="18"/>
              </w:rPr>
            </w:pPr>
            <w:r>
              <w:rPr>
                <w:rFonts w:cstheme="minorHAnsi"/>
                <w:sz w:val="18"/>
                <w:szCs w:val="18"/>
              </w:rPr>
              <w:t>115</w:t>
            </w:r>
          </w:p>
        </w:tc>
        <w:tc>
          <w:tcPr>
            <w:tcW w:w="1075" w:type="dxa"/>
            <w:vAlign w:val="center"/>
          </w:tcPr>
          <w:p w14:paraId="59B9AE95">
            <w:pPr>
              <w:spacing w:after="240"/>
              <w:jc w:val="center"/>
              <w:rPr>
                <w:rFonts w:cstheme="minorHAnsi"/>
                <w:sz w:val="18"/>
                <w:szCs w:val="18"/>
              </w:rPr>
            </w:pPr>
            <w:r>
              <w:rPr>
                <w:rFonts w:cstheme="minorHAnsi"/>
                <w:sz w:val="18"/>
                <w:szCs w:val="18"/>
              </w:rPr>
              <w:t>22</w:t>
            </w:r>
          </w:p>
        </w:tc>
        <w:tc>
          <w:tcPr>
            <w:tcW w:w="1218" w:type="dxa"/>
            <w:vAlign w:val="center"/>
          </w:tcPr>
          <w:p w14:paraId="436B6731">
            <w:pPr>
              <w:spacing w:after="240"/>
              <w:jc w:val="center"/>
              <w:rPr>
                <w:rFonts w:cstheme="minorHAnsi"/>
                <w:sz w:val="18"/>
                <w:szCs w:val="18"/>
              </w:rPr>
            </w:pPr>
            <w:r>
              <w:rPr>
                <w:rFonts w:cstheme="minorHAnsi"/>
                <w:sz w:val="18"/>
                <w:szCs w:val="18"/>
              </w:rPr>
              <w:t>8</w:t>
            </w:r>
          </w:p>
        </w:tc>
        <w:tc>
          <w:tcPr>
            <w:tcW w:w="1218" w:type="dxa"/>
            <w:vAlign w:val="center"/>
          </w:tcPr>
          <w:p w14:paraId="0A628D35">
            <w:pPr>
              <w:spacing w:after="240"/>
              <w:jc w:val="center"/>
              <w:rPr>
                <w:rFonts w:cstheme="minorHAnsi"/>
                <w:sz w:val="18"/>
                <w:szCs w:val="18"/>
              </w:rPr>
            </w:pPr>
            <w:r>
              <w:rPr>
                <w:rFonts w:cstheme="minorHAnsi"/>
                <w:sz w:val="18"/>
                <w:szCs w:val="18"/>
              </w:rPr>
              <w:t>22</w:t>
            </w:r>
          </w:p>
        </w:tc>
      </w:tr>
      <w:tr w14:paraId="05B6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2099682A">
            <w:pPr>
              <w:spacing w:after="240"/>
              <w:jc w:val="center"/>
              <w:rPr>
                <w:rFonts w:cstheme="minorHAnsi"/>
                <w:sz w:val="18"/>
                <w:szCs w:val="18"/>
              </w:rPr>
            </w:pPr>
            <w:r>
              <w:rPr>
                <w:rFonts w:cstheme="minorHAnsi"/>
                <w:sz w:val="18"/>
                <w:szCs w:val="18"/>
              </w:rPr>
              <w:t>DIN PN 64</w:t>
            </w:r>
          </w:p>
        </w:tc>
        <w:tc>
          <w:tcPr>
            <w:tcW w:w="763" w:type="dxa"/>
            <w:vAlign w:val="center"/>
          </w:tcPr>
          <w:p w14:paraId="383DE109">
            <w:pPr>
              <w:spacing w:after="240"/>
              <w:jc w:val="center"/>
              <w:rPr>
                <w:rFonts w:cstheme="minorHAnsi"/>
                <w:sz w:val="18"/>
                <w:szCs w:val="18"/>
              </w:rPr>
            </w:pPr>
            <w:r>
              <w:rPr>
                <w:rFonts w:cstheme="minorHAnsi"/>
                <w:sz w:val="18"/>
                <w:szCs w:val="18"/>
              </w:rPr>
              <w:t>250</w:t>
            </w:r>
          </w:p>
        </w:tc>
        <w:tc>
          <w:tcPr>
            <w:tcW w:w="992" w:type="dxa"/>
            <w:vAlign w:val="center"/>
          </w:tcPr>
          <w:p w14:paraId="38EEF594">
            <w:pPr>
              <w:spacing w:after="240"/>
              <w:jc w:val="center"/>
              <w:rPr>
                <w:rFonts w:cstheme="minorHAnsi"/>
                <w:sz w:val="18"/>
                <w:szCs w:val="18"/>
              </w:rPr>
            </w:pPr>
            <w:r>
              <w:rPr>
                <w:rFonts w:cstheme="minorHAnsi"/>
                <w:sz w:val="18"/>
                <w:szCs w:val="18"/>
              </w:rPr>
              <w:t>200</w:t>
            </w:r>
          </w:p>
        </w:tc>
        <w:tc>
          <w:tcPr>
            <w:tcW w:w="1134" w:type="dxa"/>
            <w:vAlign w:val="center"/>
          </w:tcPr>
          <w:p w14:paraId="42500A67">
            <w:pPr>
              <w:spacing w:after="240"/>
              <w:jc w:val="center"/>
              <w:rPr>
                <w:rFonts w:cstheme="minorHAnsi"/>
                <w:sz w:val="18"/>
                <w:szCs w:val="18"/>
              </w:rPr>
            </w:pPr>
            <w:r>
              <w:rPr>
                <w:rFonts w:cstheme="minorHAnsi"/>
                <w:sz w:val="18"/>
                <w:szCs w:val="18"/>
              </w:rPr>
              <w:t>162</w:t>
            </w:r>
          </w:p>
        </w:tc>
        <w:tc>
          <w:tcPr>
            <w:tcW w:w="2126" w:type="dxa"/>
            <w:vAlign w:val="center"/>
          </w:tcPr>
          <w:p w14:paraId="13ABF0E1">
            <w:pPr>
              <w:spacing w:after="240"/>
              <w:jc w:val="center"/>
              <w:rPr>
                <w:rFonts w:cstheme="minorHAnsi"/>
                <w:sz w:val="18"/>
                <w:szCs w:val="18"/>
              </w:rPr>
            </w:pPr>
            <w:r>
              <w:rPr>
                <w:rFonts w:cstheme="minorHAnsi"/>
                <w:sz w:val="18"/>
                <w:szCs w:val="18"/>
              </w:rPr>
              <w:t>115</w:t>
            </w:r>
          </w:p>
        </w:tc>
        <w:tc>
          <w:tcPr>
            <w:tcW w:w="1075" w:type="dxa"/>
            <w:vAlign w:val="center"/>
          </w:tcPr>
          <w:p w14:paraId="4644AAF3">
            <w:pPr>
              <w:spacing w:after="240"/>
              <w:jc w:val="center"/>
              <w:rPr>
                <w:rFonts w:cstheme="minorHAnsi"/>
                <w:sz w:val="18"/>
                <w:szCs w:val="18"/>
              </w:rPr>
            </w:pPr>
            <w:r>
              <w:rPr>
                <w:rFonts w:cstheme="minorHAnsi"/>
                <w:sz w:val="18"/>
                <w:szCs w:val="18"/>
              </w:rPr>
              <w:t>28</w:t>
            </w:r>
          </w:p>
        </w:tc>
        <w:tc>
          <w:tcPr>
            <w:tcW w:w="1218" w:type="dxa"/>
            <w:vAlign w:val="center"/>
          </w:tcPr>
          <w:p w14:paraId="535F037E">
            <w:pPr>
              <w:spacing w:after="240"/>
              <w:jc w:val="center"/>
              <w:rPr>
                <w:rFonts w:cstheme="minorHAnsi"/>
                <w:sz w:val="18"/>
                <w:szCs w:val="18"/>
              </w:rPr>
            </w:pPr>
            <w:r>
              <w:rPr>
                <w:rFonts w:cstheme="minorHAnsi"/>
                <w:sz w:val="18"/>
                <w:szCs w:val="18"/>
              </w:rPr>
              <w:t>8</w:t>
            </w:r>
          </w:p>
        </w:tc>
        <w:tc>
          <w:tcPr>
            <w:tcW w:w="1218" w:type="dxa"/>
            <w:vAlign w:val="center"/>
          </w:tcPr>
          <w:p w14:paraId="7F15E318">
            <w:pPr>
              <w:spacing w:after="240"/>
              <w:jc w:val="center"/>
              <w:rPr>
                <w:rFonts w:cstheme="minorHAnsi"/>
                <w:sz w:val="18"/>
                <w:szCs w:val="18"/>
              </w:rPr>
            </w:pPr>
            <w:r>
              <w:rPr>
                <w:rFonts w:cstheme="minorHAnsi"/>
                <w:sz w:val="18"/>
                <w:szCs w:val="18"/>
              </w:rPr>
              <w:t>26</w:t>
            </w:r>
          </w:p>
        </w:tc>
      </w:tr>
      <w:tr w14:paraId="5C93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vAlign w:val="center"/>
          </w:tcPr>
          <w:p w14:paraId="331AD33D">
            <w:pPr>
              <w:spacing w:after="240"/>
              <w:jc w:val="center"/>
              <w:rPr>
                <w:rFonts w:cstheme="minorHAnsi"/>
                <w:sz w:val="18"/>
                <w:szCs w:val="18"/>
              </w:rPr>
            </w:pPr>
            <w:r>
              <w:rPr>
                <w:rFonts w:cstheme="minorHAnsi"/>
                <w:sz w:val="18"/>
                <w:szCs w:val="18"/>
              </w:rPr>
              <w:t>DIN PN 100</w:t>
            </w:r>
          </w:p>
        </w:tc>
        <w:tc>
          <w:tcPr>
            <w:tcW w:w="763" w:type="dxa"/>
            <w:vAlign w:val="center"/>
          </w:tcPr>
          <w:p w14:paraId="2726AD05">
            <w:pPr>
              <w:spacing w:after="240"/>
              <w:jc w:val="center"/>
              <w:rPr>
                <w:rFonts w:cstheme="minorHAnsi"/>
                <w:sz w:val="18"/>
                <w:szCs w:val="18"/>
              </w:rPr>
            </w:pPr>
            <w:r>
              <w:rPr>
                <w:rFonts w:cstheme="minorHAnsi"/>
                <w:sz w:val="18"/>
                <w:szCs w:val="18"/>
              </w:rPr>
              <w:t>265</w:t>
            </w:r>
          </w:p>
        </w:tc>
        <w:tc>
          <w:tcPr>
            <w:tcW w:w="992" w:type="dxa"/>
            <w:vAlign w:val="center"/>
          </w:tcPr>
          <w:p w14:paraId="11C854D6">
            <w:pPr>
              <w:spacing w:after="240"/>
              <w:jc w:val="center"/>
              <w:rPr>
                <w:rFonts w:cstheme="minorHAnsi"/>
                <w:sz w:val="18"/>
                <w:szCs w:val="18"/>
              </w:rPr>
            </w:pPr>
            <w:r>
              <w:rPr>
                <w:rFonts w:cstheme="minorHAnsi"/>
                <w:sz w:val="18"/>
                <w:szCs w:val="18"/>
              </w:rPr>
              <w:t>210</w:t>
            </w:r>
          </w:p>
        </w:tc>
        <w:tc>
          <w:tcPr>
            <w:tcW w:w="1134" w:type="dxa"/>
            <w:vAlign w:val="center"/>
          </w:tcPr>
          <w:p w14:paraId="4D6B5C2D">
            <w:pPr>
              <w:spacing w:after="240"/>
              <w:jc w:val="center"/>
              <w:rPr>
                <w:rFonts w:cstheme="minorHAnsi"/>
                <w:sz w:val="18"/>
                <w:szCs w:val="18"/>
              </w:rPr>
            </w:pPr>
            <w:r>
              <w:rPr>
                <w:rFonts w:cstheme="minorHAnsi"/>
                <w:sz w:val="18"/>
                <w:szCs w:val="18"/>
              </w:rPr>
              <w:t>162</w:t>
            </w:r>
          </w:p>
        </w:tc>
        <w:tc>
          <w:tcPr>
            <w:tcW w:w="2126" w:type="dxa"/>
            <w:vAlign w:val="center"/>
          </w:tcPr>
          <w:p w14:paraId="2ABBFA4C">
            <w:pPr>
              <w:spacing w:after="240"/>
              <w:jc w:val="center"/>
              <w:rPr>
                <w:rFonts w:cstheme="minorHAnsi"/>
                <w:sz w:val="18"/>
                <w:szCs w:val="18"/>
              </w:rPr>
            </w:pPr>
            <w:r>
              <w:rPr>
                <w:rFonts w:cstheme="minorHAnsi"/>
                <w:sz w:val="18"/>
                <w:szCs w:val="18"/>
              </w:rPr>
              <w:t>115</w:t>
            </w:r>
          </w:p>
        </w:tc>
        <w:tc>
          <w:tcPr>
            <w:tcW w:w="1075" w:type="dxa"/>
            <w:vAlign w:val="center"/>
          </w:tcPr>
          <w:p w14:paraId="087E082F">
            <w:pPr>
              <w:spacing w:after="240"/>
              <w:jc w:val="center"/>
              <w:rPr>
                <w:rFonts w:cstheme="minorHAnsi"/>
                <w:sz w:val="18"/>
                <w:szCs w:val="18"/>
              </w:rPr>
            </w:pPr>
            <w:r>
              <w:rPr>
                <w:rFonts w:cstheme="minorHAnsi"/>
                <w:sz w:val="18"/>
                <w:szCs w:val="18"/>
              </w:rPr>
              <w:t>34</w:t>
            </w:r>
          </w:p>
        </w:tc>
        <w:tc>
          <w:tcPr>
            <w:tcW w:w="1218" w:type="dxa"/>
            <w:vAlign w:val="center"/>
          </w:tcPr>
          <w:p w14:paraId="660CACFE">
            <w:pPr>
              <w:spacing w:after="240"/>
              <w:jc w:val="center"/>
              <w:rPr>
                <w:rFonts w:cstheme="minorHAnsi"/>
                <w:sz w:val="18"/>
                <w:szCs w:val="18"/>
              </w:rPr>
            </w:pPr>
            <w:r>
              <w:rPr>
                <w:rFonts w:cstheme="minorHAnsi"/>
                <w:sz w:val="18"/>
                <w:szCs w:val="18"/>
              </w:rPr>
              <w:t>8</w:t>
            </w:r>
          </w:p>
        </w:tc>
        <w:tc>
          <w:tcPr>
            <w:tcW w:w="1218" w:type="dxa"/>
            <w:vAlign w:val="center"/>
          </w:tcPr>
          <w:p w14:paraId="0F5575C7">
            <w:pPr>
              <w:spacing w:after="240"/>
              <w:jc w:val="center"/>
              <w:rPr>
                <w:rFonts w:cstheme="minorHAnsi"/>
                <w:sz w:val="18"/>
                <w:szCs w:val="18"/>
              </w:rPr>
            </w:pPr>
            <w:r>
              <w:rPr>
                <w:rFonts w:cstheme="minorHAnsi"/>
                <w:sz w:val="18"/>
                <w:szCs w:val="18"/>
              </w:rPr>
              <w:t>30</w:t>
            </w:r>
          </w:p>
        </w:tc>
      </w:tr>
    </w:tbl>
    <w:p w14:paraId="1DBCB64E">
      <w:pPr>
        <w:spacing w:after="240"/>
        <w:rPr>
          <w:rFonts w:cstheme="minorHAnsi"/>
          <w:sz w:val="18"/>
          <w:szCs w:val="18"/>
        </w:rPr>
      </w:pPr>
    </w:p>
    <w:p w14:paraId="413D4585">
      <w:pPr>
        <w:spacing w:after="240"/>
        <w:rPr>
          <w:rFonts w:cstheme="minorHAnsi"/>
        </w:rPr>
        <w:sectPr>
          <w:pgSz w:w="11907" w:h="16840"/>
          <w:pgMar w:top="1554" w:right="1077" w:bottom="1134" w:left="1077" w:header="680" w:footer="680" w:gutter="0"/>
          <w:cols w:space="425" w:num="1"/>
          <w:docGrid w:linePitch="312" w:charSpace="48128"/>
        </w:sectPr>
      </w:pPr>
    </w:p>
    <w:p w14:paraId="1ADD3E99">
      <w:pPr>
        <w:pStyle w:val="44"/>
        <w:numPr>
          <w:ilvl w:val="0"/>
          <w:numId w:val="29"/>
        </w:numPr>
      </w:pPr>
      <w:bookmarkStart w:id="238" w:name="_Toc199429871"/>
      <w:bookmarkStart w:id="239" w:name="_Toc440269448"/>
      <w:r>
        <w:t>NCS-PT105IIM Intelligent Pressure Transmitter Selection</w:t>
      </w:r>
      <w:bookmarkEnd w:id="238"/>
    </w:p>
    <w:tbl>
      <w:tblPr>
        <w:tblStyle w:val="30"/>
        <w:tblW w:w="48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877"/>
        <w:gridCol w:w="349"/>
        <w:gridCol w:w="349"/>
        <w:gridCol w:w="378"/>
        <w:gridCol w:w="380"/>
        <w:gridCol w:w="378"/>
        <w:gridCol w:w="382"/>
        <w:gridCol w:w="665"/>
        <w:gridCol w:w="727"/>
        <w:gridCol w:w="1304"/>
        <w:gridCol w:w="985"/>
        <w:gridCol w:w="439"/>
        <w:gridCol w:w="1660"/>
      </w:tblGrid>
      <w:tr w14:paraId="178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898" w:type="pct"/>
            <w:gridSpan w:val="2"/>
            <w:tcBorders>
              <w:top w:val="single" w:color="auto" w:sz="4" w:space="0"/>
              <w:left w:val="single" w:color="auto" w:sz="4" w:space="0"/>
              <w:bottom w:val="single" w:color="auto" w:sz="4" w:space="0"/>
              <w:right w:val="single" w:color="auto" w:sz="4" w:space="0"/>
            </w:tcBorders>
            <w:shd w:val="clear" w:color="auto" w:fill="F2F2F2"/>
          </w:tcPr>
          <w:p w14:paraId="29C979F2">
            <w:pPr>
              <w:spacing w:after="240"/>
              <w:jc w:val="center"/>
              <w:rPr>
                <w:rFonts w:cstheme="minorHAnsi"/>
                <w:sz w:val="18"/>
                <w:szCs w:val="18"/>
              </w:rPr>
            </w:pPr>
            <w:r>
              <w:rPr>
                <w:rFonts w:cstheme="minorHAnsi"/>
                <w:sz w:val="18"/>
                <w:szCs w:val="18"/>
              </w:rPr>
              <w:t xml:space="preserve">Model </w:t>
            </w:r>
          </w:p>
        </w:tc>
        <w:tc>
          <w:tcPr>
            <w:tcW w:w="4102" w:type="pct"/>
            <w:gridSpan w:val="12"/>
            <w:tcBorders>
              <w:top w:val="single" w:color="auto" w:sz="4" w:space="0"/>
              <w:left w:val="single" w:color="auto" w:sz="4" w:space="0"/>
              <w:bottom w:val="single" w:color="auto" w:sz="4" w:space="0"/>
              <w:right w:val="single" w:color="auto" w:sz="4" w:space="0"/>
            </w:tcBorders>
            <w:shd w:val="clear" w:color="auto" w:fill="F2F2F2"/>
          </w:tcPr>
          <w:p w14:paraId="3157FC93">
            <w:pPr>
              <w:spacing w:after="240"/>
              <w:jc w:val="center"/>
              <w:rPr>
                <w:rFonts w:cstheme="minorHAnsi"/>
                <w:sz w:val="18"/>
                <w:szCs w:val="18"/>
              </w:rPr>
            </w:pPr>
            <w:r>
              <w:rPr>
                <w:rFonts w:cstheme="minorHAnsi"/>
                <w:sz w:val="18"/>
                <w:szCs w:val="18"/>
              </w:rPr>
              <w:t xml:space="preserve">Name </w:t>
            </w:r>
          </w:p>
        </w:tc>
      </w:tr>
      <w:tr w14:paraId="7F6E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898" w:type="pct"/>
            <w:gridSpan w:val="2"/>
            <w:tcBorders>
              <w:top w:val="single" w:color="auto" w:sz="4" w:space="0"/>
              <w:left w:val="single" w:color="auto" w:sz="4" w:space="0"/>
              <w:bottom w:val="single" w:color="auto" w:sz="4" w:space="0"/>
              <w:right w:val="single" w:color="auto" w:sz="4" w:space="0"/>
            </w:tcBorders>
            <w:shd w:val="clear" w:color="auto" w:fill="FFFFFF"/>
          </w:tcPr>
          <w:p w14:paraId="5B6853C5">
            <w:pPr>
              <w:spacing w:after="240" w:line="238" w:lineRule="exact"/>
              <w:jc w:val="center"/>
              <w:rPr>
                <w:rFonts w:ascii="Calibri" w:hAnsi="Calibri" w:cs="Calibri"/>
                <w:sz w:val="18"/>
                <w:szCs w:val="18"/>
              </w:rPr>
            </w:pPr>
            <w:r>
              <w:rPr>
                <w:rFonts w:ascii="Calibri" w:hAnsi="Calibri" w:cs="Calibri"/>
                <w:sz w:val="18"/>
                <w:szCs w:val="18"/>
              </w:rPr>
              <w:t>NCS-PT105IIMSG</w:t>
            </w:r>
          </w:p>
        </w:tc>
        <w:tc>
          <w:tcPr>
            <w:tcW w:w="4102" w:type="pct"/>
            <w:gridSpan w:val="12"/>
            <w:tcBorders>
              <w:top w:val="single" w:color="auto" w:sz="4" w:space="0"/>
              <w:left w:val="single" w:color="auto" w:sz="4" w:space="0"/>
              <w:bottom w:val="single" w:color="auto" w:sz="4" w:space="0"/>
              <w:right w:val="single" w:color="auto" w:sz="4" w:space="0"/>
            </w:tcBorders>
            <w:shd w:val="clear" w:color="auto" w:fill="FFFFFF"/>
          </w:tcPr>
          <w:p w14:paraId="4C62A55A">
            <w:pPr>
              <w:spacing w:after="240"/>
              <w:jc w:val="center"/>
              <w:rPr>
                <w:rFonts w:cstheme="minorHAnsi"/>
                <w:sz w:val="18"/>
                <w:szCs w:val="18"/>
              </w:rPr>
            </w:pPr>
            <w:r>
              <w:rPr>
                <w:rFonts w:cstheme="minorHAnsi"/>
                <w:sz w:val="18"/>
                <w:szCs w:val="18"/>
              </w:rPr>
              <w:t>Gauge pressure transmitter</w:t>
            </w:r>
          </w:p>
        </w:tc>
      </w:tr>
      <w:tr w14:paraId="1359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898" w:type="pct"/>
            <w:gridSpan w:val="2"/>
            <w:tcBorders>
              <w:top w:val="single" w:color="auto" w:sz="4" w:space="0"/>
              <w:left w:val="single" w:color="auto" w:sz="4" w:space="0"/>
              <w:bottom w:val="single" w:color="auto" w:sz="4" w:space="0"/>
              <w:right w:val="single" w:color="auto" w:sz="4" w:space="0"/>
            </w:tcBorders>
            <w:shd w:val="clear" w:color="auto" w:fill="FFFFFF"/>
          </w:tcPr>
          <w:p w14:paraId="439BB160">
            <w:pPr>
              <w:spacing w:after="240" w:line="238" w:lineRule="exact"/>
              <w:jc w:val="center"/>
              <w:rPr>
                <w:rFonts w:ascii="Calibri" w:hAnsi="Calibri" w:cs="Calibri"/>
                <w:sz w:val="18"/>
                <w:szCs w:val="18"/>
              </w:rPr>
            </w:pPr>
            <w:r>
              <w:rPr>
                <w:rFonts w:ascii="Calibri" w:hAnsi="Calibri" w:cs="Calibri"/>
                <w:sz w:val="18"/>
                <w:szCs w:val="18"/>
              </w:rPr>
              <w:t>NCS-PT105IIMSA</w:t>
            </w:r>
          </w:p>
        </w:tc>
        <w:tc>
          <w:tcPr>
            <w:tcW w:w="4102" w:type="pct"/>
            <w:gridSpan w:val="12"/>
            <w:tcBorders>
              <w:top w:val="single" w:color="auto" w:sz="4" w:space="0"/>
              <w:left w:val="single" w:color="auto" w:sz="4" w:space="0"/>
              <w:bottom w:val="single" w:color="auto" w:sz="4" w:space="0"/>
              <w:right w:val="single" w:color="auto" w:sz="4" w:space="0"/>
            </w:tcBorders>
            <w:shd w:val="clear" w:color="auto" w:fill="FFFFFF"/>
          </w:tcPr>
          <w:p w14:paraId="46F07F86">
            <w:pPr>
              <w:spacing w:after="240"/>
              <w:jc w:val="center"/>
              <w:rPr>
                <w:rFonts w:cstheme="minorHAnsi"/>
                <w:sz w:val="18"/>
                <w:szCs w:val="18"/>
              </w:rPr>
            </w:pPr>
            <w:r>
              <w:rPr>
                <w:rFonts w:cstheme="minorHAnsi"/>
                <w:sz w:val="18"/>
                <w:szCs w:val="18"/>
              </w:rPr>
              <w:t>Absolute pressure transmitter</w:t>
            </w:r>
          </w:p>
        </w:tc>
      </w:tr>
      <w:tr w14:paraId="070A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898" w:type="pct"/>
            <w:gridSpan w:val="2"/>
            <w:tcBorders>
              <w:top w:val="single" w:color="auto" w:sz="4" w:space="0"/>
              <w:left w:val="single" w:color="auto" w:sz="4" w:space="0"/>
              <w:bottom w:val="single" w:color="auto" w:sz="4" w:space="0"/>
              <w:right w:val="single" w:color="auto" w:sz="4" w:space="0"/>
            </w:tcBorders>
            <w:shd w:val="clear" w:color="auto" w:fill="FFFFFF"/>
          </w:tcPr>
          <w:p w14:paraId="5B7D876D">
            <w:pPr>
              <w:spacing w:after="240" w:line="238" w:lineRule="exact"/>
              <w:jc w:val="center"/>
              <w:rPr>
                <w:rFonts w:ascii="Calibri" w:hAnsi="Calibri" w:cs="Calibri"/>
                <w:sz w:val="18"/>
                <w:szCs w:val="18"/>
              </w:rPr>
            </w:pPr>
            <w:r>
              <w:rPr>
                <w:rFonts w:ascii="Calibri" w:hAnsi="Calibri" w:cs="Calibri"/>
                <w:sz w:val="18"/>
                <w:szCs w:val="18"/>
              </w:rPr>
              <w:t>NCS-PT105IIMSD</w:t>
            </w:r>
          </w:p>
        </w:tc>
        <w:tc>
          <w:tcPr>
            <w:tcW w:w="4102" w:type="pct"/>
            <w:gridSpan w:val="12"/>
            <w:tcBorders>
              <w:top w:val="single" w:color="auto" w:sz="4" w:space="0"/>
              <w:left w:val="single" w:color="auto" w:sz="4" w:space="0"/>
              <w:bottom w:val="single" w:color="auto" w:sz="4" w:space="0"/>
              <w:right w:val="single" w:color="auto" w:sz="4" w:space="0"/>
            </w:tcBorders>
            <w:shd w:val="clear" w:color="auto" w:fill="FFFFFF"/>
          </w:tcPr>
          <w:p w14:paraId="79C14898">
            <w:pPr>
              <w:spacing w:after="240"/>
              <w:jc w:val="center"/>
              <w:rPr>
                <w:rFonts w:cstheme="minorHAnsi"/>
                <w:sz w:val="18"/>
                <w:szCs w:val="18"/>
              </w:rPr>
            </w:pPr>
            <w:r>
              <w:rPr>
                <w:rFonts w:cstheme="minorHAnsi"/>
                <w:sz w:val="18"/>
                <w:szCs w:val="18"/>
              </w:rPr>
              <w:t>Differential pressure transmitter</w:t>
            </w:r>
          </w:p>
        </w:tc>
      </w:tr>
      <w:tr w14:paraId="1E9D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898" w:type="pct"/>
            <w:gridSpan w:val="2"/>
            <w:tcBorders>
              <w:top w:val="single" w:color="auto" w:sz="4" w:space="0"/>
              <w:left w:val="single" w:color="auto" w:sz="4" w:space="0"/>
              <w:bottom w:val="single" w:color="auto" w:sz="4" w:space="0"/>
              <w:right w:val="single" w:color="auto" w:sz="4" w:space="0"/>
            </w:tcBorders>
            <w:shd w:val="clear" w:color="auto" w:fill="FFFFFF"/>
          </w:tcPr>
          <w:p w14:paraId="4A3C4C39">
            <w:pPr>
              <w:spacing w:after="240" w:line="238" w:lineRule="exact"/>
              <w:jc w:val="center"/>
              <w:rPr>
                <w:rFonts w:ascii="Calibri" w:hAnsi="Calibri" w:cs="Calibri"/>
                <w:sz w:val="18"/>
                <w:szCs w:val="18"/>
              </w:rPr>
            </w:pPr>
            <w:r>
              <w:rPr>
                <w:rFonts w:ascii="Calibri" w:hAnsi="Calibri" w:cs="Calibri"/>
                <w:sz w:val="18"/>
                <w:szCs w:val="18"/>
              </w:rPr>
              <w:t>NCS-PT105II</w:t>
            </w:r>
            <w:r>
              <w:rPr>
                <w:rFonts w:hint="eastAsia" w:ascii="Calibri" w:hAnsi="Calibri" w:cs="Calibri"/>
                <w:sz w:val="18"/>
                <w:szCs w:val="18"/>
              </w:rPr>
              <w:t>M</w:t>
            </w:r>
            <w:r>
              <w:rPr>
                <w:rFonts w:ascii="Calibri" w:hAnsi="Calibri" w:cs="Calibri"/>
                <w:sz w:val="18"/>
                <w:szCs w:val="18"/>
              </w:rPr>
              <w:t>SH</w:t>
            </w:r>
          </w:p>
        </w:tc>
        <w:tc>
          <w:tcPr>
            <w:tcW w:w="4102" w:type="pct"/>
            <w:gridSpan w:val="12"/>
            <w:tcBorders>
              <w:top w:val="single" w:color="auto" w:sz="4" w:space="0"/>
              <w:left w:val="single" w:color="auto" w:sz="4" w:space="0"/>
              <w:bottom w:val="single" w:color="auto" w:sz="4" w:space="0"/>
              <w:right w:val="single" w:color="auto" w:sz="4" w:space="0"/>
            </w:tcBorders>
            <w:shd w:val="clear" w:color="auto" w:fill="FFFFFF"/>
          </w:tcPr>
          <w:p w14:paraId="0644F5FC">
            <w:pPr>
              <w:spacing w:after="240"/>
              <w:jc w:val="center"/>
              <w:rPr>
                <w:rFonts w:cstheme="minorHAnsi"/>
                <w:sz w:val="18"/>
                <w:szCs w:val="18"/>
              </w:rPr>
            </w:pPr>
            <w:r>
              <w:rPr>
                <w:rFonts w:cstheme="minorHAnsi"/>
                <w:sz w:val="18"/>
                <w:szCs w:val="18"/>
              </w:rPr>
              <w:t>High static pressure differential pressure transmitter</w:t>
            </w:r>
          </w:p>
        </w:tc>
      </w:tr>
      <w:tr w14:paraId="5167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restart"/>
            <w:tcBorders>
              <w:top w:val="single" w:color="auto" w:sz="4" w:space="0"/>
              <w:left w:val="nil"/>
              <w:bottom w:val="nil"/>
              <w:right w:val="single" w:color="auto" w:sz="4" w:space="0"/>
            </w:tcBorders>
          </w:tcPr>
          <w:p w14:paraId="1B150437">
            <w:pPr>
              <w:spacing w:after="240"/>
              <w:jc w:val="center"/>
              <w:rPr>
                <w:rFonts w:cstheme="minorHAnsi"/>
                <w:sz w:val="18"/>
                <w:szCs w:val="18"/>
                <w:lang w:val="pt-BR"/>
              </w:rPr>
            </w:pPr>
          </w:p>
        </w:tc>
        <w:tc>
          <w:tcPr>
            <w:tcW w:w="450" w:type="pct"/>
            <w:vMerge w:val="restart"/>
            <w:tcBorders>
              <w:top w:val="single" w:color="auto" w:sz="4" w:space="0"/>
              <w:left w:val="single" w:color="auto" w:sz="4" w:space="0"/>
              <w:right w:val="single" w:color="auto" w:sz="4" w:space="0"/>
            </w:tcBorders>
          </w:tcPr>
          <w:p w14:paraId="104F71BF">
            <w:pPr>
              <w:spacing w:after="240"/>
              <w:jc w:val="center"/>
              <w:rPr>
                <w:rFonts w:cstheme="minorHAnsi"/>
                <w:sz w:val="18"/>
                <w:szCs w:val="18"/>
                <w:lang w:val="pt-BR"/>
              </w:rPr>
            </w:pPr>
          </w:p>
        </w:tc>
        <w:tc>
          <w:tcPr>
            <w:tcW w:w="358" w:type="pct"/>
            <w:gridSpan w:val="2"/>
            <w:vMerge w:val="restart"/>
            <w:tcBorders>
              <w:top w:val="single" w:color="auto" w:sz="4" w:space="0"/>
              <w:left w:val="single" w:color="auto" w:sz="4" w:space="0"/>
              <w:bottom w:val="single" w:color="auto" w:sz="4" w:space="0"/>
              <w:right w:val="single" w:color="auto" w:sz="4" w:space="0"/>
            </w:tcBorders>
            <w:shd w:val="clear" w:color="auto" w:fill="F2F2F2"/>
          </w:tcPr>
          <w:p w14:paraId="52CB75F7">
            <w:pPr>
              <w:spacing w:after="240"/>
              <w:jc w:val="center"/>
              <w:rPr>
                <w:rFonts w:cstheme="minorHAnsi"/>
                <w:spacing w:val="-20"/>
                <w:sz w:val="18"/>
                <w:szCs w:val="18"/>
                <w:lang w:val="pt-BR"/>
              </w:rPr>
            </w:pPr>
            <w:r>
              <w:rPr>
                <w:rFonts w:cstheme="minorHAnsi"/>
                <w:sz w:val="18"/>
                <w:szCs w:val="18"/>
              </w:rPr>
              <w:t>Code</w:t>
            </w:r>
          </w:p>
        </w:tc>
        <w:tc>
          <w:tcPr>
            <w:tcW w:w="779" w:type="pct"/>
            <w:gridSpan w:val="4"/>
            <w:vMerge w:val="restart"/>
            <w:tcBorders>
              <w:top w:val="single" w:color="auto" w:sz="4" w:space="0"/>
              <w:left w:val="single" w:color="auto" w:sz="4" w:space="0"/>
              <w:bottom w:val="single" w:color="auto" w:sz="4" w:space="0"/>
              <w:right w:val="single" w:color="auto" w:sz="4" w:space="0"/>
            </w:tcBorders>
            <w:shd w:val="clear" w:color="auto" w:fill="F2F2F2"/>
          </w:tcPr>
          <w:p w14:paraId="62796CCE">
            <w:pPr>
              <w:spacing w:after="240"/>
              <w:jc w:val="center"/>
              <w:rPr>
                <w:rFonts w:cstheme="minorHAnsi"/>
                <w:sz w:val="18"/>
                <w:szCs w:val="18"/>
              </w:rPr>
            </w:pPr>
            <w:r>
              <w:rPr>
                <w:rFonts w:cstheme="minorHAnsi"/>
                <w:sz w:val="18"/>
                <w:szCs w:val="18"/>
              </w:rPr>
              <w:t xml:space="preserve">Range </w:t>
            </w:r>
          </w:p>
        </w:tc>
        <w:tc>
          <w:tcPr>
            <w:tcW w:w="2113" w:type="pct"/>
            <w:gridSpan w:val="5"/>
            <w:tcBorders>
              <w:top w:val="single" w:color="auto" w:sz="4" w:space="0"/>
              <w:left w:val="single" w:color="auto" w:sz="4" w:space="0"/>
              <w:bottom w:val="single" w:color="auto" w:sz="4" w:space="0"/>
              <w:right w:val="single" w:color="auto" w:sz="4" w:space="0"/>
            </w:tcBorders>
            <w:shd w:val="clear" w:color="auto" w:fill="F2F2F2"/>
          </w:tcPr>
          <w:p w14:paraId="67500023">
            <w:pPr>
              <w:spacing w:after="240"/>
              <w:jc w:val="center"/>
              <w:rPr>
                <w:rFonts w:cstheme="minorHAnsi"/>
                <w:sz w:val="18"/>
                <w:szCs w:val="18"/>
              </w:rPr>
            </w:pPr>
            <w:r>
              <w:rPr>
                <w:rFonts w:cstheme="minorHAnsi"/>
                <w:sz w:val="18"/>
                <w:szCs w:val="18"/>
              </w:rPr>
              <w:t xml:space="preserve">Lower range limit </w:t>
            </w:r>
          </w:p>
        </w:tc>
        <w:tc>
          <w:tcPr>
            <w:tcW w:w="851" w:type="pct"/>
            <w:vMerge w:val="restart"/>
            <w:tcBorders>
              <w:top w:val="single" w:color="auto" w:sz="4" w:space="0"/>
              <w:left w:val="single" w:color="auto" w:sz="4" w:space="0"/>
              <w:bottom w:val="single" w:color="auto" w:sz="4" w:space="0"/>
              <w:right w:val="single" w:color="auto" w:sz="4" w:space="0"/>
            </w:tcBorders>
            <w:shd w:val="clear" w:color="auto" w:fill="F2F2F2"/>
          </w:tcPr>
          <w:p w14:paraId="03222EBD">
            <w:pPr>
              <w:spacing w:after="240"/>
              <w:jc w:val="center"/>
              <w:rPr>
                <w:rFonts w:cstheme="minorHAnsi"/>
                <w:sz w:val="18"/>
                <w:szCs w:val="18"/>
              </w:rPr>
            </w:pPr>
            <w:r>
              <w:rPr>
                <w:rFonts w:cstheme="minorHAnsi"/>
                <w:sz w:val="18"/>
                <w:szCs w:val="18"/>
              </w:rPr>
              <w:t>Upper range</w:t>
            </w:r>
          </w:p>
        </w:tc>
      </w:tr>
      <w:tr w14:paraId="587E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11171A02">
            <w:pPr>
              <w:spacing w:after="240"/>
              <w:jc w:val="center"/>
              <w:rPr>
                <w:rFonts w:cstheme="minorHAnsi"/>
                <w:sz w:val="18"/>
                <w:szCs w:val="18"/>
                <w:lang w:val="pt-BR"/>
              </w:rPr>
            </w:pPr>
          </w:p>
        </w:tc>
        <w:tc>
          <w:tcPr>
            <w:tcW w:w="450" w:type="pct"/>
            <w:vMerge w:val="continue"/>
            <w:tcBorders>
              <w:left w:val="single" w:color="auto" w:sz="4" w:space="0"/>
              <w:right w:val="single" w:color="auto" w:sz="4" w:space="0"/>
            </w:tcBorders>
          </w:tcPr>
          <w:p w14:paraId="3E4D7965">
            <w:pPr>
              <w:spacing w:after="240"/>
              <w:jc w:val="center"/>
              <w:rPr>
                <w:rFonts w:cstheme="minorHAnsi"/>
                <w:sz w:val="18"/>
                <w:szCs w:val="18"/>
                <w:lang w:val="pt-BR"/>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BCEEF8"/>
          </w:tcPr>
          <w:p w14:paraId="3D36FA26">
            <w:pPr>
              <w:spacing w:after="240"/>
              <w:jc w:val="center"/>
              <w:rPr>
                <w:rFonts w:cstheme="minorHAnsi"/>
                <w:sz w:val="18"/>
                <w:szCs w:val="18"/>
                <w:lang w:val="pt-BR"/>
              </w:rPr>
            </w:pPr>
          </w:p>
        </w:tc>
        <w:tc>
          <w:tcPr>
            <w:tcW w:w="779" w:type="pct"/>
            <w:gridSpan w:val="4"/>
            <w:vMerge w:val="continue"/>
            <w:tcBorders>
              <w:top w:val="single" w:color="auto" w:sz="4" w:space="0"/>
              <w:left w:val="single" w:color="auto" w:sz="4" w:space="0"/>
              <w:bottom w:val="single" w:color="auto" w:sz="4" w:space="0"/>
              <w:right w:val="single" w:color="auto" w:sz="4" w:space="0"/>
            </w:tcBorders>
            <w:shd w:val="clear" w:color="auto" w:fill="BCEEF8"/>
          </w:tcPr>
          <w:p w14:paraId="01275136">
            <w:pPr>
              <w:spacing w:after="240"/>
              <w:jc w:val="center"/>
              <w:rPr>
                <w:rFonts w:cstheme="minorHAnsi"/>
                <w:sz w:val="18"/>
                <w:szCs w:val="18"/>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F2F2F2"/>
          </w:tcPr>
          <w:p w14:paraId="5C632A14">
            <w:pPr>
              <w:spacing w:after="240"/>
              <w:jc w:val="center"/>
              <w:rPr>
                <w:rFonts w:cstheme="minorHAnsi"/>
                <w:sz w:val="18"/>
                <w:szCs w:val="18"/>
              </w:rPr>
            </w:pPr>
            <w:r>
              <w:rPr>
                <w:rFonts w:cstheme="minorHAnsi"/>
                <w:sz w:val="18"/>
                <w:szCs w:val="18"/>
              </w:rPr>
              <w:t>SG</w:t>
            </w:r>
          </w:p>
        </w:tc>
        <w:tc>
          <w:tcPr>
            <w:tcW w:w="669" w:type="pct"/>
            <w:tcBorders>
              <w:top w:val="single" w:color="auto" w:sz="4" w:space="0"/>
              <w:left w:val="single" w:color="auto" w:sz="4" w:space="0"/>
              <w:bottom w:val="single" w:color="auto" w:sz="4" w:space="0"/>
              <w:right w:val="single" w:color="auto" w:sz="4" w:space="0"/>
            </w:tcBorders>
            <w:shd w:val="clear" w:color="auto" w:fill="F2F2F2"/>
          </w:tcPr>
          <w:p w14:paraId="63523A93">
            <w:pPr>
              <w:spacing w:after="240"/>
              <w:jc w:val="center"/>
              <w:rPr>
                <w:rFonts w:cstheme="minorHAnsi"/>
                <w:sz w:val="18"/>
                <w:szCs w:val="18"/>
              </w:rPr>
            </w:pPr>
            <w:r>
              <w:rPr>
                <w:rFonts w:cstheme="minorHAnsi"/>
                <w:sz w:val="18"/>
                <w:szCs w:val="18"/>
              </w:rPr>
              <w:t>SA</w:t>
            </w:r>
          </w:p>
        </w:tc>
        <w:tc>
          <w:tcPr>
            <w:tcW w:w="730" w:type="pct"/>
            <w:gridSpan w:val="2"/>
            <w:tcBorders>
              <w:top w:val="single" w:color="auto" w:sz="4" w:space="0"/>
              <w:left w:val="single" w:color="auto" w:sz="4" w:space="0"/>
              <w:bottom w:val="single" w:color="auto" w:sz="4" w:space="0"/>
              <w:right w:val="single" w:color="auto" w:sz="4" w:space="0"/>
            </w:tcBorders>
            <w:shd w:val="clear" w:color="auto" w:fill="F2F2F2"/>
          </w:tcPr>
          <w:p w14:paraId="649E01A0">
            <w:pPr>
              <w:spacing w:after="240"/>
              <w:jc w:val="center"/>
              <w:rPr>
                <w:rFonts w:cstheme="minorHAnsi"/>
                <w:sz w:val="18"/>
                <w:szCs w:val="18"/>
              </w:rPr>
            </w:pPr>
            <w:r>
              <w:rPr>
                <w:rFonts w:cstheme="minorHAnsi"/>
                <w:sz w:val="18"/>
                <w:szCs w:val="18"/>
              </w:rPr>
              <w:t>SD/SH</w:t>
            </w:r>
          </w:p>
        </w:tc>
        <w:tc>
          <w:tcPr>
            <w:tcW w:w="851" w:type="pct"/>
            <w:vMerge w:val="continue"/>
            <w:tcBorders>
              <w:top w:val="single" w:color="auto" w:sz="4" w:space="0"/>
              <w:left w:val="single" w:color="auto" w:sz="4" w:space="0"/>
              <w:bottom w:val="single" w:color="auto" w:sz="4" w:space="0"/>
              <w:right w:val="single" w:color="auto" w:sz="4" w:space="0"/>
            </w:tcBorders>
            <w:shd w:val="clear" w:color="auto" w:fill="BCEEF8"/>
          </w:tcPr>
          <w:p w14:paraId="1CB14A5E">
            <w:pPr>
              <w:spacing w:after="240"/>
              <w:jc w:val="center"/>
              <w:rPr>
                <w:rFonts w:cstheme="minorHAnsi"/>
                <w:sz w:val="18"/>
                <w:szCs w:val="18"/>
              </w:rPr>
            </w:pPr>
          </w:p>
        </w:tc>
      </w:tr>
      <w:tr w14:paraId="5F71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10A192BF">
            <w:pPr>
              <w:spacing w:after="240"/>
              <w:jc w:val="center"/>
              <w:rPr>
                <w:rFonts w:cstheme="minorHAnsi"/>
                <w:sz w:val="18"/>
                <w:szCs w:val="18"/>
                <w:lang w:val="pt-BR"/>
              </w:rPr>
            </w:pPr>
          </w:p>
        </w:tc>
        <w:tc>
          <w:tcPr>
            <w:tcW w:w="450" w:type="pct"/>
            <w:vMerge w:val="continue"/>
            <w:tcBorders>
              <w:left w:val="single" w:color="auto" w:sz="4" w:space="0"/>
              <w:right w:val="single" w:color="auto" w:sz="4" w:space="0"/>
            </w:tcBorders>
          </w:tcPr>
          <w:p w14:paraId="21875D2A">
            <w:pPr>
              <w:spacing w:after="240"/>
              <w:jc w:val="center"/>
              <w:rPr>
                <w:rFonts w:cstheme="minorHAnsi"/>
                <w:sz w:val="18"/>
                <w:szCs w:val="18"/>
                <w:lang w:val="pt-BR"/>
              </w:rPr>
            </w:pPr>
          </w:p>
        </w:tc>
        <w:tc>
          <w:tcPr>
            <w:tcW w:w="358" w:type="pct"/>
            <w:gridSpan w:val="2"/>
            <w:tcBorders>
              <w:top w:val="single" w:color="auto" w:sz="4" w:space="0"/>
              <w:left w:val="single" w:color="auto" w:sz="4" w:space="0"/>
              <w:bottom w:val="single" w:color="auto" w:sz="4" w:space="0"/>
              <w:right w:val="single" w:color="auto" w:sz="4" w:space="0"/>
            </w:tcBorders>
          </w:tcPr>
          <w:p w14:paraId="610DDB70">
            <w:pPr>
              <w:spacing w:after="240" w:line="238" w:lineRule="exact"/>
              <w:jc w:val="center"/>
              <w:rPr>
                <w:rFonts w:ascii="Calibri" w:hAnsi="Calibri" w:cs="Calibri"/>
                <w:sz w:val="18"/>
                <w:szCs w:val="18"/>
              </w:rPr>
            </w:pPr>
            <w:r>
              <w:rPr>
                <w:rFonts w:hint="eastAsia" w:ascii="Calibri" w:hAnsi="Calibri" w:cs="Calibri"/>
                <w:sz w:val="18"/>
                <w:szCs w:val="18"/>
              </w:rPr>
              <w:t>1</w:t>
            </w:r>
          </w:p>
        </w:tc>
        <w:tc>
          <w:tcPr>
            <w:tcW w:w="779" w:type="pct"/>
            <w:gridSpan w:val="4"/>
            <w:tcBorders>
              <w:top w:val="single" w:color="auto" w:sz="4" w:space="0"/>
              <w:left w:val="single" w:color="auto" w:sz="4" w:space="0"/>
              <w:bottom w:val="single" w:color="auto" w:sz="4" w:space="0"/>
              <w:right w:val="single" w:color="auto" w:sz="4" w:space="0"/>
            </w:tcBorders>
            <w:shd w:val="clear" w:color="auto" w:fill="auto"/>
          </w:tcPr>
          <w:p w14:paraId="6BA846F4">
            <w:pPr>
              <w:spacing w:after="240" w:line="238" w:lineRule="exact"/>
              <w:jc w:val="center"/>
              <w:rPr>
                <w:rFonts w:ascii="Calibri" w:hAnsi="Calibri" w:cs="Calibri"/>
                <w:sz w:val="18"/>
                <w:szCs w:val="18"/>
              </w:rPr>
            </w:pPr>
            <w:r>
              <w:rPr>
                <w:rFonts w:hint="eastAsia" w:ascii="Calibri" w:hAnsi="Calibri" w:cs="Calibri"/>
                <w:sz w:val="18"/>
                <w:szCs w:val="18"/>
              </w:rPr>
              <w:t>3Kpa</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tcPr>
          <w:p w14:paraId="31B6F4BB">
            <w:pPr>
              <w:spacing w:after="240" w:line="238" w:lineRule="exact"/>
              <w:jc w:val="center"/>
              <w:rPr>
                <w:rFonts w:ascii="Calibri" w:hAnsi="Calibri" w:cs="Calibri"/>
                <w:sz w:val="18"/>
                <w:szCs w:val="18"/>
              </w:rPr>
            </w:pPr>
            <w:r>
              <w:rPr>
                <w:rFonts w:hint="eastAsia" w:ascii="Calibri" w:hAnsi="Calibri" w:cs="Calibri"/>
                <w:sz w:val="18"/>
                <w:szCs w:val="18"/>
              </w:rPr>
              <w:t>-3Kpa</w:t>
            </w:r>
          </w:p>
        </w:tc>
        <w:tc>
          <w:tcPr>
            <w:tcW w:w="669" w:type="pct"/>
            <w:tcBorders>
              <w:top w:val="single" w:color="auto" w:sz="4" w:space="0"/>
              <w:left w:val="single" w:color="auto" w:sz="4" w:space="0"/>
              <w:bottom w:val="single" w:color="auto" w:sz="4" w:space="0"/>
              <w:right w:val="single" w:color="auto" w:sz="4" w:space="0"/>
            </w:tcBorders>
            <w:shd w:val="clear" w:color="auto" w:fill="auto"/>
          </w:tcPr>
          <w:p w14:paraId="52D76799">
            <w:pPr>
              <w:spacing w:after="240" w:line="238" w:lineRule="exact"/>
              <w:jc w:val="center"/>
              <w:rPr>
                <w:rFonts w:ascii="Calibri" w:hAnsi="Calibri" w:cs="Calibri"/>
                <w:sz w:val="18"/>
                <w:szCs w:val="18"/>
              </w:rPr>
            </w:pPr>
            <w:r>
              <w:rPr>
                <w:rFonts w:ascii="Calibri" w:hAnsi="Calibri" w:cs="Calibri"/>
                <w:sz w:val="18"/>
                <w:szCs w:val="18"/>
              </w:rPr>
              <w:t>No such range</w:t>
            </w:r>
          </w:p>
        </w:tc>
        <w:tc>
          <w:tcPr>
            <w:tcW w:w="730" w:type="pct"/>
            <w:gridSpan w:val="2"/>
            <w:tcBorders>
              <w:top w:val="single" w:color="auto" w:sz="4" w:space="0"/>
              <w:left w:val="single" w:color="auto" w:sz="4" w:space="0"/>
              <w:bottom w:val="single" w:color="auto" w:sz="4" w:space="0"/>
              <w:right w:val="single" w:color="auto" w:sz="4" w:space="0"/>
            </w:tcBorders>
            <w:shd w:val="clear" w:color="auto" w:fill="auto"/>
          </w:tcPr>
          <w:p w14:paraId="2CAE453B">
            <w:pPr>
              <w:spacing w:after="240" w:line="238" w:lineRule="exact"/>
              <w:jc w:val="center"/>
              <w:rPr>
                <w:rFonts w:ascii="Calibri" w:hAnsi="Calibri" w:cs="Calibri"/>
                <w:sz w:val="18"/>
                <w:szCs w:val="18"/>
              </w:rPr>
            </w:pPr>
            <w:r>
              <w:rPr>
                <w:rFonts w:hint="eastAsia" w:ascii="Calibri" w:hAnsi="Calibri" w:cs="Calibri"/>
                <w:sz w:val="18"/>
                <w:szCs w:val="18"/>
              </w:rPr>
              <w:t>-3Kpa</w:t>
            </w:r>
          </w:p>
        </w:tc>
        <w:tc>
          <w:tcPr>
            <w:tcW w:w="851" w:type="pct"/>
            <w:tcBorders>
              <w:top w:val="single" w:color="auto" w:sz="4" w:space="0"/>
              <w:left w:val="single" w:color="auto" w:sz="4" w:space="0"/>
              <w:bottom w:val="single" w:color="auto" w:sz="4" w:space="0"/>
              <w:right w:val="single" w:color="auto" w:sz="4" w:space="0"/>
            </w:tcBorders>
            <w:shd w:val="clear" w:color="auto" w:fill="auto"/>
          </w:tcPr>
          <w:p w14:paraId="34A2AA72">
            <w:pPr>
              <w:spacing w:after="240" w:line="238" w:lineRule="exact"/>
              <w:jc w:val="center"/>
              <w:rPr>
                <w:rFonts w:ascii="Calibri" w:hAnsi="Calibri" w:cs="Calibri"/>
                <w:sz w:val="18"/>
                <w:szCs w:val="18"/>
              </w:rPr>
            </w:pPr>
            <w:r>
              <w:rPr>
                <w:rFonts w:hint="eastAsia" w:ascii="Calibri" w:hAnsi="Calibri" w:cs="Calibri"/>
                <w:sz w:val="18"/>
                <w:szCs w:val="18"/>
              </w:rPr>
              <w:t>3Kpa</w:t>
            </w:r>
          </w:p>
        </w:tc>
      </w:tr>
      <w:tr w14:paraId="0BAA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27CF3A9B">
            <w:pPr>
              <w:spacing w:after="240"/>
              <w:jc w:val="center"/>
              <w:rPr>
                <w:rFonts w:cstheme="minorHAnsi"/>
                <w:sz w:val="18"/>
                <w:szCs w:val="18"/>
                <w:lang w:val="pt-BR"/>
              </w:rPr>
            </w:pPr>
          </w:p>
        </w:tc>
        <w:tc>
          <w:tcPr>
            <w:tcW w:w="450" w:type="pct"/>
            <w:vMerge w:val="continue"/>
            <w:tcBorders>
              <w:left w:val="single" w:color="auto" w:sz="4" w:space="0"/>
              <w:right w:val="single" w:color="auto" w:sz="4" w:space="0"/>
            </w:tcBorders>
          </w:tcPr>
          <w:p w14:paraId="5408167D">
            <w:pPr>
              <w:spacing w:after="240"/>
              <w:jc w:val="center"/>
              <w:rPr>
                <w:rFonts w:cstheme="minorHAnsi"/>
                <w:sz w:val="18"/>
                <w:szCs w:val="18"/>
                <w:lang w:val="pt-BR"/>
              </w:rPr>
            </w:pPr>
          </w:p>
        </w:tc>
        <w:tc>
          <w:tcPr>
            <w:tcW w:w="358" w:type="pct"/>
            <w:gridSpan w:val="2"/>
            <w:tcBorders>
              <w:top w:val="single" w:color="auto" w:sz="4" w:space="0"/>
              <w:left w:val="single" w:color="auto" w:sz="4" w:space="0"/>
              <w:bottom w:val="single" w:color="auto" w:sz="4" w:space="0"/>
              <w:right w:val="single" w:color="auto" w:sz="4" w:space="0"/>
            </w:tcBorders>
          </w:tcPr>
          <w:p w14:paraId="55538C81">
            <w:pPr>
              <w:spacing w:after="240" w:line="238" w:lineRule="exact"/>
              <w:jc w:val="center"/>
              <w:rPr>
                <w:rFonts w:ascii="Calibri" w:hAnsi="Calibri" w:cs="Calibri"/>
                <w:sz w:val="18"/>
                <w:szCs w:val="18"/>
              </w:rPr>
            </w:pPr>
            <w:r>
              <w:rPr>
                <w:rFonts w:ascii="Calibri" w:hAnsi="Calibri" w:cs="Calibri"/>
                <w:sz w:val="18"/>
                <w:szCs w:val="18"/>
              </w:rPr>
              <w:t>2</w:t>
            </w:r>
          </w:p>
        </w:tc>
        <w:tc>
          <w:tcPr>
            <w:tcW w:w="779" w:type="pct"/>
            <w:gridSpan w:val="4"/>
            <w:tcBorders>
              <w:top w:val="single" w:color="auto" w:sz="4" w:space="0"/>
              <w:left w:val="single" w:color="auto" w:sz="4" w:space="0"/>
              <w:bottom w:val="single" w:color="auto" w:sz="4" w:space="0"/>
              <w:right w:val="single" w:color="auto" w:sz="4" w:space="0"/>
            </w:tcBorders>
            <w:shd w:val="clear" w:color="auto" w:fill="auto"/>
          </w:tcPr>
          <w:p w14:paraId="01421B91">
            <w:pPr>
              <w:spacing w:after="240" w:line="238" w:lineRule="exact"/>
              <w:jc w:val="center"/>
              <w:rPr>
                <w:rFonts w:ascii="Calibri" w:hAnsi="Calibri" w:cs="Calibri"/>
                <w:sz w:val="18"/>
                <w:szCs w:val="18"/>
              </w:rPr>
            </w:pPr>
            <w:r>
              <w:rPr>
                <w:rFonts w:ascii="Calibri" w:hAnsi="Calibri" w:cs="Calibri"/>
                <w:sz w:val="18"/>
                <w:szCs w:val="18"/>
              </w:rPr>
              <w:t>6kPa</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tcPr>
          <w:p w14:paraId="60282FF6">
            <w:pPr>
              <w:spacing w:after="240" w:line="238" w:lineRule="exact"/>
              <w:jc w:val="center"/>
              <w:rPr>
                <w:rFonts w:ascii="Calibri" w:hAnsi="Calibri" w:cs="Calibri"/>
                <w:sz w:val="18"/>
                <w:szCs w:val="18"/>
              </w:rPr>
            </w:pPr>
            <w:r>
              <w:rPr>
                <w:rFonts w:ascii="Calibri" w:hAnsi="Calibri" w:cs="Calibri"/>
                <w:sz w:val="18"/>
                <w:szCs w:val="18"/>
              </w:rPr>
              <w:t>-6kPa</w:t>
            </w:r>
          </w:p>
        </w:tc>
        <w:tc>
          <w:tcPr>
            <w:tcW w:w="669" w:type="pct"/>
            <w:tcBorders>
              <w:top w:val="single" w:color="auto" w:sz="4" w:space="0"/>
              <w:left w:val="single" w:color="auto" w:sz="4" w:space="0"/>
              <w:bottom w:val="single" w:color="auto" w:sz="4" w:space="0"/>
              <w:right w:val="single" w:color="auto" w:sz="4" w:space="0"/>
            </w:tcBorders>
            <w:shd w:val="clear" w:color="auto" w:fill="auto"/>
          </w:tcPr>
          <w:p w14:paraId="00C4E99B">
            <w:pPr>
              <w:spacing w:after="240" w:line="238" w:lineRule="exact"/>
              <w:jc w:val="center"/>
              <w:rPr>
                <w:rFonts w:ascii="Calibri" w:hAnsi="Calibri" w:cs="Calibri"/>
                <w:sz w:val="18"/>
                <w:szCs w:val="18"/>
              </w:rPr>
            </w:pPr>
            <w:r>
              <w:rPr>
                <w:rFonts w:ascii="Calibri" w:hAnsi="Calibri" w:cs="Calibri"/>
                <w:sz w:val="18"/>
                <w:szCs w:val="18"/>
              </w:rPr>
              <w:t>No such range</w:t>
            </w:r>
          </w:p>
        </w:tc>
        <w:tc>
          <w:tcPr>
            <w:tcW w:w="730" w:type="pct"/>
            <w:gridSpan w:val="2"/>
            <w:tcBorders>
              <w:top w:val="single" w:color="auto" w:sz="4" w:space="0"/>
              <w:left w:val="single" w:color="auto" w:sz="4" w:space="0"/>
              <w:bottom w:val="single" w:color="auto" w:sz="4" w:space="0"/>
              <w:right w:val="single" w:color="auto" w:sz="4" w:space="0"/>
            </w:tcBorders>
            <w:shd w:val="clear" w:color="auto" w:fill="auto"/>
          </w:tcPr>
          <w:p w14:paraId="1D429A34">
            <w:pPr>
              <w:spacing w:after="240" w:line="238" w:lineRule="exact"/>
              <w:jc w:val="center"/>
              <w:rPr>
                <w:rFonts w:ascii="Calibri" w:hAnsi="Calibri" w:cs="Calibri"/>
                <w:sz w:val="18"/>
                <w:szCs w:val="18"/>
              </w:rPr>
            </w:pPr>
            <w:r>
              <w:rPr>
                <w:rFonts w:ascii="Calibri" w:hAnsi="Calibri" w:cs="Calibri"/>
                <w:sz w:val="18"/>
                <w:szCs w:val="18"/>
              </w:rPr>
              <w:t>-6Kpa</w:t>
            </w:r>
          </w:p>
        </w:tc>
        <w:tc>
          <w:tcPr>
            <w:tcW w:w="851" w:type="pct"/>
            <w:tcBorders>
              <w:top w:val="single" w:color="auto" w:sz="4" w:space="0"/>
              <w:left w:val="single" w:color="auto" w:sz="4" w:space="0"/>
              <w:bottom w:val="single" w:color="auto" w:sz="4" w:space="0"/>
              <w:right w:val="single" w:color="auto" w:sz="4" w:space="0"/>
            </w:tcBorders>
            <w:shd w:val="clear" w:color="auto" w:fill="auto"/>
          </w:tcPr>
          <w:p w14:paraId="1F228DE4">
            <w:pPr>
              <w:spacing w:after="240" w:line="238" w:lineRule="exact"/>
              <w:jc w:val="center"/>
              <w:rPr>
                <w:rFonts w:ascii="Calibri" w:hAnsi="Calibri" w:cs="Calibri"/>
                <w:sz w:val="18"/>
                <w:szCs w:val="18"/>
              </w:rPr>
            </w:pPr>
            <w:r>
              <w:rPr>
                <w:rFonts w:ascii="Calibri" w:hAnsi="Calibri" w:cs="Calibri"/>
                <w:sz w:val="18"/>
                <w:szCs w:val="18"/>
              </w:rPr>
              <w:t>6kPa</w:t>
            </w:r>
          </w:p>
        </w:tc>
      </w:tr>
      <w:tr w14:paraId="4E3E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1B0E61C0">
            <w:pPr>
              <w:spacing w:after="240"/>
              <w:jc w:val="center"/>
              <w:rPr>
                <w:rFonts w:cstheme="minorHAnsi"/>
                <w:sz w:val="18"/>
                <w:szCs w:val="18"/>
                <w:lang w:val="pt-BR"/>
              </w:rPr>
            </w:pPr>
          </w:p>
        </w:tc>
        <w:tc>
          <w:tcPr>
            <w:tcW w:w="450" w:type="pct"/>
            <w:vMerge w:val="continue"/>
            <w:tcBorders>
              <w:left w:val="single" w:color="auto" w:sz="4" w:space="0"/>
              <w:right w:val="single" w:color="auto" w:sz="4" w:space="0"/>
            </w:tcBorders>
          </w:tcPr>
          <w:p w14:paraId="11C8CB8C">
            <w:pPr>
              <w:spacing w:after="240"/>
              <w:jc w:val="center"/>
              <w:rPr>
                <w:rFonts w:cstheme="minorHAnsi"/>
                <w:sz w:val="18"/>
                <w:szCs w:val="18"/>
                <w:lang w:val="pt-BR"/>
              </w:rPr>
            </w:pPr>
          </w:p>
        </w:tc>
        <w:tc>
          <w:tcPr>
            <w:tcW w:w="358" w:type="pct"/>
            <w:gridSpan w:val="2"/>
            <w:tcBorders>
              <w:top w:val="single" w:color="auto" w:sz="4" w:space="0"/>
              <w:left w:val="single" w:color="auto" w:sz="4" w:space="0"/>
              <w:bottom w:val="single" w:color="auto" w:sz="4" w:space="0"/>
              <w:right w:val="single" w:color="auto" w:sz="4" w:space="0"/>
            </w:tcBorders>
          </w:tcPr>
          <w:p w14:paraId="5F356BF3">
            <w:pPr>
              <w:spacing w:after="240" w:line="238" w:lineRule="exact"/>
              <w:jc w:val="center"/>
              <w:rPr>
                <w:rFonts w:ascii="Calibri" w:hAnsi="Calibri" w:cs="Calibri"/>
                <w:sz w:val="18"/>
                <w:szCs w:val="18"/>
              </w:rPr>
            </w:pPr>
            <w:r>
              <w:rPr>
                <w:rFonts w:ascii="Calibri" w:hAnsi="Calibri" w:cs="Calibri"/>
                <w:sz w:val="18"/>
                <w:szCs w:val="18"/>
              </w:rPr>
              <w:t>3</w:t>
            </w:r>
          </w:p>
        </w:tc>
        <w:tc>
          <w:tcPr>
            <w:tcW w:w="779" w:type="pct"/>
            <w:gridSpan w:val="4"/>
            <w:tcBorders>
              <w:top w:val="single" w:color="auto" w:sz="4" w:space="0"/>
              <w:left w:val="single" w:color="auto" w:sz="4" w:space="0"/>
              <w:bottom w:val="single" w:color="auto" w:sz="4" w:space="0"/>
              <w:right w:val="single" w:color="auto" w:sz="4" w:space="0"/>
            </w:tcBorders>
            <w:shd w:val="clear" w:color="auto" w:fill="auto"/>
          </w:tcPr>
          <w:p w14:paraId="1F7B204F">
            <w:pPr>
              <w:spacing w:after="240" w:line="238" w:lineRule="exact"/>
              <w:jc w:val="center"/>
              <w:rPr>
                <w:rFonts w:ascii="Calibri" w:hAnsi="Calibri" w:cs="Calibri"/>
                <w:sz w:val="18"/>
                <w:szCs w:val="18"/>
              </w:rPr>
            </w:pPr>
            <w:r>
              <w:rPr>
                <w:rFonts w:ascii="Calibri" w:hAnsi="Calibri" w:cs="Calibri"/>
                <w:sz w:val="18"/>
                <w:szCs w:val="18"/>
              </w:rPr>
              <w:t>40kPa</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tcPr>
          <w:p w14:paraId="51933C62">
            <w:pPr>
              <w:spacing w:after="240" w:line="238" w:lineRule="exact"/>
              <w:jc w:val="center"/>
              <w:rPr>
                <w:rFonts w:ascii="Calibri" w:hAnsi="Calibri" w:cs="Calibri"/>
                <w:sz w:val="18"/>
                <w:szCs w:val="18"/>
              </w:rPr>
            </w:pPr>
            <w:r>
              <w:rPr>
                <w:rFonts w:ascii="Calibri" w:hAnsi="Calibri" w:cs="Calibri"/>
                <w:sz w:val="18"/>
                <w:szCs w:val="18"/>
              </w:rPr>
              <w:t>-40kPa</w:t>
            </w:r>
          </w:p>
        </w:tc>
        <w:tc>
          <w:tcPr>
            <w:tcW w:w="669" w:type="pct"/>
            <w:tcBorders>
              <w:top w:val="single" w:color="auto" w:sz="4" w:space="0"/>
              <w:left w:val="single" w:color="auto" w:sz="4" w:space="0"/>
              <w:bottom w:val="single" w:color="auto" w:sz="4" w:space="0"/>
              <w:right w:val="single" w:color="auto" w:sz="4" w:space="0"/>
            </w:tcBorders>
            <w:shd w:val="clear" w:color="auto" w:fill="auto"/>
          </w:tcPr>
          <w:p w14:paraId="18805299">
            <w:pPr>
              <w:spacing w:after="240" w:line="238" w:lineRule="exact"/>
              <w:jc w:val="center"/>
              <w:rPr>
                <w:rFonts w:ascii="Calibri" w:hAnsi="Calibri" w:cs="Calibri"/>
                <w:sz w:val="18"/>
                <w:szCs w:val="18"/>
              </w:rPr>
            </w:pPr>
            <w:r>
              <w:rPr>
                <w:rFonts w:ascii="Calibri" w:hAnsi="Calibri" w:cs="Calibri"/>
                <w:sz w:val="18"/>
                <w:szCs w:val="18"/>
              </w:rPr>
              <w:t>0kPa</w:t>
            </w:r>
          </w:p>
        </w:tc>
        <w:tc>
          <w:tcPr>
            <w:tcW w:w="730" w:type="pct"/>
            <w:gridSpan w:val="2"/>
            <w:tcBorders>
              <w:top w:val="single" w:color="auto" w:sz="4" w:space="0"/>
              <w:left w:val="single" w:color="auto" w:sz="4" w:space="0"/>
              <w:bottom w:val="single" w:color="auto" w:sz="4" w:space="0"/>
              <w:right w:val="single" w:color="auto" w:sz="4" w:space="0"/>
            </w:tcBorders>
            <w:shd w:val="clear" w:color="auto" w:fill="auto"/>
          </w:tcPr>
          <w:p w14:paraId="0DED66A4">
            <w:pPr>
              <w:spacing w:after="240" w:line="238" w:lineRule="exact"/>
              <w:jc w:val="center"/>
              <w:rPr>
                <w:rFonts w:ascii="Calibri" w:hAnsi="Calibri" w:cs="Calibri"/>
                <w:sz w:val="18"/>
                <w:szCs w:val="18"/>
              </w:rPr>
            </w:pPr>
            <w:r>
              <w:rPr>
                <w:rFonts w:ascii="Calibri" w:hAnsi="Calibri" w:cs="Calibri"/>
                <w:sz w:val="18"/>
                <w:szCs w:val="18"/>
              </w:rPr>
              <w:t>-40kPa</w:t>
            </w:r>
          </w:p>
        </w:tc>
        <w:tc>
          <w:tcPr>
            <w:tcW w:w="851" w:type="pct"/>
            <w:tcBorders>
              <w:top w:val="single" w:color="auto" w:sz="4" w:space="0"/>
              <w:left w:val="single" w:color="auto" w:sz="4" w:space="0"/>
              <w:bottom w:val="single" w:color="auto" w:sz="4" w:space="0"/>
              <w:right w:val="single" w:color="auto" w:sz="4" w:space="0"/>
            </w:tcBorders>
            <w:shd w:val="clear" w:color="auto" w:fill="auto"/>
          </w:tcPr>
          <w:p w14:paraId="678757C0">
            <w:pPr>
              <w:spacing w:after="240" w:line="238" w:lineRule="exact"/>
              <w:jc w:val="center"/>
              <w:rPr>
                <w:rFonts w:ascii="Calibri" w:hAnsi="Calibri" w:cs="Calibri"/>
                <w:sz w:val="18"/>
                <w:szCs w:val="18"/>
              </w:rPr>
            </w:pPr>
            <w:r>
              <w:rPr>
                <w:rFonts w:ascii="Calibri" w:hAnsi="Calibri" w:cs="Calibri"/>
                <w:sz w:val="18"/>
                <w:szCs w:val="18"/>
              </w:rPr>
              <w:t>40kPa</w:t>
            </w:r>
          </w:p>
        </w:tc>
      </w:tr>
      <w:tr w14:paraId="47A9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463A8EEE">
            <w:pPr>
              <w:spacing w:after="240"/>
              <w:jc w:val="center"/>
              <w:rPr>
                <w:rFonts w:cstheme="minorHAnsi"/>
                <w:sz w:val="18"/>
                <w:szCs w:val="18"/>
                <w:lang w:val="pt-BR"/>
              </w:rPr>
            </w:pPr>
          </w:p>
        </w:tc>
        <w:tc>
          <w:tcPr>
            <w:tcW w:w="450" w:type="pct"/>
            <w:vMerge w:val="continue"/>
            <w:tcBorders>
              <w:left w:val="single" w:color="auto" w:sz="4" w:space="0"/>
              <w:right w:val="single" w:color="auto" w:sz="4" w:space="0"/>
            </w:tcBorders>
          </w:tcPr>
          <w:p w14:paraId="4F8A1C2C">
            <w:pPr>
              <w:spacing w:after="240"/>
              <w:jc w:val="center"/>
              <w:rPr>
                <w:rFonts w:cstheme="minorHAnsi"/>
                <w:sz w:val="18"/>
                <w:szCs w:val="18"/>
                <w:lang w:val="pt-BR"/>
              </w:rPr>
            </w:pPr>
          </w:p>
        </w:tc>
        <w:tc>
          <w:tcPr>
            <w:tcW w:w="358" w:type="pct"/>
            <w:gridSpan w:val="2"/>
            <w:tcBorders>
              <w:top w:val="single" w:color="auto" w:sz="4" w:space="0"/>
              <w:left w:val="single" w:color="auto" w:sz="4" w:space="0"/>
              <w:bottom w:val="single" w:color="auto" w:sz="4" w:space="0"/>
              <w:right w:val="single" w:color="auto" w:sz="4" w:space="0"/>
            </w:tcBorders>
          </w:tcPr>
          <w:p w14:paraId="0067AA6A">
            <w:pPr>
              <w:spacing w:after="240" w:line="238" w:lineRule="exact"/>
              <w:jc w:val="center"/>
              <w:rPr>
                <w:rFonts w:ascii="Calibri" w:hAnsi="Calibri" w:cs="Calibri"/>
                <w:sz w:val="18"/>
                <w:szCs w:val="18"/>
              </w:rPr>
            </w:pPr>
            <w:r>
              <w:rPr>
                <w:rFonts w:ascii="Calibri" w:hAnsi="Calibri" w:cs="Calibri"/>
                <w:sz w:val="18"/>
                <w:szCs w:val="18"/>
              </w:rPr>
              <w:t>4</w:t>
            </w:r>
          </w:p>
        </w:tc>
        <w:tc>
          <w:tcPr>
            <w:tcW w:w="779" w:type="pct"/>
            <w:gridSpan w:val="4"/>
            <w:tcBorders>
              <w:top w:val="single" w:color="auto" w:sz="4" w:space="0"/>
              <w:left w:val="single" w:color="auto" w:sz="4" w:space="0"/>
              <w:bottom w:val="single" w:color="auto" w:sz="4" w:space="0"/>
              <w:right w:val="single" w:color="auto" w:sz="4" w:space="0"/>
            </w:tcBorders>
            <w:shd w:val="clear" w:color="auto" w:fill="auto"/>
          </w:tcPr>
          <w:p w14:paraId="24016399">
            <w:pPr>
              <w:spacing w:after="240" w:line="238" w:lineRule="exact"/>
              <w:jc w:val="center"/>
              <w:rPr>
                <w:rFonts w:ascii="Calibri" w:hAnsi="Calibri" w:cs="Calibri"/>
                <w:sz w:val="18"/>
                <w:szCs w:val="18"/>
              </w:rPr>
            </w:pPr>
            <w:r>
              <w:rPr>
                <w:rFonts w:ascii="Calibri" w:hAnsi="Calibri" w:cs="Calibri"/>
                <w:sz w:val="18"/>
                <w:szCs w:val="18"/>
              </w:rPr>
              <w:t>250kPa</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tcPr>
          <w:p w14:paraId="6456BC2C">
            <w:pPr>
              <w:spacing w:after="240" w:line="238" w:lineRule="exact"/>
              <w:jc w:val="center"/>
              <w:rPr>
                <w:rFonts w:ascii="Calibri" w:hAnsi="Calibri" w:cs="Calibri"/>
                <w:sz w:val="18"/>
                <w:szCs w:val="18"/>
              </w:rPr>
            </w:pPr>
            <w:r>
              <w:rPr>
                <w:rFonts w:ascii="Calibri" w:hAnsi="Calibri" w:cs="Calibri"/>
                <w:sz w:val="18"/>
                <w:szCs w:val="18"/>
              </w:rPr>
              <w:t>-100kPa</w:t>
            </w:r>
          </w:p>
        </w:tc>
        <w:tc>
          <w:tcPr>
            <w:tcW w:w="669" w:type="pct"/>
            <w:tcBorders>
              <w:top w:val="single" w:color="auto" w:sz="4" w:space="0"/>
              <w:left w:val="single" w:color="auto" w:sz="4" w:space="0"/>
              <w:bottom w:val="single" w:color="auto" w:sz="4" w:space="0"/>
              <w:right w:val="single" w:color="auto" w:sz="4" w:space="0"/>
            </w:tcBorders>
            <w:shd w:val="clear" w:color="auto" w:fill="auto"/>
          </w:tcPr>
          <w:p w14:paraId="6E7DD92B">
            <w:pPr>
              <w:spacing w:after="240" w:line="238" w:lineRule="exact"/>
              <w:jc w:val="center"/>
              <w:rPr>
                <w:rFonts w:ascii="Calibri" w:hAnsi="Calibri" w:cs="Calibri"/>
                <w:sz w:val="18"/>
                <w:szCs w:val="18"/>
              </w:rPr>
            </w:pPr>
            <w:r>
              <w:rPr>
                <w:rFonts w:ascii="Calibri" w:hAnsi="Calibri" w:cs="Calibri"/>
                <w:sz w:val="18"/>
                <w:szCs w:val="18"/>
              </w:rPr>
              <w:t>0kPa</w:t>
            </w:r>
          </w:p>
        </w:tc>
        <w:tc>
          <w:tcPr>
            <w:tcW w:w="730" w:type="pct"/>
            <w:gridSpan w:val="2"/>
            <w:tcBorders>
              <w:top w:val="single" w:color="auto" w:sz="4" w:space="0"/>
              <w:left w:val="single" w:color="auto" w:sz="4" w:space="0"/>
              <w:bottom w:val="single" w:color="auto" w:sz="4" w:space="0"/>
              <w:right w:val="single" w:color="auto" w:sz="4" w:space="0"/>
            </w:tcBorders>
            <w:shd w:val="clear" w:color="auto" w:fill="auto"/>
          </w:tcPr>
          <w:p w14:paraId="6D014A1E">
            <w:pPr>
              <w:spacing w:after="240" w:line="238" w:lineRule="exact"/>
              <w:jc w:val="center"/>
              <w:rPr>
                <w:rFonts w:ascii="Calibri" w:hAnsi="Calibri" w:cs="Calibri"/>
                <w:sz w:val="18"/>
                <w:szCs w:val="18"/>
              </w:rPr>
            </w:pPr>
            <w:r>
              <w:rPr>
                <w:rFonts w:ascii="Calibri" w:hAnsi="Calibri" w:cs="Calibri"/>
                <w:sz w:val="18"/>
                <w:szCs w:val="18"/>
              </w:rPr>
              <w:t>-250kPa</w:t>
            </w:r>
          </w:p>
        </w:tc>
        <w:tc>
          <w:tcPr>
            <w:tcW w:w="851" w:type="pct"/>
            <w:tcBorders>
              <w:top w:val="single" w:color="auto" w:sz="4" w:space="0"/>
              <w:left w:val="single" w:color="auto" w:sz="4" w:space="0"/>
              <w:bottom w:val="single" w:color="auto" w:sz="4" w:space="0"/>
              <w:right w:val="single" w:color="auto" w:sz="4" w:space="0"/>
            </w:tcBorders>
            <w:shd w:val="clear" w:color="auto" w:fill="auto"/>
          </w:tcPr>
          <w:p w14:paraId="658558B5">
            <w:pPr>
              <w:spacing w:after="240" w:line="238" w:lineRule="exact"/>
              <w:jc w:val="center"/>
              <w:rPr>
                <w:rFonts w:ascii="Calibri" w:hAnsi="Calibri" w:cs="Calibri"/>
                <w:sz w:val="18"/>
                <w:szCs w:val="18"/>
              </w:rPr>
            </w:pPr>
            <w:r>
              <w:rPr>
                <w:rFonts w:ascii="Calibri" w:hAnsi="Calibri" w:cs="Calibri"/>
                <w:sz w:val="18"/>
                <w:szCs w:val="18"/>
              </w:rPr>
              <w:t>250kPa</w:t>
            </w:r>
          </w:p>
        </w:tc>
      </w:tr>
      <w:tr w14:paraId="5658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39D88868">
            <w:pPr>
              <w:spacing w:after="240"/>
              <w:jc w:val="center"/>
              <w:rPr>
                <w:rFonts w:cstheme="minorHAnsi"/>
                <w:sz w:val="18"/>
                <w:szCs w:val="18"/>
                <w:lang w:val="pt-BR"/>
              </w:rPr>
            </w:pPr>
          </w:p>
        </w:tc>
        <w:tc>
          <w:tcPr>
            <w:tcW w:w="450" w:type="pct"/>
            <w:vMerge w:val="continue"/>
            <w:tcBorders>
              <w:left w:val="single" w:color="auto" w:sz="4" w:space="0"/>
              <w:right w:val="single" w:color="auto" w:sz="4" w:space="0"/>
            </w:tcBorders>
          </w:tcPr>
          <w:p w14:paraId="42F5C44A">
            <w:pPr>
              <w:spacing w:after="240"/>
              <w:jc w:val="center"/>
              <w:rPr>
                <w:rFonts w:cstheme="minorHAnsi"/>
                <w:sz w:val="18"/>
                <w:szCs w:val="18"/>
                <w:lang w:val="pt-BR"/>
              </w:rPr>
            </w:pPr>
          </w:p>
        </w:tc>
        <w:tc>
          <w:tcPr>
            <w:tcW w:w="358" w:type="pct"/>
            <w:gridSpan w:val="2"/>
            <w:tcBorders>
              <w:top w:val="single" w:color="auto" w:sz="4" w:space="0"/>
              <w:left w:val="single" w:color="auto" w:sz="4" w:space="0"/>
              <w:bottom w:val="single" w:color="auto" w:sz="4" w:space="0"/>
              <w:right w:val="single" w:color="auto" w:sz="4" w:space="0"/>
            </w:tcBorders>
          </w:tcPr>
          <w:p w14:paraId="697821CC">
            <w:pPr>
              <w:spacing w:after="240" w:line="238" w:lineRule="exact"/>
              <w:jc w:val="center"/>
              <w:rPr>
                <w:rFonts w:ascii="Calibri" w:hAnsi="Calibri" w:cs="Calibri"/>
                <w:sz w:val="18"/>
                <w:szCs w:val="18"/>
              </w:rPr>
            </w:pPr>
            <w:r>
              <w:rPr>
                <w:rFonts w:ascii="Calibri" w:hAnsi="Calibri" w:cs="Calibri"/>
                <w:sz w:val="18"/>
                <w:szCs w:val="18"/>
              </w:rPr>
              <w:t>5</w:t>
            </w:r>
          </w:p>
        </w:tc>
        <w:tc>
          <w:tcPr>
            <w:tcW w:w="779" w:type="pct"/>
            <w:gridSpan w:val="4"/>
            <w:tcBorders>
              <w:top w:val="single" w:color="auto" w:sz="4" w:space="0"/>
              <w:left w:val="single" w:color="auto" w:sz="4" w:space="0"/>
              <w:bottom w:val="single" w:color="auto" w:sz="4" w:space="0"/>
              <w:right w:val="single" w:color="auto" w:sz="4" w:space="0"/>
            </w:tcBorders>
            <w:shd w:val="clear" w:color="auto" w:fill="auto"/>
          </w:tcPr>
          <w:p w14:paraId="40B583EC">
            <w:pPr>
              <w:spacing w:after="240" w:line="238" w:lineRule="exact"/>
              <w:jc w:val="center"/>
              <w:rPr>
                <w:rFonts w:ascii="Calibri" w:hAnsi="Calibri" w:cs="Calibri"/>
                <w:sz w:val="18"/>
                <w:szCs w:val="18"/>
              </w:rPr>
            </w:pPr>
            <w:r>
              <w:rPr>
                <w:rFonts w:ascii="Calibri" w:hAnsi="Calibri" w:cs="Calibri"/>
                <w:sz w:val="18"/>
                <w:szCs w:val="18"/>
              </w:rPr>
              <w:t>1MPa</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tcPr>
          <w:p w14:paraId="0E92D565">
            <w:pPr>
              <w:spacing w:after="240" w:line="238" w:lineRule="exact"/>
              <w:jc w:val="center"/>
              <w:rPr>
                <w:rFonts w:ascii="Calibri" w:hAnsi="Calibri" w:cs="Calibri"/>
                <w:sz w:val="18"/>
                <w:szCs w:val="18"/>
              </w:rPr>
            </w:pPr>
            <w:r>
              <w:rPr>
                <w:rFonts w:ascii="Calibri" w:hAnsi="Calibri" w:cs="Calibri"/>
                <w:sz w:val="18"/>
                <w:szCs w:val="18"/>
              </w:rPr>
              <w:t>-100kPa</w:t>
            </w:r>
          </w:p>
        </w:tc>
        <w:tc>
          <w:tcPr>
            <w:tcW w:w="669" w:type="pct"/>
            <w:tcBorders>
              <w:top w:val="single" w:color="auto" w:sz="4" w:space="0"/>
              <w:left w:val="single" w:color="auto" w:sz="4" w:space="0"/>
              <w:bottom w:val="single" w:color="auto" w:sz="4" w:space="0"/>
              <w:right w:val="single" w:color="auto" w:sz="4" w:space="0"/>
            </w:tcBorders>
            <w:shd w:val="clear" w:color="auto" w:fill="auto"/>
          </w:tcPr>
          <w:p w14:paraId="3211434F">
            <w:pPr>
              <w:spacing w:after="240" w:line="238" w:lineRule="exact"/>
              <w:jc w:val="center"/>
              <w:rPr>
                <w:rFonts w:ascii="Calibri" w:hAnsi="Calibri" w:cs="Calibri"/>
                <w:sz w:val="18"/>
                <w:szCs w:val="18"/>
              </w:rPr>
            </w:pPr>
            <w:r>
              <w:rPr>
                <w:rFonts w:ascii="Calibri" w:hAnsi="Calibri" w:cs="Calibri"/>
                <w:sz w:val="18"/>
                <w:szCs w:val="18"/>
              </w:rPr>
              <w:t>0kPa</w:t>
            </w:r>
          </w:p>
        </w:tc>
        <w:tc>
          <w:tcPr>
            <w:tcW w:w="730" w:type="pct"/>
            <w:gridSpan w:val="2"/>
            <w:tcBorders>
              <w:top w:val="single" w:color="auto" w:sz="4" w:space="0"/>
              <w:left w:val="single" w:color="auto" w:sz="4" w:space="0"/>
              <w:bottom w:val="single" w:color="auto" w:sz="4" w:space="0"/>
              <w:right w:val="single" w:color="auto" w:sz="4" w:space="0"/>
            </w:tcBorders>
            <w:shd w:val="clear" w:color="auto" w:fill="auto"/>
          </w:tcPr>
          <w:p w14:paraId="5B4FE957">
            <w:pPr>
              <w:spacing w:after="240" w:line="238" w:lineRule="exact"/>
              <w:jc w:val="center"/>
              <w:rPr>
                <w:rFonts w:ascii="Calibri" w:hAnsi="Calibri" w:cs="Calibri"/>
                <w:sz w:val="18"/>
                <w:szCs w:val="18"/>
              </w:rPr>
            </w:pPr>
            <w:r>
              <w:rPr>
                <w:rFonts w:ascii="Calibri" w:hAnsi="Calibri" w:cs="Calibri"/>
                <w:sz w:val="18"/>
                <w:szCs w:val="18"/>
              </w:rPr>
              <w:t>-500kPa</w:t>
            </w:r>
          </w:p>
        </w:tc>
        <w:tc>
          <w:tcPr>
            <w:tcW w:w="851" w:type="pct"/>
            <w:tcBorders>
              <w:top w:val="single" w:color="auto" w:sz="4" w:space="0"/>
              <w:left w:val="single" w:color="auto" w:sz="4" w:space="0"/>
              <w:bottom w:val="single" w:color="auto" w:sz="4" w:space="0"/>
              <w:right w:val="single" w:color="auto" w:sz="4" w:space="0"/>
            </w:tcBorders>
            <w:shd w:val="clear" w:color="auto" w:fill="auto"/>
          </w:tcPr>
          <w:p w14:paraId="23B79EED">
            <w:pPr>
              <w:spacing w:after="240" w:line="238" w:lineRule="exact"/>
              <w:jc w:val="center"/>
              <w:rPr>
                <w:rFonts w:ascii="Calibri" w:hAnsi="Calibri" w:cs="Calibri"/>
                <w:sz w:val="18"/>
                <w:szCs w:val="18"/>
              </w:rPr>
            </w:pPr>
            <w:r>
              <w:rPr>
                <w:rFonts w:ascii="Calibri" w:hAnsi="Calibri" w:cs="Calibri"/>
                <w:sz w:val="18"/>
                <w:szCs w:val="18"/>
              </w:rPr>
              <w:t>1MPa</w:t>
            </w:r>
          </w:p>
        </w:tc>
      </w:tr>
      <w:tr w14:paraId="2B4A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223CEF95">
            <w:pPr>
              <w:spacing w:after="240"/>
              <w:jc w:val="center"/>
              <w:rPr>
                <w:rFonts w:cstheme="minorHAnsi"/>
                <w:sz w:val="18"/>
                <w:szCs w:val="18"/>
                <w:lang w:val="pt-BR"/>
              </w:rPr>
            </w:pPr>
          </w:p>
        </w:tc>
        <w:tc>
          <w:tcPr>
            <w:tcW w:w="450" w:type="pct"/>
            <w:vMerge w:val="continue"/>
            <w:tcBorders>
              <w:left w:val="single" w:color="auto" w:sz="4" w:space="0"/>
              <w:right w:val="single" w:color="auto" w:sz="4" w:space="0"/>
            </w:tcBorders>
          </w:tcPr>
          <w:p w14:paraId="16BFF2A9">
            <w:pPr>
              <w:spacing w:after="240"/>
              <w:jc w:val="center"/>
              <w:rPr>
                <w:rFonts w:cstheme="minorHAnsi"/>
                <w:sz w:val="18"/>
                <w:szCs w:val="18"/>
                <w:lang w:val="pt-BR"/>
              </w:rPr>
            </w:pPr>
          </w:p>
        </w:tc>
        <w:tc>
          <w:tcPr>
            <w:tcW w:w="358" w:type="pct"/>
            <w:gridSpan w:val="2"/>
            <w:tcBorders>
              <w:top w:val="single" w:color="auto" w:sz="4" w:space="0"/>
              <w:left w:val="single" w:color="auto" w:sz="4" w:space="0"/>
              <w:bottom w:val="single" w:color="auto" w:sz="4" w:space="0"/>
              <w:right w:val="single" w:color="auto" w:sz="4" w:space="0"/>
            </w:tcBorders>
          </w:tcPr>
          <w:p w14:paraId="5CCCF477">
            <w:pPr>
              <w:spacing w:after="240" w:line="238" w:lineRule="exact"/>
              <w:jc w:val="center"/>
              <w:rPr>
                <w:rFonts w:ascii="Calibri" w:hAnsi="Calibri" w:cs="Calibri"/>
                <w:sz w:val="18"/>
                <w:szCs w:val="18"/>
              </w:rPr>
            </w:pPr>
            <w:r>
              <w:rPr>
                <w:rFonts w:ascii="Calibri" w:hAnsi="Calibri" w:cs="Calibri"/>
                <w:sz w:val="18"/>
                <w:szCs w:val="18"/>
              </w:rPr>
              <w:t>6</w:t>
            </w:r>
          </w:p>
        </w:tc>
        <w:tc>
          <w:tcPr>
            <w:tcW w:w="779" w:type="pct"/>
            <w:gridSpan w:val="4"/>
            <w:tcBorders>
              <w:top w:val="single" w:color="auto" w:sz="4" w:space="0"/>
              <w:left w:val="single" w:color="auto" w:sz="4" w:space="0"/>
              <w:bottom w:val="single" w:color="auto" w:sz="4" w:space="0"/>
              <w:right w:val="single" w:color="auto" w:sz="4" w:space="0"/>
            </w:tcBorders>
            <w:shd w:val="clear" w:color="auto" w:fill="auto"/>
          </w:tcPr>
          <w:p w14:paraId="3DCB667A">
            <w:pPr>
              <w:spacing w:after="240" w:line="238" w:lineRule="exact"/>
              <w:jc w:val="center"/>
              <w:rPr>
                <w:rFonts w:ascii="Calibri" w:hAnsi="Calibri" w:cs="Calibri"/>
                <w:sz w:val="18"/>
                <w:szCs w:val="18"/>
              </w:rPr>
            </w:pPr>
            <w:r>
              <w:rPr>
                <w:rFonts w:ascii="Calibri" w:hAnsi="Calibri" w:cs="Calibri"/>
                <w:sz w:val="18"/>
                <w:szCs w:val="18"/>
              </w:rPr>
              <w:t>3MPa</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tcPr>
          <w:p w14:paraId="3F2729B7">
            <w:pPr>
              <w:spacing w:after="240" w:line="238" w:lineRule="exact"/>
              <w:jc w:val="center"/>
              <w:rPr>
                <w:rFonts w:ascii="Calibri" w:hAnsi="Calibri" w:cs="Calibri"/>
                <w:sz w:val="18"/>
                <w:szCs w:val="18"/>
              </w:rPr>
            </w:pPr>
            <w:r>
              <w:rPr>
                <w:rFonts w:ascii="Calibri" w:hAnsi="Calibri" w:cs="Calibri"/>
                <w:sz w:val="18"/>
                <w:szCs w:val="18"/>
              </w:rPr>
              <w:t>-100kPa</w:t>
            </w:r>
          </w:p>
        </w:tc>
        <w:tc>
          <w:tcPr>
            <w:tcW w:w="669" w:type="pct"/>
            <w:tcBorders>
              <w:top w:val="single" w:color="auto" w:sz="4" w:space="0"/>
              <w:left w:val="single" w:color="auto" w:sz="4" w:space="0"/>
              <w:bottom w:val="single" w:color="auto" w:sz="4" w:space="0"/>
              <w:right w:val="single" w:color="auto" w:sz="4" w:space="0"/>
            </w:tcBorders>
            <w:shd w:val="clear" w:color="auto" w:fill="auto"/>
          </w:tcPr>
          <w:p w14:paraId="5C7831B0">
            <w:pPr>
              <w:spacing w:after="240" w:line="238" w:lineRule="exact"/>
              <w:jc w:val="center"/>
              <w:rPr>
                <w:rFonts w:ascii="Calibri" w:hAnsi="Calibri" w:cs="Calibri"/>
                <w:sz w:val="18"/>
                <w:szCs w:val="18"/>
              </w:rPr>
            </w:pPr>
            <w:r>
              <w:rPr>
                <w:rFonts w:ascii="Calibri" w:hAnsi="Calibri" w:cs="Calibri"/>
                <w:sz w:val="18"/>
                <w:szCs w:val="18"/>
              </w:rPr>
              <w:t>No such range</w:t>
            </w:r>
          </w:p>
        </w:tc>
        <w:tc>
          <w:tcPr>
            <w:tcW w:w="730" w:type="pct"/>
            <w:gridSpan w:val="2"/>
            <w:tcBorders>
              <w:top w:val="single" w:color="auto" w:sz="4" w:space="0"/>
              <w:left w:val="single" w:color="auto" w:sz="4" w:space="0"/>
              <w:bottom w:val="single" w:color="auto" w:sz="4" w:space="0"/>
              <w:right w:val="single" w:color="auto" w:sz="4" w:space="0"/>
            </w:tcBorders>
            <w:shd w:val="clear" w:color="auto" w:fill="auto"/>
          </w:tcPr>
          <w:p w14:paraId="0A170F79">
            <w:pPr>
              <w:spacing w:after="240" w:line="238" w:lineRule="exact"/>
              <w:jc w:val="center"/>
              <w:rPr>
                <w:rFonts w:ascii="Calibri" w:hAnsi="Calibri" w:cs="Calibri"/>
                <w:sz w:val="18"/>
                <w:szCs w:val="18"/>
              </w:rPr>
            </w:pPr>
            <w:r>
              <w:rPr>
                <w:rFonts w:ascii="Calibri" w:hAnsi="Calibri" w:cs="Calibri"/>
                <w:sz w:val="18"/>
                <w:szCs w:val="18"/>
              </w:rPr>
              <w:t>-500kPa</w:t>
            </w:r>
          </w:p>
        </w:tc>
        <w:tc>
          <w:tcPr>
            <w:tcW w:w="851" w:type="pct"/>
            <w:tcBorders>
              <w:top w:val="single" w:color="auto" w:sz="4" w:space="0"/>
              <w:left w:val="single" w:color="auto" w:sz="4" w:space="0"/>
              <w:bottom w:val="single" w:color="auto" w:sz="4" w:space="0"/>
              <w:right w:val="single" w:color="auto" w:sz="4" w:space="0"/>
            </w:tcBorders>
            <w:shd w:val="clear" w:color="auto" w:fill="auto"/>
          </w:tcPr>
          <w:p w14:paraId="31B942F7">
            <w:pPr>
              <w:spacing w:after="240" w:line="238" w:lineRule="exact"/>
              <w:jc w:val="center"/>
              <w:rPr>
                <w:rFonts w:ascii="Calibri" w:hAnsi="Calibri" w:cs="Calibri"/>
                <w:sz w:val="18"/>
                <w:szCs w:val="18"/>
              </w:rPr>
            </w:pPr>
            <w:r>
              <w:rPr>
                <w:rFonts w:ascii="Calibri" w:hAnsi="Calibri" w:cs="Calibri"/>
                <w:sz w:val="18"/>
                <w:szCs w:val="18"/>
              </w:rPr>
              <w:t>3MPa</w:t>
            </w:r>
          </w:p>
        </w:tc>
      </w:tr>
      <w:tr w14:paraId="49BB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6E852D01">
            <w:pPr>
              <w:spacing w:after="240"/>
              <w:jc w:val="center"/>
              <w:rPr>
                <w:rFonts w:cstheme="minorHAnsi"/>
                <w:sz w:val="18"/>
                <w:szCs w:val="18"/>
                <w:lang w:val="pt-BR"/>
              </w:rPr>
            </w:pPr>
          </w:p>
        </w:tc>
        <w:tc>
          <w:tcPr>
            <w:tcW w:w="450" w:type="pct"/>
            <w:vMerge w:val="continue"/>
            <w:tcBorders>
              <w:left w:val="single" w:color="auto" w:sz="4" w:space="0"/>
              <w:right w:val="single" w:color="auto" w:sz="4" w:space="0"/>
            </w:tcBorders>
          </w:tcPr>
          <w:p w14:paraId="061C7EF8">
            <w:pPr>
              <w:spacing w:after="240"/>
              <w:jc w:val="center"/>
              <w:rPr>
                <w:rFonts w:cstheme="minorHAnsi"/>
                <w:sz w:val="18"/>
                <w:szCs w:val="18"/>
                <w:lang w:val="pt-BR"/>
              </w:rPr>
            </w:pPr>
          </w:p>
        </w:tc>
        <w:tc>
          <w:tcPr>
            <w:tcW w:w="358" w:type="pct"/>
            <w:gridSpan w:val="2"/>
            <w:tcBorders>
              <w:top w:val="single" w:color="auto" w:sz="4" w:space="0"/>
              <w:left w:val="single" w:color="auto" w:sz="4" w:space="0"/>
              <w:bottom w:val="single" w:color="auto" w:sz="4" w:space="0"/>
              <w:right w:val="single" w:color="auto" w:sz="4" w:space="0"/>
            </w:tcBorders>
          </w:tcPr>
          <w:p w14:paraId="0E3FB076">
            <w:pPr>
              <w:spacing w:after="240" w:line="238" w:lineRule="exact"/>
              <w:jc w:val="center"/>
              <w:rPr>
                <w:rFonts w:ascii="Calibri" w:hAnsi="Calibri" w:cs="Calibri"/>
                <w:sz w:val="18"/>
                <w:szCs w:val="18"/>
              </w:rPr>
            </w:pPr>
            <w:r>
              <w:rPr>
                <w:rFonts w:ascii="Calibri" w:hAnsi="Calibri" w:cs="Calibri"/>
                <w:sz w:val="18"/>
                <w:szCs w:val="18"/>
              </w:rPr>
              <w:t>7</w:t>
            </w:r>
          </w:p>
        </w:tc>
        <w:tc>
          <w:tcPr>
            <w:tcW w:w="779" w:type="pct"/>
            <w:gridSpan w:val="4"/>
            <w:tcBorders>
              <w:top w:val="single" w:color="auto" w:sz="4" w:space="0"/>
              <w:left w:val="single" w:color="auto" w:sz="4" w:space="0"/>
              <w:bottom w:val="single" w:color="auto" w:sz="4" w:space="0"/>
              <w:right w:val="single" w:color="auto" w:sz="4" w:space="0"/>
            </w:tcBorders>
            <w:shd w:val="clear" w:color="auto" w:fill="auto"/>
          </w:tcPr>
          <w:p w14:paraId="3C615378">
            <w:pPr>
              <w:spacing w:after="240" w:line="238" w:lineRule="exact"/>
              <w:jc w:val="center"/>
              <w:rPr>
                <w:rFonts w:ascii="Calibri" w:hAnsi="Calibri" w:cs="Calibri"/>
                <w:sz w:val="18"/>
                <w:szCs w:val="18"/>
              </w:rPr>
            </w:pPr>
            <w:r>
              <w:rPr>
                <w:rFonts w:ascii="Calibri" w:hAnsi="Calibri" w:cs="Calibri"/>
                <w:sz w:val="18"/>
                <w:szCs w:val="18"/>
              </w:rPr>
              <w:t>10MPa</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tcPr>
          <w:p w14:paraId="7CCBE9B3">
            <w:pPr>
              <w:spacing w:after="240" w:line="238" w:lineRule="exact"/>
              <w:jc w:val="center"/>
              <w:rPr>
                <w:rFonts w:ascii="Calibri" w:hAnsi="Calibri" w:cs="Calibri"/>
                <w:sz w:val="18"/>
                <w:szCs w:val="18"/>
              </w:rPr>
            </w:pPr>
            <w:r>
              <w:rPr>
                <w:rFonts w:ascii="Calibri" w:hAnsi="Calibri" w:cs="Calibri"/>
                <w:sz w:val="18"/>
                <w:szCs w:val="18"/>
              </w:rPr>
              <w:t>-100kPa</w:t>
            </w:r>
          </w:p>
        </w:tc>
        <w:tc>
          <w:tcPr>
            <w:tcW w:w="669" w:type="pct"/>
            <w:tcBorders>
              <w:top w:val="single" w:color="auto" w:sz="4" w:space="0"/>
              <w:left w:val="single" w:color="auto" w:sz="4" w:space="0"/>
              <w:bottom w:val="single" w:color="auto" w:sz="4" w:space="0"/>
              <w:right w:val="single" w:color="auto" w:sz="4" w:space="0"/>
            </w:tcBorders>
            <w:shd w:val="clear" w:color="auto" w:fill="auto"/>
          </w:tcPr>
          <w:p w14:paraId="35D16054">
            <w:pPr>
              <w:spacing w:after="240" w:line="238" w:lineRule="exact"/>
              <w:jc w:val="center"/>
              <w:rPr>
                <w:rFonts w:ascii="Calibri" w:hAnsi="Calibri" w:cs="Calibri"/>
                <w:sz w:val="18"/>
                <w:szCs w:val="18"/>
              </w:rPr>
            </w:pPr>
            <w:r>
              <w:rPr>
                <w:rFonts w:ascii="Calibri" w:hAnsi="Calibri" w:cs="Calibri"/>
                <w:sz w:val="18"/>
                <w:szCs w:val="18"/>
              </w:rPr>
              <w:t>0kPa</w:t>
            </w:r>
          </w:p>
        </w:tc>
        <w:tc>
          <w:tcPr>
            <w:tcW w:w="730" w:type="pct"/>
            <w:gridSpan w:val="2"/>
            <w:tcBorders>
              <w:top w:val="single" w:color="auto" w:sz="4" w:space="0"/>
              <w:left w:val="single" w:color="auto" w:sz="4" w:space="0"/>
              <w:bottom w:val="single" w:color="auto" w:sz="4" w:space="0"/>
              <w:right w:val="single" w:color="auto" w:sz="4" w:space="0"/>
            </w:tcBorders>
            <w:shd w:val="clear" w:color="auto" w:fill="auto"/>
          </w:tcPr>
          <w:p w14:paraId="3C694A5C">
            <w:pPr>
              <w:spacing w:after="240" w:line="238" w:lineRule="exact"/>
              <w:jc w:val="center"/>
              <w:rPr>
                <w:rFonts w:ascii="Calibri" w:hAnsi="Calibri" w:cs="Calibri"/>
                <w:sz w:val="18"/>
                <w:szCs w:val="18"/>
              </w:rPr>
            </w:pPr>
            <w:r>
              <w:rPr>
                <w:rFonts w:ascii="Calibri" w:hAnsi="Calibri" w:cs="Calibri"/>
                <w:sz w:val="18"/>
                <w:szCs w:val="18"/>
              </w:rPr>
              <w:t>-500kPa</w:t>
            </w:r>
          </w:p>
        </w:tc>
        <w:tc>
          <w:tcPr>
            <w:tcW w:w="851" w:type="pct"/>
            <w:tcBorders>
              <w:top w:val="single" w:color="auto" w:sz="4" w:space="0"/>
              <w:left w:val="single" w:color="auto" w:sz="4" w:space="0"/>
              <w:bottom w:val="single" w:color="auto" w:sz="4" w:space="0"/>
              <w:right w:val="single" w:color="auto" w:sz="4" w:space="0"/>
            </w:tcBorders>
            <w:shd w:val="clear" w:color="auto" w:fill="auto"/>
          </w:tcPr>
          <w:p w14:paraId="2E568F14">
            <w:pPr>
              <w:spacing w:after="240" w:line="238" w:lineRule="exact"/>
              <w:jc w:val="center"/>
              <w:rPr>
                <w:rFonts w:ascii="Calibri" w:hAnsi="Calibri" w:cs="Calibri"/>
                <w:sz w:val="18"/>
                <w:szCs w:val="18"/>
              </w:rPr>
            </w:pPr>
            <w:r>
              <w:rPr>
                <w:rFonts w:ascii="Calibri" w:hAnsi="Calibri" w:cs="Calibri"/>
                <w:sz w:val="18"/>
                <w:szCs w:val="18"/>
              </w:rPr>
              <w:t>10Mpa</w:t>
            </w:r>
          </w:p>
        </w:tc>
      </w:tr>
      <w:tr w14:paraId="1597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764602A3">
            <w:pPr>
              <w:spacing w:after="240"/>
              <w:jc w:val="center"/>
              <w:rPr>
                <w:rFonts w:cstheme="minorHAnsi"/>
                <w:sz w:val="18"/>
                <w:szCs w:val="18"/>
                <w:lang w:val="pt-BR"/>
              </w:rPr>
            </w:pPr>
          </w:p>
        </w:tc>
        <w:tc>
          <w:tcPr>
            <w:tcW w:w="450" w:type="pct"/>
            <w:vMerge w:val="continue"/>
            <w:tcBorders>
              <w:left w:val="single" w:color="auto" w:sz="4" w:space="0"/>
              <w:right w:val="single" w:color="auto" w:sz="4" w:space="0"/>
            </w:tcBorders>
          </w:tcPr>
          <w:p w14:paraId="76E03008">
            <w:pPr>
              <w:spacing w:after="240"/>
              <w:jc w:val="center"/>
              <w:rPr>
                <w:rFonts w:cstheme="minorHAnsi"/>
                <w:sz w:val="18"/>
                <w:szCs w:val="18"/>
                <w:lang w:val="pt-BR"/>
              </w:rPr>
            </w:pPr>
          </w:p>
        </w:tc>
        <w:tc>
          <w:tcPr>
            <w:tcW w:w="358" w:type="pct"/>
            <w:gridSpan w:val="2"/>
            <w:tcBorders>
              <w:top w:val="single" w:color="auto" w:sz="4" w:space="0"/>
              <w:left w:val="single" w:color="auto" w:sz="4" w:space="0"/>
              <w:bottom w:val="single" w:color="auto" w:sz="4" w:space="0"/>
              <w:right w:val="single" w:color="auto" w:sz="4" w:space="0"/>
            </w:tcBorders>
          </w:tcPr>
          <w:p w14:paraId="119F96D3">
            <w:pPr>
              <w:spacing w:after="240" w:line="238" w:lineRule="exact"/>
              <w:jc w:val="center"/>
              <w:rPr>
                <w:rFonts w:ascii="Calibri" w:hAnsi="Calibri" w:cs="Calibri"/>
                <w:sz w:val="18"/>
                <w:szCs w:val="18"/>
              </w:rPr>
            </w:pPr>
            <w:r>
              <w:rPr>
                <w:rFonts w:hint="eastAsia" w:ascii="Calibri" w:hAnsi="Calibri" w:cs="Calibri"/>
                <w:sz w:val="18"/>
                <w:szCs w:val="18"/>
              </w:rPr>
              <w:t>8</w:t>
            </w:r>
          </w:p>
        </w:tc>
        <w:tc>
          <w:tcPr>
            <w:tcW w:w="779" w:type="pct"/>
            <w:gridSpan w:val="4"/>
            <w:tcBorders>
              <w:top w:val="single" w:color="auto" w:sz="4" w:space="0"/>
              <w:left w:val="single" w:color="auto" w:sz="4" w:space="0"/>
              <w:bottom w:val="single" w:color="auto" w:sz="4" w:space="0"/>
              <w:right w:val="single" w:color="auto" w:sz="4" w:space="0"/>
            </w:tcBorders>
            <w:shd w:val="clear" w:color="auto" w:fill="auto"/>
          </w:tcPr>
          <w:p w14:paraId="3269D021">
            <w:pPr>
              <w:spacing w:after="240" w:line="238" w:lineRule="exact"/>
              <w:jc w:val="center"/>
              <w:rPr>
                <w:rFonts w:ascii="Calibri" w:hAnsi="Calibri" w:cs="Calibri"/>
                <w:sz w:val="18"/>
                <w:szCs w:val="18"/>
              </w:rPr>
            </w:pPr>
            <w:r>
              <w:rPr>
                <w:rFonts w:ascii="Calibri" w:hAnsi="Calibri" w:cs="Calibri"/>
                <w:sz w:val="18"/>
                <w:szCs w:val="18"/>
              </w:rPr>
              <w:t>20MPa</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tcPr>
          <w:p w14:paraId="206253AA">
            <w:pPr>
              <w:spacing w:after="240" w:line="238" w:lineRule="exact"/>
              <w:jc w:val="center"/>
              <w:rPr>
                <w:rFonts w:ascii="Calibri" w:hAnsi="Calibri" w:cs="Calibri"/>
                <w:sz w:val="18"/>
                <w:szCs w:val="18"/>
              </w:rPr>
            </w:pPr>
            <w:r>
              <w:rPr>
                <w:rFonts w:ascii="Calibri" w:hAnsi="Calibri" w:cs="Calibri"/>
                <w:sz w:val="18"/>
                <w:szCs w:val="18"/>
              </w:rPr>
              <w:t>-100kPa</w:t>
            </w:r>
          </w:p>
        </w:tc>
        <w:tc>
          <w:tcPr>
            <w:tcW w:w="669" w:type="pct"/>
            <w:tcBorders>
              <w:top w:val="single" w:color="auto" w:sz="4" w:space="0"/>
              <w:left w:val="single" w:color="auto" w:sz="4" w:space="0"/>
              <w:bottom w:val="single" w:color="auto" w:sz="4" w:space="0"/>
              <w:right w:val="single" w:color="auto" w:sz="4" w:space="0"/>
            </w:tcBorders>
            <w:shd w:val="clear" w:color="auto" w:fill="auto"/>
          </w:tcPr>
          <w:p w14:paraId="773053C8">
            <w:pPr>
              <w:spacing w:after="240" w:line="238" w:lineRule="exact"/>
              <w:jc w:val="center"/>
              <w:rPr>
                <w:rFonts w:ascii="Calibri" w:hAnsi="Calibri" w:cs="Calibri"/>
                <w:sz w:val="18"/>
                <w:szCs w:val="18"/>
              </w:rPr>
            </w:pPr>
            <w:r>
              <w:rPr>
                <w:rFonts w:ascii="Calibri" w:hAnsi="Calibri" w:cs="Calibri"/>
                <w:sz w:val="18"/>
                <w:szCs w:val="18"/>
              </w:rPr>
              <w:t>0kPa</w:t>
            </w:r>
          </w:p>
        </w:tc>
        <w:tc>
          <w:tcPr>
            <w:tcW w:w="730" w:type="pct"/>
            <w:gridSpan w:val="2"/>
            <w:tcBorders>
              <w:top w:val="single" w:color="auto" w:sz="4" w:space="0"/>
              <w:left w:val="single" w:color="auto" w:sz="4" w:space="0"/>
              <w:bottom w:val="single" w:color="auto" w:sz="4" w:space="0"/>
              <w:right w:val="single" w:color="auto" w:sz="4" w:space="0"/>
            </w:tcBorders>
            <w:shd w:val="clear" w:color="auto" w:fill="auto"/>
          </w:tcPr>
          <w:p w14:paraId="140B143F">
            <w:pPr>
              <w:spacing w:after="240" w:line="238" w:lineRule="exact"/>
              <w:jc w:val="center"/>
              <w:rPr>
                <w:rFonts w:ascii="Calibri" w:hAnsi="Calibri" w:cs="Calibri"/>
                <w:sz w:val="18"/>
                <w:szCs w:val="18"/>
              </w:rPr>
            </w:pPr>
            <w:r>
              <w:rPr>
                <w:rFonts w:ascii="Calibri" w:hAnsi="Calibri" w:cs="Calibri"/>
                <w:sz w:val="18"/>
                <w:szCs w:val="18"/>
              </w:rPr>
              <w:t>No such range</w:t>
            </w:r>
          </w:p>
        </w:tc>
        <w:tc>
          <w:tcPr>
            <w:tcW w:w="851" w:type="pct"/>
            <w:tcBorders>
              <w:top w:val="single" w:color="auto" w:sz="4" w:space="0"/>
              <w:left w:val="single" w:color="auto" w:sz="4" w:space="0"/>
              <w:bottom w:val="single" w:color="auto" w:sz="4" w:space="0"/>
              <w:right w:val="single" w:color="auto" w:sz="4" w:space="0"/>
            </w:tcBorders>
            <w:shd w:val="clear" w:color="auto" w:fill="auto"/>
          </w:tcPr>
          <w:p w14:paraId="081480A5">
            <w:pPr>
              <w:spacing w:after="240" w:line="238" w:lineRule="exact"/>
              <w:jc w:val="center"/>
              <w:rPr>
                <w:rFonts w:ascii="Calibri" w:hAnsi="Calibri" w:cs="Calibri"/>
                <w:sz w:val="18"/>
                <w:szCs w:val="18"/>
              </w:rPr>
            </w:pPr>
            <w:r>
              <w:rPr>
                <w:rFonts w:ascii="Calibri" w:hAnsi="Calibri" w:cs="Calibri"/>
                <w:sz w:val="18"/>
                <w:szCs w:val="18"/>
              </w:rPr>
              <w:t>20Mpa</w:t>
            </w:r>
          </w:p>
        </w:tc>
      </w:tr>
      <w:tr w14:paraId="0B4E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422AD528">
            <w:pPr>
              <w:spacing w:after="240"/>
              <w:jc w:val="center"/>
              <w:rPr>
                <w:rFonts w:cstheme="minorHAnsi"/>
                <w:sz w:val="18"/>
                <w:szCs w:val="18"/>
                <w:lang w:val="pt-BR"/>
              </w:rPr>
            </w:pPr>
          </w:p>
        </w:tc>
        <w:tc>
          <w:tcPr>
            <w:tcW w:w="450" w:type="pct"/>
            <w:vMerge w:val="continue"/>
            <w:tcBorders>
              <w:left w:val="single" w:color="auto" w:sz="4" w:space="0"/>
              <w:right w:val="single" w:color="auto" w:sz="4" w:space="0"/>
            </w:tcBorders>
          </w:tcPr>
          <w:p w14:paraId="0040387A">
            <w:pPr>
              <w:spacing w:after="240"/>
              <w:jc w:val="center"/>
              <w:rPr>
                <w:rFonts w:cstheme="minorHAnsi"/>
                <w:sz w:val="18"/>
                <w:szCs w:val="18"/>
                <w:lang w:val="pt-BR"/>
              </w:rPr>
            </w:pPr>
          </w:p>
        </w:tc>
        <w:tc>
          <w:tcPr>
            <w:tcW w:w="358" w:type="pct"/>
            <w:gridSpan w:val="2"/>
            <w:tcBorders>
              <w:top w:val="single" w:color="auto" w:sz="4" w:space="0"/>
              <w:left w:val="single" w:color="auto" w:sz="4" w:space="0"/>
              <w:bottom w:val="single" w:color="auto" w:sz="4" w:space="0"/>
              <w:right w:val="single" w:color="auto" w:sz="4" w:space="0"/>
            </w:tcBorders>
          </w:tcPr>
          <w:p w14:paraId="3AC344BC">
            <w:pPr>
              <w:spacing w:after="240" w:line="238" w:lineRule="exact"/>
              <w:jc w:val="center"/>
              <w:rPr>
                <w:rFonts w:ascii="Calibri" w:hAnsi="Calibri" w:cs="Calibri"/>
                <w:sz w:val="18"/>
                <w:szCs w:val="18"/>
              </w:rPr>
            </w:pPr>
            <w:r>
              <w:rPr>
                <w:rFonts w:ascii="Calibri" w:hAnsi="Calibri" w:cs="Calibri"/>
                <w:sz w:val="18"/>
                <w:szCs w:val="18"/>
              </w:rPr>
              <w:t>9</w:t>
            </w:r>
          </w:p>
        </w:tc>
        <w:tc>
          <w:tcPr>
            <w:tcW w:w="779" w:type="pct"/>
            <w:gridSpan w:val="4"/>
            <w:tcBorders>
              <w:top w:val="single" w:color="auto" w:sz="4" w:space="0"/>
              <w:left w:val="single" w:color="auto" w:sz="4" w:space="0"/>
              <w:bottom w:val="single" w:color="auto" w:sz="4" w:space="0"/>
              <w:right w:val="single" w:color="auto" w:sz="4" w:space="0"/>
            </w:tcBorders>
            <w:shd w:val="clear" w:color="auto" w:fill="auto"/>
          </w:tcPr>
          <w:p w14:paraId="7030C4C6">
            <w:pPr>
              <w:spacing w:after="240" w:line="238" w:lineRule="exact"/>
              <w:jc w:val="center"/>
              <w:rPr>
                <w:rFonts w:ascii="Calibri" w:hAnsi="Calibri" w:cs="Calibri"/>
                <w:sz w:val="18"/>
                <w:szCs w:val="18"/>
              </w:rPr>
            </w:pPr>
            <w:r>
              <w:rPr>
                <w:rFonts w:ascii="Calibri" w:hAnsi="Calibri" w:cs="Calibri"/>
                <w:sz w:val="18"/>
                <w:szCs w:val="18"/>
              </w:rPr>
              <w:t>40MPa</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tcPr>
          <w:p w14:paraId="19F9DE69">
            <w:pPr>
              <w:spacing w:after="240" w:line="238" w:lineRule="exact"/>
              <w:jc w:val="center"/>
              <w:rPr>
                <w:rFonts w:ascii="Calibri" w:hAnsi="Calibri" w:cs="Calibri"/>
                <w:sz w:val="18"/>
                <w:szCs w:val="18"/>
              </w:rPr>
            </w:pPr>
            <w:r>
              <w:rPr>
                <w:rFonts w:ascii="Calibri" w:hAnsi="Calibri" w:cs="Calibri"/>
                <w:sz w:val="18"/>
                <w:szCs w:val="18"/>
              </w:rPr>
              <w:t>-100kPa</w:t>
            </w:r>
          </w:p>
        </w:tc>
        <w:tc>
          <w:tcPr>
            <w:tcW w:w="669" w:type="pct"/>
            <w:tcBorders>
              <w:top w:val="single" w:color="auto" w:sz="4" w:space="0"/>
              <w:left w:val="single" w:color="auto" w:sz="4" w:space="0"/>
              <w:bottom w:val="single" w:color="auto" w:sz="4" w:space="0"/>
              <w:right w:val="single" w:color="auto" w:sz="4" w:space="0"/>
            </w:tcBorders>
            <w:shd w:val="clear" w:color="auto" w:fill="auto"/>
          </w:tcPr>
          <w:p w14:paraId="21D62D00">
            <w:pPr>
              <w:spacing w:after="240" w:line="238" w:lineRule="exact"/>
              <w:jc w:val="center"/>
              <w:rPr>
                <w:rFonts w:ascii="Calibri" w:hAnsi="Calibri" w:cs="Calibri"/>
                <w:sz w:val="18"/>
                <w:szCs w:val="18"/>
              </w:rPr>
            </w:pPr>
            <w:r>
              <w:rPr>
                <w:rFonts w:hint="eastAsia" w:ascii="Calibri" w:hAnsi="Calibri" w:cs="Calibri"/>
                <w:sz w:val="18"/>
                <w:szCs w:val="18"/>
              </w:rPr>
              <w:t>0KPa</w:t>
            </w:r>
          </w:p>
        </w:tc>
        <w:tc>
          <w:tcPr>
            <w:tcW w:w="730" w:type="pct"/>
            <w:gridSpan w:val="2"/>
            <w:tcBorders>
              <w:top w:val="single" w:color="auto" w:sz="4" w:space="0"/>
              <w:left w:val="single" w:color="auto" w:sz="4" w:space="0"/>
              <w:bottom w:val="single" w:color="auto" w:sz="4" w:space="0"/>
              <w:right w:val="single" w:color="auto" w:sz="4" w:space="0"/>
            </w:tcBorders>
            <w:shd w:val="clear" w:color="auto" w:fill="auto"/>
          </w:tcPr>
          <w:p w14:paraId="30891E16">
            <w:pPr>
              <w:spacing w:after="240" w:line="238" w:lineRule="exact"/>
              <w:jc w:val="center"/>
              <w:rPr>
                <w:rFonts w:ascii="Calibri" w:hAnsi="Calibri" w:cs="Calibri"/>
                <w:sz w:val="18"/>
                <w:szCs w:val="18"/>
              </w:rPr>
            </w:pPr>
            <w:r>
              <w:rPr>
                <w:rFonts w:ascii="Calibri" w:hAnsi="Calibri" w:cs="Calibri"/>
                <w:sz w:val="18"/>
                <w:szCs w:val="18"/>
              </w:rPr>
              <w:t>No such range</w:t>
            </w:r>
          </w:p>
        </w:tc>
        <w:tc>
          <w:tcPr>
            <w:tcW w:w="851" w:type="pct"/>
            <w:tcBorders>
              <w:top w:val="single" w:color="auto" w:sz="4" w:space="0"/>
              <w:left w:val="single" w:color="auto" w:sz="4" w:space="0"/>
              <w:bottom w:val="single" w:color="auto" w:sz="4" w:space="0"/>
              <w:right w:val="single" w:color="auto" w:sz="4" w:space="0"/>
            </w:tcBorders>
            <w:shd w:val="clear" w:color="auto" w:fill="auto"/>
          </w:tcPr>
          <w:p w14:paraId="1753F79A">
            <w:pPr>
              <w:spacing w:after="240" w:line="238" w:lineRule="exact"/>
              <w:jc w:val="center"/>
              <w:rPr>
                <w:rFonts w:ascii="Calibri" w:hAnsi="Calibri" w:cs="Calibri"/>
                <w:sz w:val="18"/>
                <w:szCs w:val="18"/>
              </w:rPr>
            </w:pPr>
            <w:r>
              <w:rPr>
                <w:rFonts w:ascii="Calibri" w:hAnsi="Calibri" w:cs="Calibri"/>
                <w:sz w:val="18"/>
                <w:szCs w:val="18"/>
              </w:rPr>
              <w:t>40Mpa</w:t>
            </w:r>
          </w:p>
        </w:tc>
      </w:tr>
      <w:tr w14:paraId="73D0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exact"/>
        </w:trPr>
        <w:tc>
          <w:tcPr>
            <w:tcW w:w="449" w:type="pct"/>
            <w:vMerge w:val="continue"/>
            <w:tcBorders>
              <w:left w:val="nil"/>
              <w:bottom w:val="nil"/>
              <w:right w:val="single" w:color="auto" w:sz="4" w:space="0"/>
            </w:tcBorders>
          </w:tcPr>
          <w:p w14:paraId="788EF390">
            <w:pPr>
              <w:spacing w:after="240"/>
              <w:jc w:val="center"/>
              <w:rPr>
                <w:rFonts w:cstheme="minorHAnsi"/>
                <w:sz w:val="18"/>
                <w:szCs w:val="18"/>
                <w:lang w:val="pt-BR"/>
              </w:rPr>
            </w:pPr>
          </w:p>
        </w:tc>
        <w:tc>
          <w:tcPr>
            <w:tcW w:w="450" w:type="pct"/>
            <w:vMerge w:val="continue"/>
            <w:tcBorders>
              <w:left w:val="single" w:color="auto" w:sz="4" w:space="0"/>
              <w:right w:val="single" w:color="auto" w:sz="4" w:space="0"/>
            </w:tcBorders>
          </w:tcPr>
          <w:p w14:paraId="1F22C543">
            <w:pPr>
              <w:spacing w:after="240"/>
              <w:jc w:val="center"/>
              <w:rPr>
                <w:rFonts w:cstheme="minorHAnsi"/>
                <w:sz w:val="18"/>
                <w:szCs w:val="18"/>
                <w:lang w:val="pt-BR"/>
              </w:rPr>
            </w:pPr>
          </w:p>
        </w:tc>
        <w:tc>
          <w:tcPr>
            <w:tcW w:w="358" w:type="pct"/>
            <w:gridSpan w:val="2"/>
            <w:tcBorders>
              <w:top w:val="single" w:color="auto" w:sz="4" w:space="0"/>
              <w:left w:val="single" w:color="auto" w:sz="4" w:space="0"/>
              <w:bottom w:val="single" w:color="auto" w:sz="4" w:space="0"/>
              <w:right w:val="single" w:color="auto" w:sz="4" w:space="0"/>
            </w:tcBorders>
          </w:tcPr>
          <w:p w14:paraId="13F66F30">
            <w:pPr>
              <w:spacing w:after="240" w:line="238" w:lineRule="exact"/>
              <w:jc w:val="center"/>
              <w:rPr>
                <w:rFonts w:ascii="Calibri" w:hAnsi="Calibri" w:cs="Calibri"/>
                <w:sz w:val="18"/>
                <w:szCs w:val="18"/>
              </w:rPr>
            </w:pPr>
            <w:r>
              <w:rPr>
                <w:rFonts w:hint="eastAsia" w:ascii="Calibri" w:hAnsi="Calibri" w:cs="Calibri"/>
                <w:sz w:val="18"/>
                <w:szCs w:val="18"/>
              </w:rPr>
              <w:t>N</w:t>
            </w:r>
            <w:r>
              <w:rPr>
                <w:rFonts w:ascii="Calibri" w:hAnsi="Calibri" w:cs="Calibri"/>
                <w:sz w:val="18"/>
                <w:szCs w:val="18"/>
              </w:rPr>
              <w:t>ote</w:t>
            </w:r>
          </w:p>
        </w:tc>
        <w:tc>
          <w:tcPr>
            <w:tcW w:w="3744" w:type="pct"/>
            <w:gridSpan w:val="10"/>
            <w:tcBorders>
              <w:top w:val="single" w:color="auto" w:sz="4" w:space="0"/>
              <w:left w:val="single" w:color="auto" w:sz="4" w:space="0"/>
              <w:bottom w:val="single" w:color="auto" w:sz="4" w:space="0"/>
              <w:right w:val="single" w:color="auto" w:sz="4" w:space="0"/>
            </w:tcBorders>
            <w:shd w:val="clear" w:color="auto" w:fill="auto"/>
          </w:tcPr>
          <w:p w14:paraId="7829B9F6">
            <w:pPr>
              <w:spacing w:after="240" w:line="238" w:lineRule="exact"/>
              <w:jc w:val="left"/>
              <w:rPr>
                <w:rFonts w:ascii="Calibri" w:hAnsi="Calibri" w:cs="Calibri"/>
                <w:sz w:val="18"/>
                <w:szCs w:val="18"/>
              </w:rPr>
            </w:pPr>
            <w:r>
              <w:rPr>
                <w:rFonts w:ascii="Calibri" w:hAnsi="Calibri" w:cs="Calibri"/>
                <w:sz w:val="18"/>
                <w:szCs w:val="18"/>
              </w:rPr>
              <w:t>When high static pressure, differential pressure and gauge pressure (mileage&gt;25MPa) are selected, high pressure clamps will be used, and the screws and bolts that fix the clamps are made of carbon steel.</w:t>
            </w:r>
          </w:p>
        </w:tc>
      </w:tr>
      <w:tr w14:paraId="39F7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623569A2">
            <w:pPr>
              <w:spacing w:after="240"/>
              <w:jc w:val="center"/>
              <w:rPr>
                <w:rFonts w:cstheme="minorHAnsi"/>
                <w:sz w:val="18"/>
                <w:szCs w:val="18"/>
                <w:lang w:val="pt-BR"/>
              </w:rPr>
            </w:pPr>
          </w:p>
        </w:tc>
        <w:tc>
          <w:tcPr>
            <w:tcW w:w="450" w:type="pct"/>
            <w:vMerge w:val="continue"/>
            <w:tcBorders>
              <w:left w:val="single" w:color="auto" w:sz="4" w:space="0"/>
              <w:right w:val="nil"/>
            </w:tcBorders>
          </w:tcPr>
          <w:p w14:paraId="36224804">
            <w:pPr>
              <w:spacing w:after="240"/>
              <w:jc w:val="center"/>
              <w:rPr>
                <w:rFonts w:cstheme="minorHAnsi"/>
                <w:sz w:val="18"/>
                <w:szCs w:val="18"/>
                <w:lang w:val="pt-BR"/>
              </w:rPr>
            </w:pPr>
          </w:p>
        </w:tc>
        <w:tc>
          <w:tcPr>
            <w:tcW w:w="179" w:type="pct"/>
            <w:vMerge w:val="restart"/>
            <w:tcBorders>
              <w:top w:val="single" w:color="auto" w:sz="4" w:space="0"/>
              <w:left w:val="nil"/>
              <w:right w:val="single" w:color="auto" w:sz="4" w:space="0"/>
            </w:tcBorders>
          </w:tcPr>
          <w:p w14:paraId="5C3184F6">
            <w:pPr>
              <w:spacing w:after="240"/>
              <w:jc w:val="center"/>
              <w:rPr>
                <w:rFonts w:cstheme="minorHAnsi"/>
                <w:sz w:val="18"/>
                <w:szCs w:val="18"/>
                <w:lang w:val="pt-BR"/>
              </w:rPr>
            </w:pPr>
          </w:p>
        </w:tc>
        <w:tc>
          <w:tcPr>
            <w:tcW w:w="179" w:type="pct"/>
            <w:vMerge w:val="restart"/>
            <w:tcBorders>
              <w:top w:val="single" w:color="auto" w:sz="4" w:space="0"/>
              <w:left w:val="nil"/>
              <w:right w:val="single" w:color="auto" w:sz="4" w:space="0"/>
            </w:tcBorders>
          </w:tcPr>
          <w:p w14:paraId="72C6C474">
            <w:pPr>
              <w:spacing w:after="240"/>
              <w:jc w:val="center"/>
              <w:rPr>
                <w:rFonts w:cstheme="minorHAnsi"/>
                <w:sz w:val="18"/>
                <w:szCs w:val="18"/>
                <w:lang w:val="pt-BR"/>
              </w:rPr>
            </w:pPr>
          </w:p>
        </w:tc>
        <w:tc>
          <w:tcPr>
            <w:tcW w:w="389" w:type="pct"/>
            <w:gridSpan w:val="2"/>
            <w:tcBorders>
              <w:top w:val="single" w:color="auto" w:sz="4" w:space="0"/>
              <w:left w:val="single" w:color="auto" w:sz="4" w:space="0"/>
              <w:bottom w:val="single" w:color="auto" w:sz="4" w:space="0"/>
              <w:right w:val="single" w:color="auto" w:sz="4" w:space="0"/>
            </w:tcBorders>
            <w:shd w:val="clear" w:color="auto" w:fill="F2F2F2"/>
          </w:tcPr>
          <w:p w14:paraId="4E6B9658">
            <w:pPr>
              <w:spacing w:after="240"/>
              <w:jc w:val="center"/>
              <w:rPr>
                <w:rFonts w:cstheme="minorHAnsi"/>
                <w:spacing w:val="-20"/>
                <w:sz w:val="18"/>
                <w:szCs w:val="18"/>
                <w:lang w:val="pt-BR"/>
              </w:rPr>
            </w:pPr>
            <w:r>
              <w:rPr>
                <w:rFonts w:cstheme="minorHAnsi"/>
                <w:sz w:val="18"/>
                <w:szCs w:val="18"/>
              </w:rPr>
              <w:t>Code</w:t>
            </w:r>
          </w:p>
        </w:tc>
        <w:tc>
          <w:tcPr>
            <w:tcW w:w="3354" w:type="pct"/>
            <w:gridSpan w:val="8"/>
            <w:tcBorders>
              <w:top w:val="single" w:color="auto" w:sz="4" w:space="0"/>
              <w:left w:val="single" w:color="auto" w:sz="4" w:space="0"/>
              <w:bottom w:val="single" w:color="auto" w:sz="4" w:space="0"/>
              <w:right w:val="single" w:color="auto" w:sz="4" w:space="0"/>
            </w:tcBorders>
            <w:shd w:val="clear" w:color="auto" w:fill="F2F2F2"/>
          </w:tcPr>
          <w:p w14:paraId="10737FB8">
            <w:pPr>
              <w:spacing w:after="240"/>
              <w:jc w:val="center"/>
              <w:rPr>
                <w:rFonts w:cstheme="minorHAnsi"/>
                <w:sz w:val="18"/>
                <w:szCs w:val="18"/>
                <w:lang w:val="pt-BR"/>
              </w:rPr>
            </w:pPr>
            <w:r>
              <w:rPr>
                <w:rFonts w:cstheme="minorHAnsi"/>
                <w:sz w:val="18"/>
                <w:szCs w:val="18"/>
                <w:lang w:val="pt-BR"/>
              </w:rPr>
              <w:t>Communication protocol</w:t>
            </w:r>
          </w:p>
        </w:tc>
      </w:tr>
      <w:tr w14:paraId="420F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449" w:type="pct"/>
            <w:vMerge w:val="continue"/>
            <w:tcBorders>
              <w:left w:val="nil"/>
              <w:bottom w:val="nil"/>
              <w:right w:val="single" w:color="auto" w:sz="4" w:space="0"/>
            </w:tcBorders>
          </w:tcPr>
          <w:p w14:paraId="648A5535">
            <w:pPr>
              <w:spacing w:after="240"/>
              <w:jc w:val="center"/>
              <w:rPr>
                <w:rFonts w:cstheme="minorHAnsi"/>
                <w:sz w:val="18"/>
                <w:szCs w:val="18"/>
                <w:lang w:val="pt-BR"/>
              </w:rPr>
            </w:pPr>
          </w:p>
        </w:tc>
        <w:tc>
          <w:tcPr>
            <w:tcW w:w="450" w:type="pct"/>
            <w:vMerge w:val="continue"/>
            <w:tcBorders>
              <w:left w:val="single" w:color="auto" w:sz="4" w:space="0"/>
              <w:right w:val="nil"/>
            </w:tcBorders>
          </w:tcPr>
          <w:p w14:paraId="29F3C4BF">
            <w:pPr>
              <w:spacing w:after="240"/>
              <w:jc w:val="center"/>
              <w:rPr>
                <w:rFonts w:cstheme="minorHAnsi"/>
                <w:sz w:val="18"/>
                <w:szCs w:val="18"/>
                <w:lang w:val="pt-BR"/>
              </w:rPr>
            </w:pPr>
          </w:p>
        </w:tc>
        <w:tc>
          <w:tcPr>
            <w:tcW w:w="179" w:type="pct"/>
            <w:vMerge w:val="continue"/>
            <w:tcBorders>
              <w:left w:val="nil"/>
              <w:right w:val="single" w:color="auto" w:sz="4" w:space="0"/>
            </w:tcBorders>
          </w:tcPr>
          <w:p w14:paraId="07CF9BD9">
            <w:pPr>
              <w:spacing w:after="240"/>
              <w:jc w:val="center"/>
              <w:rPr>
                <w:rFonts w:cstheme="minorHAnsi"/>
                <w:sz w:val="18"/>
                <w:szCs w:val="18"/>
                <w:lang w:val="pt-BR"/>
              </w:rPr>
            </w:pPr>
          </w:p>
        </w:tc>
        <w:tc>
          <w:tcPr>
            <w:tcW w:w="179" w:type="pct"/>
            <w:vMerge w:val="continue"/>
            <w:tcBorders>
              <w:left w:val="nil"/>
              <w:right w:val="single" w:color="auto" w:sz="4" w:space="0"/>
            </w:tcBorders>
          </w:tcPr>
          <w:p w14:paraId="429A79BF">
            <w:pPr>
              <w:spacing w:after="240"/>
              <w:jc w:val="center"/>
              <w:rPr>
                <w:rFonts w:cstheme="minorHAnsi"/>
                <w:sz w:val="18"/>
                <w:szCs w:val="18"/>
                <w:lang w:val="pt-BR"/>
              </w:rPr>
            </w:pPr>
          </w:p>
        </w:tc>
        <w:tc>
          <w:tcPr>
            <w:tcW w:w="389" w:type="pct"/>
            <w:gridSpan w:val="2"/>
            <w:tcBorders>
              <w:top w:val="single" w:color="auto" w:sz="4" w:space="0"/>
              <w:left w:val="single" w:color="auto" w:sz="4" w:space="0"/>
              <w:bottom w:val="single" w:color="auto" w:sz="4" w:space="0"/>
              <w:right w:val="single" w:color="auto" w:sz="4" w:space="0"/>
            </w:tcBorders>
          </w:tcPr>
          <w:p w14:paraId="3B3D6AC8">
            <w:pPr>
              <w:spacing w:after="240"/>
              <w:jc w:val="center"/>
              <w:rPr>
                <w:rFonts w:cstheme="minorHAnsi"/>
                <w:sz w:val="18"/>
                <w:szCs w:val="18"/>
              </w:rPr>
            </w:pPr>
            <w:r>
              <w:rPr>
                <w:rFonts w:cstheme="minorHAnsi"/>
                <w:sz w:val="18"/>
                <w:szCs w:val="18"/>
              </w:rPr>
              <w:t>H</w:t>
            </w:r>
          </w:p>
        </w:tc>
        <w:tc>
          <w:tcPr>
            <w:tcW w:w="3354" w:type="pct"/>
            <w:gridSpan w:val="8"/>
            <w:tcBorders>
              <w:top w:val="single" w:color="auto" w:sz="4" w:space="0"/>
              <w:left w:val="single" w:color="auto" w:sz="4" w:space="0"/>
              <w:bottom w:val="single" w:color="auto" w:sz="4" w:space="0"/>
              <w:right w:val="single" w:color="auto" w:sz="4" w:space="0"/>
            </w:tcBorders>
            <w:shd w:val="clear" w:color="auto" w:fill="auto"/>
          </w:tcPr>
          <w:p w14:paraId="3E363EB1">
            <w:pPr>
              <w:spacing w:after="240"/>
              <w:rPr>
                <w:rFonts w:cstheme="minorHAnsi"/>
                <w:sz w:val="18"/>
                <w:szCs w:val="18"/>
              </w:rPr>
            </w:pPr>
            <w:r>
              <w:rPr>
                <w:rFonts w:cstheme="minorHAnsi"/>
                <w:sz w:val="18"/>
                <w:szCs w:val="18"/>
              </w:rPr>
              <w:t>HART</w:t>
            </w:r>
          </w:p>
        </w:tc>
      </w:tr>
      <w:tr w14:paraId="7BAF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449" w:type="pct"/>
            <w:vMerge w:val="continue"/>
            <w:tcBorders>
              <w:left w:val="nil"/>
              <w:bottom w:val="nil"/>
              <w:right w:val="single" w:color="auto" w:sz="4" w:space="0"/>
            </w:tcBorders>
          </w:tcPr>
          <w:p w14:paraId="76954967">
            <w:pPr>
              <w:spacing w:after="240"/>
              <w:jc w:val="center"/>
              <w:rPr>
                <w:rFonts w:cstheme="minorHAnsi"/>
                <w:sz w:val="18"/>
                <w:szCs w:val="18"/>
                <w:lang w:val="pt-BR"/>
              </w:rPr>
            </w:pPr>
          </w:p>
        </w:tc>
        <w:tc>
          <w:tcPr>
            <w:tcW w:w="450" w:type="pct"/>
            <w:vMerge w:val="continue"/>
            <w:tcBorders>
              <w:left w:val="single" w:color="auto" w:sz="4" w:space="0"/>
              <w:right w:val="nil"/>
            </w:tcBorders>
          </w:tcPr>
          <w:p w14:paraId="582DEF13">
            <w:pPr>
              <w:spacing w:after="240"/>
              <w:jc w:val="center"/>
              <w:rPr>
                <w:rFonts w:cstheme="minorHAnsi"/>
                <w:sz w:val="18"/>
                <w:szCs w:val="18"/>
                <w:lang w:val="pt-BR"/>
              </w:rPr>
            </w:pPr>
          </w:p>
        </w:tc>
        <w:tc>
          <w:tcPr>
            <w:tcW w:w="179" w:type="pct"/>
            <w:vMerge w:val="continue"/>
            <w:tcBorders>
              <w:left w:val="nil"/>
              <w:right w:val="single" w:color="auto" w:sz="4" w:space="0"/>
            </w:tcBorders>
          </w:tcPr>
          <w:p w14:paraId="75399313">
            <w:pPr>
              <w:spacing w:after="240"/>
              <w:jc w:val="center"/>
              <w:rPr>
                <w:rFonts w:cstheme="minorHAnsi"/>
                <w:sz w:val="18"/>
                <w:szCs w:val="18"/>
                <w:lang w:val="pt-BR"/>
              </w:rPr>
            </w:pPr>
          </w:p>
        </w:tc>
        <w:tc>
          <w:tcPr>
            <w:tcW w:w="179" w:type="pct"/>
            <w:vMerge w:val="continue"/>
            <w:tcBorders>
              <w:left w:val="nil"/>
              <w:right w:val="single" w:color="auto" w:sz="4" w:space="0"/>
            </w:tcBorders>
          </w:tcPr>
          <w:p w14:paraId="3CCC44AD">
            <w:pPr>
              <w:spacing w:after="240"/>
              <w:jc w:val="center"/>
              <w:rPr>
                <w:rFonts w:cstheme="minorHAnsi"/>
                <w:sz w:val="18"/>
                <w:szCs w:val="18"/>
                <w:lang w:val="pt-BR"/>
              </w:rPr>
            </w:pPr>
          </w:p>
        </w:tc>
        <w:tc>
          <w:tcPr>
            <w:tcW w:w="389" w:type="pct"/>
            <w:gridSpan w:val="2"/>
            <w:tcBorders>
              <w:top w:val="single" w:color="auto" w:sz="4" w:space="0"/>
              <w:left w:val="single" w:color="auto" w:sz="4" w:space="0"/>
              <w:bottom w:val="single" w:color="auto" w:sz="4" w:space="0"/>
              <w:right w:val="single" w:color="auto" w:sz="4" w:space="0"/>
            </w:tcBorders>
          </w:tcPr>
          <w:p w14:paraId="03737598">
            <w:pPr>
              <w:spacing w:after="240"/>
              <w:jc w:val="center"/>
              <w:rPr>
                <w:rFonts w:cstheme="minorHAnsi"/>
                <w:sz w:val="18"/>
                <w:szCs w:val="18"/>
              </w:rPr>
            </w:pPr>
            <w:r>
              <w:rPr>
                <w:rFonts w:cstheme="minorHAnsi"/>
                <w:sz w:val="18"/>
                <w:szCs w:val="18"/>
              </w:rPr>
              <w:t>P</w:t>
            </w:r>
          </w:p>
        </w:tc>
        <w:tc>
          <w:tcPr>
            <w:tcW w:w="3354" w:type="pct"/>
            <w:gridSpan w:val="8"/>
            <w:tcBorders>
              <w:top w:val="single" w:color="auto" w:sz="4" w:space="0"/>
              <w:left w:val="single" w:color="auto" w:sz="4" w:space="0"/>
              <w:bottom w:val="single" w:color="auto" w:sz="4" w:space="0"/>
              <w:right w:val="single" w:color="auto" w:sz="4" w:space="0"/>
            </w:tcBorders>
            <w:shd w:val="clear" w:color="auto" w:fill="auto"/>
          </w:tcPr>
          <w:p w14:paraId="7F730C66">
            <w:pPr>
              <w:spacing w:after="240"/>
              <w:rPr>
                <w:rFonts w:cstheme="minorHAnsi"/>
                <w:sz w:val="18"/>
                <w:szCs w:val="18"/>
              </w:rPr>
            </w:pPr>
            <w:r>
              <w:rPr>
                <w:rFonts w:cstheme="minorHAnsi"/>
                <w:sz w:val="18"/>
                <w:szCs w:val="18"/>
              </w:rPr>
              <w:t>PA</w:t>
            </w:r>
          </w:p>
        </w:tc>
      </w:tr>
      <w:tr w14:paraId="2502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449" w:type="pct"/>
            <w:vMerge w:val="continue"/>
            <w:tcBorders>
              <w:left w:val="nil"/>
              <w:bottom w:val="nil"/>
              <w:right w:val="single" w:color="auto" w:sz="4" w:space="0"/>
            </w:tcBorders>
          </w:tcPr>
          <w:p w14:paraId="1E12D354">
            <w:pPr>
              <w:spacing w:after="240"/>
              <w:jc w:val="center"/>
              <w:rPr>
                <w:rFonts w:cstheme="minorHAnsi"/>
                <w:sz w:val="18"/>
                <w:szCs w:val="18"/>
                <w:lang w:val="pt-BR"/>
              </w:rPr>
            </w:pPr>
          </w:p>
        </w:tc>
        <w:tc>
          <w:tcPr>
            <w:tcW w:w="450" w:type="pct"/>
            <w:vMerge w:val="continue"/>
            <w:tcBorders>
              <w:left w:val="single" w:color="auto" w:sz="4" w:space="0"/>
              <w:right w:val="nil"/>
            </w:tcBorders>
          </w:tcPr>
          <w:p w14:paraId="5341F33D">
            <w:pPr>
              <w:spacing w:after="240"/>
              <w:jc w:val="center"/>
              <w:rPr>
                <w:rFonts w:cstheme="minorHAnsi"/>
                <w:sz w:val="18"/>
                <w:szCs w:val="18"/>
                <w:lang w:val="pt-BR"/>
              </w:rPr>
            </w:pPr>
          </w:p>
        </w:tc>
        <w:tc>
          <w:tcPr>
            <w:tcW w:w="179" w:type="pct"/>
            <w:vMerge w:val="continue"/>
            <w:tcBorders>
              <w:left w:val="nil"/>
              <w:right w:val="single" w:color="auto" w:sz="4" w:space="0"/>
            </w:tcBorders>
          </w:tcPr>
          <w:p w14:paraId="241D4E11">
            <w:pPr>
              <w:spacing w:after="240"/>
              <w:jc w:val="center"/>
              <w:rPr>
                <w:rFonts w:cstheme="minorHAnsi"/>
                <w:sz w:val="18"/>
                <w:szCs w:val="18"/>
                <w:lang w:val="pt-BR"/>
              </w:rPr>
            </w:pPr>
          </w:p>
        </w:tc>
        <w:tc>
          <w:tcPr>
            <w:tcW w:w="179" w:type="pct"/>
            <w:vMerge w:val="continue"/>
            <w:tcBorders>
              <w:left w:val="nil"/>
              <w:right w:val="single" w:color="auto" w:sz="4" w:space="0"/>
            </w:tcBorders>
          </w:tcPr>
          <w:p w14:paraId="1348B307">
            <w:pPr>
              <w:spacing w:after="240"/>
              <w:jc w:val="center"/>
              <w:rPr>
                <w:rFonts w:cstheme="minorHAnsi"/>
                <w:sz w:val="18"/>
                <w:szCs w:val="18"/>
                <w:lang w:val="pt-BR"/>
              </w:rPr>
            </w:pPr>
          </w:p>
        </w:tc>
        <w:tc>
          <w:tcPr>
            <w:tcW w:w="389" w:type="pct"/>
            <w:gridSpan w:val="2"/>
            <w:tcBorders>
              <w:top w:val="single" w:color="auto" w:sz="4" w:space="0"/>
              <w:left w:val="single" w:color="auto" w:sz="4" w:space="0"/>
              <w:bottom w:val="single" w:color="auto" w:sz="4" w:space="0"/>
              <w:right w:val="single" w:color="auto" w:sz="4" w:space="0"/>
            </w:tcBorders>
          </w:tcPr>
          <w:p w14:paraId="6708C6A4">
            <w:pPr>
              <w:spacing w:after="240"/>
              <w:jc w:val="center"/>
              <w:rPr>
                <w:rFonts w:cstheme="minorHAnsi"/>
                <w:sz w:val="18"/>
                <w:szCs w:val="18"/>
              </w:rPr>
            </w:pPr>
            <w:r>
              <w:rPr>
                <w:rFonts w:cstheme="minorHAnsi"/>
                <w:sz w:val="18"/>
                <w:szCs w:val="18"/>
              </w:rPr>
              <w:t>F</w:t>
            </w:r>
          </w:p>
        </w:tc>
        <w:tc>
          <w:tcPr>
            <w:tcW w:w="3354" w:type="pct"/>
            <w:gridSpan w:val="8"/>
            <w:tcBorders>
              <w:top w:val="single" w:color="auto" w:sz="4" w:space="0"/>
              <w:left w:val="single" w:color="auto" w:sz="4" w:space="0"/>
              <w:bottom w:val="single" w:color="auto" w:sz="4" w:space="0"/>
              <w:right w:val="single" w:color="auto" w:sz="4" w:space="0"/>
            </w:tcBorders>
            <w:shd w:val="clear" w:color="auto" w:fill="auto"/>
          </w:tcPr>
          <w:p w14:paraId="56B97D22">
            <w:pPr>
              <w:spacing w:after="240"/>
              <w:rPr>
                <w:rFonts w:cstheme="minorHAnsi"/>
                <w:sz w:val="18"/>
                <w:szCs w:val="18"/>
              </w:rPr>
            </w:pPr>
            <w:r>
              <w:rPr>
                <w:rFonts w:cstheme="minorHAnsi"/>
                <w:sz w:val="18"/>
                <w:szCs w:val="18"/>
              </w:rPr>
              <w:t>FF</w:t>
            </w:r>
          </w:p>
        </w:tc>
      </w:tr>
      <w:tr w14:paraId="5653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449" w:type="pct"/>
            <w:vMerge w:val="continue"/>
            <w:tcBorders>
              <w:left w:val="nil"/>
              <w:bottom w:val="nil"/>
              <w:right w:val="single" w:color="auto" w:sz="4" w:space="0"/>
            </w:tcBorders>
          </w:tcPr>
          <w:p w14:paraId="697675AF">
            <w:pPr>
              <w:spacing w:after="240"/>
              <w:jc w:val="center"/>
              <w:rPr>
                <w:rFonts w:cstheme="minorHAnsi"/>
                <w:sz w:val="18"/>
                <w:szCs w:val="18"/>
                <w:lang w:val="pt-BR"/>
              </w:rPr>
            </w:pPr>
          </w:p>
        </w:tc>
        <w:tc>
          <w:tcPr>
            <w:tcW w:w="450" w:type="pct"/>
            <w:vMerge w:val="continue"/>
            <w:tcBorders>
              <w:left w:val="single" w:color="auto" w:sz="4" w:space="0"/>
              <w:right w:val="nil"/>
            </w:tcBorders>
          </w:tcPr>
          <w:p w14:paraId="008D97F0">
            <w:pPr>
              <w:spacing w:after="240"/>
              <w:jc w:val="center"/>
              <w:rPr>
                <w:rFonts w:cstheme="minorHAnsi"/>
                <w:sz w:val="18"/>
                <w:szCs w:val="18"/>
                <w:lang w:val="pt-BR"/>
              </w:rPr>
            </w:pPr>
          </w:p>
        </w:tc>
        <w:tc>
          <w:tcPr>
            <w:tcW w:w="179" w:type="pct"/>
            <w:vMerge w:val="continue"/>
            <w:tcBorders>
              <w:left w:val="nil"/>
              <w:right w:val="single" w:color="auto" w:sz="4" w:space="0"/>
            </w:tcBorders>
          </w:tcPr>
          <w:p w14:paraId="530A921A">
            <w:pPr>
              <w:spacing w:after="240"/>
              <w:jc w:val="center"/>
              <w:rPr>
                <w:rFonts w:cstheme="minorHAnsi"/>
                <w:sz w:val="18"/>
                <w:szCs w:val="18"/>
                <w:lang w:val="pt-BR"/>
              </w:rPr>
            </w:pPr>
          </w:p>
        </w:tc>
        <w:tc>
          <w:tcPr>
            <w:tcW w:w="179" w:type="pct"/>
            <w:vMerge w:val="continue"/>
            <w:tcBorders>
              <w:left w:val="nil"/>
              <w:right w:val="single" w:color="auto" w:sz="4" w:space="0"/>
            </w:tcBorders>
          </w:tcPr>
          <w:p w14:paraId="5793C6F6">
            <w:pPr>
              <w:spacing w:after="240"/>
              <w:jc w:val="center"/>
              <w:rPr>
                <w:rFonts w:cstheme="minorHAnsi"/>
                <w:sz w:val="18"/>
                <w:szCs w:val="18"/>
                <w:lang w:val="pt-BR"/>
              </w:rPr>
            </w:pPr>
          </w:p>
        </w:tc>
        <w:tc>
          <w:tcPr>
            <w:tcW w:w="389" w:type="pct"/>
            <w:gridSpan w:val="2"/>
            <w:tcBorders>
              <w:top w:val="single" w:color="auto" w:sz="4" w:space="0"/>
              <w:left w:val="single" w:color="auto" w:sz="4" w:space="0"/>
              <w:bottom w:val="single" w:color="auto" w:sz="4" w:space="0"/>
              <w:right w:val="single" w:color="auto" w:sz="4" w:space="0"/>
            </w:tcBorders>
          </w:tcPr>
          <w:p w14:paraId="5B44B6AA">
            <w:pPr>
              <w:spacing w:after="240"/>
              <w:jc w:val="center"/>
              <w:rPr>
                <w:rFonts w:cstheme="minorHAnsi"/>
                <w:sz w:val="18"/>
                <w:szCs w:val="18"/>
              </w:rPr>
            </w:pPr>
            <w:r>
              <w:rPr>
                <w:rFonts w:cstheme="minorHAnsi"/>
                <w:sz w:val="18"/>
                <w:szCs w:val="18"/>
              </w:rPr>
              <w:t>D</w:t>
            </w:r>
          </w:p>
        </w:tc>
        <w:tc>
          <w:tcPr>
            <w:tcW w:w="3354" w:type="pct"/>
            <w:gridSpan w:val="8"/>
            <w:tcBorders>
              <w:top w:val="single" w:color="auto" w:sz="4" w:space="0"/>
              <w:left w:val="single" w:color="auto" w:sz="4" w:space="0"/>
              <w:bottom w:val="single" w:color="auto" w:sz="4" w:space="0"/>
              <w:right w:val="single" w:color="auto" w:sz="4" w:space="0"/>
            </w:tcBorders>
            <w:shd w:val="clear" w:color="auto" w:fill="auto"/>
          </w:tcPr>
          <w:p w14:paraId="762075CA">
            <w:pPr>
              <w:spacing w:after="240"/>
              <w:rPr>
                <w:rFonts w:cstheme="minorHAnsi"/>
                <w:sz w:val="18"/>
                <w:szCs w:val="18"/>
              </w:rPr>
            </w:pPr>
            <w:r>
              <w:rPr>
                <w:rFonts w:cstheme="minorHAnsi"/>
                <w:sz w:val="18"/>
                <w:szCs w:val="18"/>
              </w:rPr>
              <w:t>DP</w:t>
            </w:r>
          </w:p>
        </w:tc>
      </w:tr>
      <w:tr w14:paraId="4E87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449" w:type="pct"/>
            <w:vMerge w:val="continue"/>
            <w:tcBorders>
              <w:left w:val="nil"/>
              <w:bottom w:val="nil"/>
              <w:right w:val="single" w:color="auto" w:sz="4" w:space="0"/>
            </w:tcBorders>
          </w:tcPr>
          <w:p w14:paraId="72BF7A27">
            <w:pPr>
              <w:spacing w:after="240"/>
              <w:jc w:val="center"/>
              <w:rPr>
                <w:rFonts w:cstheme="minorHAnsi"/>
                <w:sz w:val="18"/>
                <w:szCs w:val="18"/>
                <w:lang w:val="pt-BR"/>
              </w:rPr>
            </w:pPr>
          </w:p>
        </w:tc>
        <w:tc>
          <w:tcPr>
            <w:tcW w:w="450" w:type="pct"/>
            <w:vMerge w:val="continue"/>
            <w:tcBorders>
              <w:left w:val="single" w:color="auto" w:sz="4" w:space="0"/>
              <w:right w:val="nil"/>
            </w:tcBorders>
          </w:tcPr>
          <w:p w14:paraId="36BE0E33">
            <w:pPr>
              <w:spacing w:after="240"/>
              <w:jc w:val="center"/>
              <w:rPr>
                <w:rFonts w:cstheme="minorHAnsi"/>
                <w:sz w:val="18"/>
                <w:szCs w:val="18"/>
                <w:lang w:val="pt-BR"/>
              </w:rPr>
            </w:pPr>
          </w:p>
        </w:tc>
        <w:tc>
          <w:tcPr>
            <w:tcW w:w="179" w:type="pct"/>
            <w:vMerge w:val="continue"/>
            <w:tcBorders>
              <w:left w:val="nil"/>
              <w:right w:val="single" w:color="auto" w:sz="4" w:space="0"/>
            </w:tcBorders>
          </w:tcPr>
          <w:p w14:paraId="343380E3">
            <w:pPr>
              <w:spacing w:after="240"/>
              <w:jc w:val="center"/>
              <w:rPr>
                <w:rFonts w:cstheme="minorHAnsi"/>
                <w:sz w:val="18"/>
                <w:szCs w:val="18"/>
                <w:lang w:val="pt-BR"/>
              </w:rPr>
            </w:pPr>
          </w:p>
        </w:tc>
        <w:tc>
          <w:tcPr>
            <w:tcW w:w="179" w:type="pct"/>
            <w:vMerge w:val="continue"/>
            <w:tcBorders>
              <w:left w:val="nil"/>
              <w:right w:val="single" w:color="auto" w:sz="4" w:space="0"/>
            </w:tcBorders>
          </w:tcPr>
          <w:p w14:paraId="36E44D72">
            <w:pPr>
              <w:spacing w:after="240"/>
              <w:jc w:val="center"/>
              <w:rPr>
                <w:rFonts w:cstheme="minorHAnsi"/>
                <w:sz w:val="18"/>
                <w:szCs w:val="18"/>
                <w:lang w:val="pt-BR"/>
              </w:rPr>
            </w:pPr>
          </w:p>
        </w:tc>
        <w:tc>
          <w:tcPr>
            <w:tcW w:w="389" w:type="pct"/>
            <w:gridSpan w:val="2"/>
            <w:tcBorders>
              <w:top w:val="single" w:color="auto" w:sz="4" w:space="0"/>
              <w:left w:val="single" w:color="auto" w:sz="4" w:space="0"/>
              <w:bottom w:val="single" w:color="auto" w:sz="4" w:space="0"/>
              <w:right w:val="single" w:color="auto" w:sz="4" w:space="0"/>
            </w:tcBorders>
          </w:tcPr>
          <w:p w14:paraId="6F7BE51B">
            <w:pPr>
              <w:spacing w:after="240"/>
              <w:jc w:val="center"/>
              <w:rPr>
                <w:rFonts w:cstheme="minorHAnsi"/>
                <w:sz w:val="18"/>
                <w:szCs w:val="18"/>
              </w:rPr>
            </w:pPr>
            <w:r>
              <w:rPr>
                <w:rFonts w:hint="eastAsia" w:cstheme="minorHAnsi"/>
                <w:sz w:val="18"/>
                <w:szCs w:val="18"/>
              </w:rPr>
              <w:t>W</w:t>
            </w:r>
          </w:p>
        </w:tc>
        <w:tc>
          <w:tcPr>
            <w:tcW w:w="3354" w:type="pct"/>
            <w:gridSpan w:val="8"/>
            <w:tcBorders>
              <w:top w:val="single" w:color="auto" w:sz="4" w:space="0"/>
              <w:left w:val="single" w:color="auto" w:sz="4" w:space="0"/>
              <w:bottom w:val="single" w:color="auto" w:sz="4" w:space="0"/>
              <w:right w:val="single" w:color="auto" w:sz="4" w:space="0"/>
            </w:tcBorders>
            <w:shd w:val="clear" w:color="auto" w:fill="auto"/>
          </w:tcPr>
          <w:p w14:paraId="7F111CB7">
            <w:pPr>
              <w:spacing w:after="240"/>
              <w:rPr>
                <w:rFonts w:cstheme="minorHAnsi"/>
                <w:sz w:val="18"/>
                <w:szCs w:val="18"/>
              </w:rPr>
            </w:pPr>
            <w:r>
              <w:rPr>
                <w:rFonts w:hint="eastAsia" w:ascii="Calibri" w:hAnsi="Calibri" w:cs="Calibri"/>
                <w:sz w:val="18"/>
                <w:szCs w:val="18"/>
              </w:rPr>
              <w:t>Wire</w:t>
            </w:r>
            <w:r>
              <w:rPr>
                <w:rFonts w:ascii="Calibri" w:hAnsi="Calibri" w:cs="Calibri"/>
                <w:sz w:val="18"/>
                <w:szCs w:val="18"/>
              </w:rPr>
              <w:t>lessHART</w:t>
            </w:r>
          </w:p>
        </w:tc>
      </w:tr>
      <w:tr w14:paraId="2326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66B9DD07">
            <w:pPr>
              <w:spacing w:after="240"/>
              <w:jc w:val="center"/>
              <w:rPr>
                <w:rFonts w:cstheme="minorHAnsi"/>
                <w:sz w:val="18"/>
                <w:szCs w:val="18"/>
                <w:lang w:val="pt-BR"/>
              </w:rPr>
            </w:pPr>
          </w:p>
        </w:tc>
        <w:tc>
          <w:tcPr>
            <w:tcW w:w="450" w:type="pct"/>
            <w:vMerge w:val="continue"/>
            <w:tcBorders>
              <w:left w:val="single" w:color="auto" w:sz="4" w:space="0"/>
              <w:right w:val="nil"/>
            </w:tcBorders>
          </w:tcPr>
          <w:p w14:paraId="036146B0">
            <w:pPr>
              <w:spacing w:after="240"/>
              <w:jc w:val="center"/>
              <w:rPr>
                <w:rFonts w:cstheme="minorHAnsi"/>
                <w:sz w:val="18"/>
                <w:szCs w:val="18"/>
                <w:lang w:val="pt-BR"/>
              </w:rPr>
            </w:pPr>
          </w:p>
        </w:tc>
        <w:tc>
          <w:tcPr>
            <w:tcW w:w="179" w:type="pct"/>
            <w:vMerge w:val="continue"/>
            <w:tcBorders>
              <w:left w:val="nil"/>
              <w:right w:val="single" w:color="auto" w:sz="4" w:space="0"/>
            </w:tcBorders>
          </w:tcPr>
          <w:p w14:paraId="45E18C0E">
            <w:pPr>
              <w:spacing w:after="240"/>
              <w:jc w:val="center"/>
              <w:rPr>
                <w:rFonts w:cstheme="minorHAnsi"/>
                <w:sz w:val="18"/>
                <w:szCs w:val="18"/>
                <w:lang w:val="pt-BR"/>
              </w:rPr>
            </w:pPr>
          </w:p>
        </w:tc>
        <w:tc>
          <w:tcPr>
            <w:tcW w:w="179" w:type="pct"/>
            <w:vMerge w:val="continue"/>
            <w:tcBorders>
              <w:left w:val="single" w:color="auto" w:sz="4" w:space="0"/>
              <w:right w:val="nil"/>
            </w:tcBorders>
          </w:tcPr>
          <w:p w14:paraId="78C6BED0">
            <w:pPr>
              <w:spacing w:after="240"/>
              <w:jc w:val="center"/>
              <w:rPr>
                <w:rFonts w:cstheme="minorHAnsi"/>
                <w:sz w:val="18"/>
                <w:szCs w:val="18"/>
                <w:lang w:val="pt-BR"/>
              </w:rPr>
            </w:pPr>
          </w:p>
        </w:tc>
        <w:tc>
          <w:tcPr>
            <w:tcW w:w="194" w:type="pct"/>
            <w:vMerge w:val="restart"/>
            <w:tcBorders>
              <w:top w:val="single" w:color="auto" w:sz="4" w:space="0"/>
              <w:left w:val="nil"/>
              <w:right w:val="single" w:color="auto" w:sz="4" w:space="0"/>
            </w:tcBorders>
          </w:tcPr>
          <w:p w14:paraId="7B932792">
            <w:pPr>
              <w:spacing w:after="240"/>
              <w:jc w:val="center"/>
              <w:rPr>
                <w:rFonts w:cstheme="minorHAnsi"/>
                <w:sz w:val="18"/>
                <w:szCs w:val="18"/>
                <w:lang w:val="pt-BR"/>
              </w:rPr>
            </w:pPr>
          </w:p>
        </w:tc>
        <w:tc>
          <w:tcPr>
            <w:tcW w:w="195" w:type="pct"/>
            <w:vMerge w:val="restart"/>
            <w:tcBorders>
              <w:top w:val="single" w:color="auto" w:sz="4" w:space="0"/>
              <w:left w:val="nil"/>
              <w:right w:val="single" w:color="auto" w:sz="4" w:space="0"/>
            </w:tcBorders>
          </w:tcPr>
          <w:p w14:paraId="57620F8A">
            <w:pPr>
              <w:spacing w:after="240"/>
              <w:jc w:val="center"/>
              <w:rPr>
                <w:rFonts w:cstheme="minorHAnsi"/>
                <w:sz w:val="18"/>
                <w:szCs w:val="18"/>
                <w:lang w:val="pt-BR"/>
              </w:rPr>
            </w:pPr>
          </w:p>
        </w:tc>
        <w:tc>
          <w:tcPr>
            <w:tcW w:w="390" w:type="pct"/>
            <w:gridSpan w:val="2"/>
            <w:vMerge w:val="restart"/>
            <w:tcBorders>
              <w:top w:val="single" w:color="auto" w:sz="4" w:space="0"/>
              <w:left w:val="single" w:color="auto" w:sz="4" w:space="0"/>
              <w:bottom w:val="single" w:color="auto" w:sz="4" w:space="0"/>
              <w:right w:val="single" w:color="auto" w:sz="4" w:space="0"/>
            </w:tcBorders>
            <w:shd w:val="clear" w:color="auto" w:fill="F2F2F2"/>
          </w:tcPr>
          <w:p w14:paraId="67FAF294">
            <w:pPr>
              <w:spacing w:after="240"/>
              <w:jc w:val="center"/>
              <w:rPr>
                <w:rFonts w:cstheme="minorHAnsi"/>
                <w:sz w:val="18"/>
                <w:szCs w:val="18"/>
                <w:lang w:val="pt-BR"/>
              </w:rPr>
            </w:pPr>
            <w:r>
              <w:rPr>
                <w:rFonts w:cstheme="minorHAnsi"/>
                <w:sz w:val="18"/>
                <w:szCs w:val="18"/>
              </w:rPr>
              <w:t>Code</w:t>
            </w:r>
          </w:p>
        </w:tc>
        <w:tc>
          <w:tcPr>
            <w:tcW w:w="2964" w:type="pct"/>
            <w:gridSpan w:val="6"/>
            <w:tcBorders>
              <w:top w:val="single" w:color="auto" w:sz="4" w:space="0"/>
              <w:left w:val="single" w:color="auto" w:sz="4" w:space="0"/>
              <w:bottom w:val="single" w:color="auto" w:sz="4" w:space="0"/>
              <w:right w:val="single" w:color="auto" w:sz="4" w:space="0"/>
            </w:tcBorders>
            <w:shd w:val="clear" w:color="auto" w:fill="F2F2F2"/>
          </w:tcPr>
          <w:p w14:paraId="2139029E">
            <w:pPr>
              <w:spacing w:after="240"/>
              <w:jc w:val="center"/>
              <w:rPr>
                <w:rFonts w:cstheme="minorHAnsi"/>
                <w:sz w:val="18"/>
                <w:szCs w:val="18"/>
              </w:rPr>
            </w:pPr>
            <w:r>
              <w:rPr>
                <w:rFonts w:cstheme="minorHAnsi"/>
                <w:sz w:val="18"/>
                <w:szCs w:val="18"/>
              </w:rPr>
              <w:t>Structure material (Filled liquid: silicon oil)</w:t>
            </w:r>
          </w:p>
        </w:tc>
      </w:tr>
      <w:tr w14:paraId="0FC8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07FE93C2">
            <w:pPr>
              <w:spacing w:after="240"/>
              <w:jc w:val="center"/>
              <w:rPr>
                <w:rFonts w:cstheme="minorHAnsi"/>
                <w:sz w:val="18"/>
                <w:szCs w:val="18"/>
                <w:lang w:val="pt-BR"/>
              </w:rPr>
            </w:pPr>
          </w:p>
        </w:tc>
        <w:tc>
          <w:tcPr>
            <w:tcW w:w="450" w:type="pct"/>
            <w:vMerge w:val="continue"/>
            <w:tcBorders>
              <w:left w:val="single" w:color="auto" w:sz="4" w:space="0"/>
              <w:right w:val="nil"/>
            </w:tcBorders>
          </w:tcPr>
          <w:p w14:paraId="4C7729A8">
            <w:pPr>
              <w:spacing w:after="240"/>
              <w:jc w:val="center"/>
              <w:rPr>
                <w:rFonts w:cstheme="minorHAnsi"/>
                <w:sz w:val="18"/>
                <w:szCs w:val="18"/>
                <w:lang w:val="pt-BR"/>
              </w:rPr>
            </w:pPr>
          </w:p>
        </w:tc>
        <w:tc>
          <w:tcPr>
            <w:tcW w:w="179" w:type="pct"/>
            <w:vMerge w:val="continue"/>
            <w:tcBorders>
              <w:left w:val="nil"/>
              <w:right w:val="single" w:color="auto" w:sz="4" w:space="0"/>
            </w:tcBorders>
          </w:tcPr>
          <w:p w14:paraId="1285E402">
            <w:pPr>
              <w:spacing w:after="240"/>
              <w:jc w:val="center"/>
              <w:rPr>
                <w:rFonts w:cstheme="minorHAnsi"/>
                <w:sz w:val="18"/>
                <w:szCs w:val="18"/>
                <w:lang w:val="pt-BR"/>
              </w:rPr>
            </w:pPr>
          </w:p>
        </w:tc>
        <w:tc>
          <w:tcPr>
            <w:tcW w:w="179" w:type="pct"/>
            <w:vMerge w:val="continue"/>
            <w:tcBorders>
              <w:left w:val="single" w:color="auto" w:sz="4" w:space="0"/>
              <w:right w:val="nil"/>
            </w:tcBorders>
          </w:tcPr>
          <w:p w14:paraId="3588C944">
            <w:pPr>
              <w:spacing w:after="240"/>
              <w:jc w:val="center"/>
              <w:rPr>
                <w:rFonts w:cstheme="minorHAnsi"/>
                <w:sz w:val="18"/>
                <w:szCs w:val="18"/>
                <w:lang w:val="pt-BR"/>
              </w:rPr>
            </w:pPr>
          </w:p>
        </w:tc>
        <w:tc>
          <w:tcPr>
            <w:tcW w:w="194" w:type="pct"/>
            <w:vMerge w:val="continue"/>
            <w:tcBorders>
              <w:left w:val="nil"/>
              <w:right w:val="single" w:color="auto" w:sz="4" w:space="0"/>
            </w:tcBorders>
          </w:tcPr>
          <w:p w14:paraId="5B9DF371">
            <w:pPr>
              <w:spacing w:after="240"/>
              <w:jc w:val="center"/>
              <w:rPr>
                <w:rFonts w:cstheme="minorHAnsi"/>
                <w:sz w:val="18"/>
                <w:szCs w:val="18"/>
                <w:lang w:val="pt-BR"/>
              </w:rPr>
            </w:pPr>
          </w:p>
        </w:tc>
        <w:tc>
          <w:tcPr>
            <w:tcW w:w="195" w:type="pct"/>
            <w:vMerge w:val="continue"/>
            <w:tcBorders>
              <w:left w:val="nil"/>
              <w:right w:val="single" w:color="auto" w:sz="4" w:space="0"/>
            </w:tcBorders>
          </w:tcPr>
          <w:p w14:paraId="559129AA">
            <w:pPr>
              <w:spacing w:after="240"/>
              <w:jc w:val="center"/>
              <w:rPr>
                <w:rFonts w:cstheme="minorHAnsi"/>
                <w:sz w:val="18"/>
                <w:szCs w:val="18"/>
                <w:lang w:val="pt-BR"/>
              </w:rPr>
            </w:pPr>
          </w:p>
        </w:tc>
        <w:tc>
          <w:tcPr>
            <w:tcW w:w="390" w:type="pct"/>
            <w:gridSpan w:val="2"/>
            <w:vMerge w:val="continue"/>
            <w:tcBorders>
              <w:top w:val="single" w:color="auto" w:sz="4" w:space="0"/>
              <w:left w:val="single" w:color="auto" w:sz="4" w:space="0"/>
              <w:bottom w:val="single" w:color="auto" w:sz="4" w:space="0"/>
              <w:right w:val="single" w:color="auto" w:sz="4" w:space="0"/>
            </w:tcBorders>
            <w:shd w:val="clear" w:color="auto" w:fill="F2F2F2"/>
          </w:tcPr>
          <w:p w14:paraId="3CF84303">
            <w:pPr>
              <w:spacing w:after="240"/>
              <w:jc w:val="center"/>
              <w:rPr>
                <w:rFonts w:cstheme="minorHAnsi"/>
                <w:sz w:val="18"/>
                <w:szCs w:val="18"/>
                <w:lang w:val="pt-BR"/>
              </w:rPr>
            </w:pPr>
          </w:p>
        </w:tc>
        <w:tc>
          <w:tcPr>
            <w:tcW w:w="1888" w:type="pct"/>
            <w:gridSpan w:val="4"/>
            <w:tcBorders>
              <w:top w:val="single" w:color="auto" w:sz="4" w:space="0"/>
              <w:left w:val="single" w:color="auto" w:sz="4" w:space="0"/>
              <w:bottom w:val="single" w:color="auto" w:sz="4" w:space="0"/>
              <w:right w:val="single" w:color="auto" w:sz="4" w:space="0"/>
            </w:tcBorders>
            <w:shd w:val="clear" w:color="auto" w:fill="F2F2F2"/>
          </w:tcPr>
          <w:p w14:paraId="1B2FA548">
            <w:pPr>
              <w:spacing w:after="240"/>
              <w:jc w:val="center"/>
              <w:rPr>
                <w:rFonts w:cstheme="minorHAnsi"/>
                <w:sz w:val="18"/>
                <w:szCs w:val="18"/>
              </w:rPr>
            </w:pPr>
            <w:r>
              <w:rPr>
                <w:rFonts w:cstheme="minorHAnsi"/>
                <w:sz w:val="18"/>
                <w:szCs w:val="18"/>
              </w:rPr>
              <w:t>Flange, drain/vent valve</w:t>
            </w:r>
          </w:p>
        </w:tc>
        <w:tc>
          <w:tcPr>
            <w:tcW w:w="1076" w:type="pct"/>
            <w:gridSpan w:val="2"/>
            <w:tcBorders>
              <w:top w:val="single" w:color="auto" w:sz="4" w:space="0"/>
              <w:left w:val="single" w:color="auto" w:sz="4" w:space="0"/>
              <w:bottom w:val="single" w:color="auto" w:sz="4" w:space="0"/>
              <w:right w:val="single" w:color="auto" w:sz="4" w:space="0"/>
            </w:tcBorders>
            <w:shd w:val="clear" w:color="auto" w:fill="F2F2F2"/>
          </w:tcPr>
          <w:p w14:paraId="0DE470CF">
            <w:pPr>
              <w:spacing w:after="240"/>
              <w:jc w:val="center"/>
              <w:rPr>
                <w:rFonts w:cstheme="minorHAnsi"/>
                <w:sz w:val="18"/>
                <w:szCs w:val="18"/>
              </w:rPr>
            </w:pPr>
            <w:r>
              <w:rPr>
                <w:rFonts w:hint="eastAsia" w:cstheme="minorHAnsi"/>
                <w:sz w:val="18"/>
                <w:szCs w:val="18"/>
              </w:rPr>
              <w:t>M</w:t>
            </w:r>
            <w:r>
              <w:rPr>
                <w:rFonts w:cstheme="minorHAnsi"/>
                <w:sz w:val="18"/>
                <w:szCs w:val="18"/>
              </w:rPr>
              <w:t>OC of sensor</w:t>
            </w:r>
          </w:p>
        </w:tc>
      </w:tr>
      <w:tr w14:paraId="6972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16B502E7">
            <w:pPr>
              <w:spacing w:after="240"/>
              <w:jc w:val="center"/>
              <w:rPr>
                <w:rFonts w:cstheme="minorHAnsi"/>
                <w:sz w:val="18"/>
                <w:szCs w:val="18"/>
                <w:lang w:val="pt-BR"/>
              </w:rPr>
            </w:pPr>
          </w:p>
        </w:tc>
        <w:tc>
          <w:tcPr>
            <w:tcW w:w="450" w:type="pct"/>
            <w:vMerge w:val="continue"/>
            <w:tcBorders>
              <w:left w:val="single" w:color="auto" w:sz="4" w:space="0"/>
              <w:right w:val="nil"/>
            </w:tcBorders>
          </w:tcPr>
          <w:p w14:paraId="393D0AA5">
            <w:pPr>
              <w:spacing w:after="240"/>
              <w:jc w:val="center"/>
              <w:rPr>
                <w:rFonts w:cstheme="minorHAnsi"/>
                <w:sz w:val="18"/>
                <w:szCs w:val="18"/>
                <w:lang w:val="pt-BR"/>
              </w:rPr>
            </w:pPr>
          </w:p>
        </w:tc>
        <w:tc>
          <w:tcPr>
            <w:tcW w:w="179" w:type="pct"/>
            <w:vMerge w:val="continue"/>
            <w:tcBorders>
              <w:left w:val="nil"/>
              <w:right w:val="single" w:color="auto" w:sz="4" w:space="0"/>
            </w:tcBorders>
          </w:tcPr>
          <w:p w14:paraId="75CE34A7">
            <w:pPr>
              <w:spacing w:after="240"/>
              <w:jc w:val="center"/>
              <w:rPr>
                <w:rFonts w:cstheme="minorHAnsi"/>
                <w:sz w:val="18"/>
                <w:szCs w:val="18"/>
                <w:lang w:val="pt-BR"/>
              </w:rPr>
            </w:pPr>
          </w:p>
        </w:tc>
        <w:tc>
          <w:tcPr>
            <w:tcW w:w="179" w:type="pct"/>
            <w:vMerge w:val="continue"/>
            <w:tcBorders>
              <w:left w:val="single" w:color="auto" w:sz="4" w:space="0"/>
              <w:right w:val="nil"/>
            </w:tcBorders>
          </w:tcPr>
          <w:p w14:paraId="02C6ED46">
            <w:pPr>
              <w:spacing w:after="240"/>
              <w:jc w:val="center"/>
              <w:rPr>
                <w:rFonts w:cstheme="minorHAnsi"/>
                <w:sz w:val="18"/>
                <w:szCs w:val="18"/>
                <w:lang w:val="pt-BR"/>
              </w:rPr>
            </w:pPr>
          </w:p>
        </w:tc>
        <w:tc>
          <w:tcPr>
            <w:tcW w:w="194" w:type="pct"/>
            <w:vMerge w:val="continue"/>
            <w:tcBorders>
              <w:left w:val="nil"/>
              <w:right w:val="single" w:color="auto" w:sz="4" w:space="0"/>
            </w:tcBorders>
          </w:tcPr>
          <w:p w14:paraId="24893A9F">
            <w:pPr>
              <w:spacing w:after="240"/>
              <w:jc w:val="center"/>
              <w:rPr>
                <w:rFonts w:cstheme="minorHAnsi"/>
                <w:sz w:val="18"/>
                <w:szCs w:val="18"/>
                <w:lang w:val="pt-BR"/>
              </w:rPr>
            </w:pPr>
          </w:p>
        </w:tc>
        <w:tc>
          <w:tcPr>
            <w:tcW w:w="195" w:type="pct"/>
            <w:vMerge w:val="continue"/>
            <w:tcBorders>
              <w:left w:val="nil"/>
              <w:right w:val="single" w:color="auto" w:sz="4" w:space="0"/>
            </w:tcBorders>
          </w:tcPr>
          <w:p w14:paraId="3F9AB557">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2D2B9157">
            <w:pPr>
              <w:spacing w:after="240"/>
              <w:jc w:val="center"/>
              <w:rPr>
                <w:rFonts w:cstheme="minorHAnsi"/>
                <w:sz w:val="18"/>
                <w:szCs w:val="18"/>
              </w:rPr>
            </w:pPr>
            <w:r>
              <w:rPr>
                <w:rFonts w:cstheme="minorHAnsi"/>
                <w:sz w:val="18"/>
                <w:szCs w:val="18"/>
              </w:rPr>
              <w:t>22</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7B737C10">
            <w:pPr>
              <w:spacing w:after="240"/>
              <w:jc w:val="center"/>
              <w:rPr>
                <w:rFonts w:cstheme="minorHAnsi"/>
                <w:sz w:val="18"/>
                <w:szCs w:val="18"/>
              </w:rPr>
            </w:pPr>
            <w:r>
              <w:rPr>
                <w:rFonts w:cstheme="minorHAnsi"/>
                <w:sz w:val="18"/>
                <w:szCs w:val="18"/>
              </w:rPr>
              <w:t>316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186B5A44">
            <w:pPr>
              <w:spacing w:after="240"/>
              <w:jc w:val="center"/>
              <w:rPr>
                <w:rFonts w:cstheme="minorHAnsi"/>
                <w:sz w:val="18"/>
                <w:szCs w:val="18"/>
              </w:rPr>
            </w:pPr>
            <w:r>
              <w:rPr>
                <w:rFonts w:cstheme="minorHAnsi"/>
                <w:sz w:val="18"/>
                <w:szCs w:val="18"/>
              </w:rPr>
              <w:t>316L stainless steel</w:t>
            </w:r>
          </w:p>
        </w:tc>
      </w:tr>
      <w:tr w14:paraId="4339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6D2EA66A">
            <w:pPr>
              <w:spacing w:after="240"/>
              <w:jc w:val="center"/>
              <w:rPr>
                <w:rFonts w:cstheme="minorHAnsi"/>
                <w:sz w:val="18"/>
                <w:szCs w:val="18"/>
                <w:lang w:val="pt-BR"/>
              </w:rPr>
            </w:pPr>
          </w:p>
        </w:tc>
        <w:tc>
          <w:tcPr>
            <w:tcW w:w="450" w:type="pct"/>
            <w:vMerge w:val="continue"/>
            <w:tcBorders>
              <w:left w:val="single" w:color="auto" w:sz="4" w:space="0"/>
              <w:right w:val="nil"/>
            </w:tcBorders>
          </w:tcPr>
          <w:p w14:paraId="31B3192F">
            <w:pPr>
              <w:spacing w:after="240"/>
              <w:jc w:val="center"/>
              <w:rPr>
                <w:rFonts w:cstheme="minorHAnsi"/>
                <w:sz w:val="18"/>
                <w:szCs w:val="18"/>
                <w:lang w:val="pt-BR"/>
              </w:rPr>
            </w:pPr>
          </w:p>
        </w:tc>
        <w:tc>
          <w:tcPr>
            <w:tcW w:w="179" w:type="pct"/>
            <w:vMerge w:val="continue"/>
            <w:tcBorders>
              <w:left w:val="nil"/>
              <w:right w:val="single" w:color="auto" w:sz="4" w:space="0"/>
            </w:tcBorders>
          </w:tcPr>
          <w:p w14:paraId="3ED9F079">
            <w:pPr>
              <w:spacing w:after="240"/>
              <w:jc w:val="center"/>
              <w:rPr>
                <w:rFonts w:cstheme="minorHAnsi"/>
                <w:sz w:val="18"/>
                <w:szCs w:val="18"/>
                <w:lang w:val="pt-BR"/>
              </w:rPr>
            </w:pPr>
          </w:p>
        </w:tc>
        <w:tc>
          <w:tcPr>
            <w:tcW w:w="179" w:type="pct"/>
            <w:vMerge w:val="continue"/>
            <w:tcBorders>
              <w:left w:val="single" w:color="auto" w:sz="4" w:space="0"/>
              <w:right w:val="nil"/>
            </w:tcBorders>
          </w:tcPr>
          <w:p w14:paraId="49EB27F9">
            <w:pPr>
              <w:spacing w:after="240"/>
              <w:jc w:val="center"/>
              <w:rPr>
                <w:rFonts w:cstheme="minorHAnsi"/>
                <w:sz w:val="18"/>
                <w:szCs w:val="18"/>
                <w:lang w:val="pt-BR"/>
              </w:rPr>
            </w:pPr>
          </w:p>
        </w:tc>
        <w:tc>
          <w:tcPr>
            <w:tcW w:w="194" w:type="pct"/>
            <w:vMerge w:val="continue"/>
            <w:tcBorders>
              <w:left w:val="nil"/>
              <w:right w:val="single" w:color="auto" w:sz="4" w:space="0"/>
            </w:tcBorders>
          </w:tcPr>
          <w:p w14:paraId="5D696960">
            <w:pPr>
              <w:spacing w:after="240"/>
              <w:jc w:val="center"/>
              <w:rPr>
                <w:rFonts w:cstheme="minorHAnsi"/>
                <w:sz w:val="18"/>
                <w:szCs w:val="18"/>
                <w:lang w:val="pt-BR"/>
              </w:rPr>
            </w:pPr>
          </w:p>
        </w:tc>
        <w:tc>
          <w:tcPr>
            <w:tcW w:w="195" w:type="pct"/>
            <w:vMerge w:val="continue"/>
            <w:tcBorders>
              <w:left w:val="nil"/>
              <w:right w:val="single" w:color="auto" w:sz="4" w:space="0"/>
            </w:tcBorders>
          </w:tcPr>
          <w:p w14:paraId="2FFC73A0">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02EC7C3F">
            <w:pPr>
              <w:spacing w:after="240"/>
              <w:jc w:val="center"/>
              <w:rPr>
                <w:rFonts w:cstheme="minorHAnsi"/>
                <w:sz w:val="18"/>
                <w:szCs w:val="18"/>
              </w:rPr>
            </w:pPr>
            <w:r>
              <w:rPr>
                <w:rFonts w:cstheme="minorHAnsi"/>
                <w:sz w:val="18"/>
                <w:szCs w:val="18"/>
              </w:rPr>
              <w:t>23</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45673C6D">
            <w:pPr>
              <w:spacing w:after="240"/>
              <w:jc w:val="center"/>
              <w:rPr>
                <w:rFonts w:cstheme="minorHAnsi"/>
                <w:sz w:val="18"/>
                <w:szCs w:val="18"/>
              </w:rPr>
            </w:pPr>
            <w:r>
              <w:rPr>
                <w:rFonts w:cstheme="minorHAnsi"/>
                <w:sz w:val="18"/>
                <w:szCs w:val="18"/>
              </w:rPr>
              <w:t>316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2485FCA4">
            <w:pPr>
              <w:spacing w:after="240"/>
              <w:jc w:val="center"/>
              <w:rPr>
                <w:rFonts w:cstheme="minorHAnsi"/>
                <w:sz w:val="18"/>
                <w:szCs w:val="18"/>
              </w:rPr>
            </w:pPr>
            <w:r>
              <w:rPr>
                <w:rFonts w:cstheme="minorHAnsi"/>
                <w:sz w:val="18"/>
                <w:szCs w:val="18"/>
              </w:rPr>
              <w:t>Hastelloy C</w:t>
            </w:r>
          </w:p>
        </w:tc>
      </w:tr>
      <w:tr w14:paraId="2069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1E11BE5C">
            <w:pPr>
              <w:spacing w:after="240"/>
              <w:jc w:val="center"/>
              <w:rPr>
                <w:rFonts w:cstheme="minorHAnsi"/>
                <w:sz w:val="18"/>
                <w:szCs w:val="18"/>
                <w:lang w:val="pt-BR"/>
              </w:rPr>
            </w:pPr>
          </w:p>
        </w:tc>
        <w:tc>
          <w:tcPr>
            <w:tcW w:w="450" w:type="pct"/>
            <w:vMerge w:val="continue"/>
            <w:tcBorders>
              <w:left w:val="single" w:color="auto" w:sz="4" w:space="0"/>
              <w:right w:val="nil"/>
            </w:tcBorders>
          </w:tcPr>
          <w:p w14:paraId="29C0A478">
            <w:pPr>
              <w:spacing w:after="240"/>
              <w:jc w:val="center"/>
              <w:rPr>
                <w:rFonts w:cstheme="minorHAnsi"/>
                <w:sz w:val="18"/>
                <w:szCs w:val="18"/>
                <w:lang w:val="pt-BR"/>
              </w:rPr>
            </w:pPr>
          </w:p>
        </w:tc>
        <w:tc>
          <w:tcPr>
            <w:tcW w:w="179" w:type="pct"/>
            <w:vMerge w:val="continue"/>
            <w:tcBorders>
              <w:left w:val="nil"/>
              <w:right w:val="single" w:color="auto" w:sz="4" w:space="0"/>
            </w:tcBorders>
          </w:tcPr>
          <w:p w14:paraId="5E724949">
            <w:pPr>
              <w:spacing w:after="240"/>
              <w:jc w:val="center"/>
              <w:rPr>
                <w:rFonts w:cstheme="minorHAnsi"/>
                <w:sz w:val="18"/>
                <w:szCs w:val="18"/>
                <w:lang w:val="pt-BR"/>
              </w:rPr>
            </w:pPr>
          </w:p>
        </w:tc>
        <w:tc>
          <w:tcPr>
            <w:tcW w:w="179" w:type="pct"/>
            <w:vMerge w:val="continue"/>
            <w:tcBorders>
              <w:left w:val="single" w:color="auto" w:sz="4" w:space="0"/>
              <w:right w:val="nil"/>
            </w:tcBorders>
          </w:tcPr>
          <w:p w14:paraId="6172707A">
            <w:pPr>
              <w:spacing w:after="240"/>
              <w:jc w:val="center"/>
              <w:rPr>
                <w:rFonts w:cstheme="minorHAnsi"/>
                <w:sz w:val="18"/>
                <w:szCs w:val="18"/>
                <w:lang w:val="pt-BR"/>
              </w:rPr>
            </w:pPr>
          </w:p>
        </w:tc>
        <w:tc>
          <w:tcPr>
            <w:tcW w:w="194" w:type="pct"/>
            <w:vMerge w:val="continue"/>
            <w:tcBorders>
              <w:left w:val="nil"/>
              <w:right w:val="single" w:color="auto" w:sz="4" w:space="0"/>
            </w:tcBorders>
          </w:tcPr>
          <w:p w14:paraId="7E51D4EE">
            <w:pPr>
              <w:spacing w:after="240"/>
              <w:jc w:val="center"/>
              <w:rPr>
                <w:rFonts w:cstheme="minorHAnsi"/>
                <w:sz w:val="18"/>
                <w:szCs w:val="18"/>
                <w:lang w:val="pt-BR"/>
              </w:rPr>
            </w:pPr>
          </w:p>
        </w:tc>
        <w:tc>
          <w:tcPr>
            <w:tcW w:w="195" w:type="pct"/>
            <w:vMerge w:val="continue"/>
            <w:tcBorders>
              <w:left w:val="nil"/>
              <w:right w:val="single" w:color="auto" w:sz="4" w:space="0"/>
            </w:tcBorders>
          </w:tcPr>
          <w:p w14:paraId="24629BC9">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75FF2217">
            <w:pPr>
              <w:spacing w:after="240"/>
              <w:jc w:val="center"/>
              <w:rPr>
                <w:rFonts w:cstheme="minorHAnsi"/>
                <w:sz w:val="18"/>
                <w:szCs w:val="18"/>
              </w:rPr>
            </w:pPr>
            <w:r>
              <w:rPr>
                <w:rFonts w:cstheme="minorHAnsi"/>
                <w:sz w:val="18"/>
                <w:szCs w:val="18"/>
              </w:rPr>
              <w:t>24</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57CBD5C6">
            <w:pPr>
              <w:spacing w:after="240"/>
              <w:jc w:val="center"/>
              <w:rPr>
                <w:rFonts w:cstheme="minorHAnsi"/>
                <w:sz w:val="18"/>
                <w:szCs w:val="18"/>
              </w:rPr>
            </w:pPr>
            <w:r>
              <w:rPr>
                <w:rFonts w:cstheme="minorHAnsi"/>
                <w:sz w:val="18"/>
                <w:szCs w:val="18"/>
              </w:rPr>
              <w:t>316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41D4EBDD">
            <w:pPr>
              <w:spacing w:after="240"/>
              <w:jc w:val="center"/>
              <w:rPr>
                <w:rFonts w:cstheme="minorHAnsi"/>
                <w:sz w:val="18"/>
                <w:szCs w:val="18"/>
              </w:rPr>
            </w:pPr>
            <w:r>
              <w:rPr>
                <w:rFonts w:cstheme="minorHAnsi"/>
                <w:sz w:val="18"/>
                <w:szCs w:val="18"/>
              </w:rPr>
              <w:t>Monel alloy</w:t>
            </w:r>
          </w:p>
        </w:tc>
      </w:tr>
      <w:tr w14:paraId="3095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050C4F1E">
            <w:pPr>
              <w:spacing w:after="240"/>
              <w:jc w:val="center"/>
              <w:rPr>
                <w:rFonts w:cstheme="minorHAnsi"/>
                <w:sz w:val="18"/>
                <w:szCs w:val="18"/>
                <w:lang w:val="pt-BR"/>
              </w:rPr>
            </w:pPr>
          </w:p>
        </w:tc>
        <w:tc>
          <w:tcPr>
            <w:tcW w:w="450" w:type="pct"/>
            <w:vMerge w:val="continue"/>
            <w:tcBorders>
              <w:left w:val="single" w:color="auto" w:sz="4" w:space="0"/>
              <w:right w:val="nil"/>
            </w:tcBorders>
          </w:tcPr>
          <w:p w14:paraId="4443F33C">
            <w:pPr>
              <w:spacing w:after="240"/>
              <w:jc w:val="center"/>
              <w:rPr>
                <w:rFonts w:cstheme="minorHAnsi"/>
                <w:sz w:val="18"/>
                <w:szCs w:val="18"/>
                <w:lang w:val="pt-BR"/>
              </w:rPr>
            </w:pPr>
          </w:p>
        </w:tc>
        <w:tc>
          <w:tcPr>
            <w:tcW w:w="179" w:type="pct"/>
            <w:vMerge w:val="continue"/>
            <w:tcBorders>
              <w:left w:val="nil"/>
              <w:right w:val="single" w:color="auto" w:sz="4" w:space="0"/>
            </w:tcBorders>
          </w:tcPr>
          <w:p w14:paraId="7DD72D9E">
            <w:pPr>
              <w:spacing w:after="240"/>
              <w:jc w:val="center"/>
              <w:rPr>
                <w:rFonts w:cstheme="minorHAnsi"/>
                <w:sz w:val="18"/>
                <w:szCs w:val="18"/>
                <w:lang w:val="pt-BR"/>
              </w:rPr>
            </w:pPr>
          </w:p>
        </w:tc>
        <w:tc>
          <w:tcPr>
            <w:tcW w:w="179" w:type="pct"/>
            <w:vMerge w:val="continue"/>
            <w:tcBorders>
              <w:left w:val="single" w:color="auto" w:sz="4" w:space="0"/>
              <w:right w:val="nil"/>
            </w:tcBorders>
          </w:tcPr>
          <w:p w14:paraId="42FE0B06">
            <w:pPr>
              <w:spacing w:after="240"/>
              <w:jc w:val="center"/>
              <w:rPr>
                <w:rFonts w:cstheme="minorHAnsi"/>
                <w:sz w:val="18"/>
                <w:szCs w:val="18"/>
                <w:lang w:val="pt-BR"/>
              </w:rPr>
            </w:pPr>
          </w:p>
        </w:tc>
        <w:tc>
          <w:tcPr>
            <w:tcW w:w="194" w:type="pct"/>
            <w:vMerge w:val="continue"/>
            <w:tcBorders>
              <w:left w:val="nil"/>
              <w:right w:val="single" w:color="auto" w:sz="4" w:space="0"/>
            </w:tcBorders>
          </w:tcPr>
          <w:p w14:paraId="26F9AC23">
            <w:pPr>
              <w:spacing w:after="240"/>
              <w:jc w:val="center"/>
              <w:rPr>
                <w:rFonts w:cstheme="minorHAnsi"/>
                <w:sz w:val="18"/>
                <w:szCs w:val="18"/>
                <w:lang w:val="pt-BR"/>
              </w:rPr>
            </w:pPr>
          </w:p>
        </w:tc>
        <w:tc>
          <w:tcPr>
            <w:tcW w:w="195" w:type="pct"/>
            <w:vMerge w:val="continue"/>
            <w:tcBorders>
              <w:left w:val="nil"/>
              <w:right w:val="single" w:color="auto" w:sz="4" w:space="0"/>
            </w:tcBorders>
          </w:tcPr>
          <w:p w14:paraId="534D9514">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625CFC5A">
            <w:pPr>
              <w:spacing w:after="240"/>
              <w:jc w:val="center"/>
              <w:rPr>
                <w:rFonts w:cstheme="minorHAnsi"/>
                <w:sz w:val="18"/>
                <w:szCs w:val="18"/>
              </w:rPr>
            </w:pPr>
            <w:r>
              <w:rPr>
                <w:rFonts w:cstheme="minorHAnsi"/>
                <w:sz w:val="18"/>
                <w:szCs w:val="18"/>
              </w:rPr>
              <w:t>25</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2449EB9A">
            <w:pPr>
              <w:spacing w:after="240"/>
              <w:jc w:val="center"/>
              <w:rPr>
                <w:rFonts w:cstheme="minorHAnsi"/>
                <w:sz w:val="18"/>
                <w:szCs w:val="18"/>
              </w:rPr>
            </w:pPr>
            <w:r>
              <w:rPr>
                <w:rFonts w:cstheme="minorHAnsi"/>
                <w:sz w:val="18"/>
                <w:szCs w:val="18"/>
              </w:rPr>
              <w:t>316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42E043CB">
            <w:pPr>
              <w:spacing w:after="240"/>
              <w:jc w:val="center"/>
              <w:rPr>
                <w:rFonts w:cstheme="minorHAnsi"/>
                <w:sz w:val="18"/>
                <w:szCs w:val="18"/>
              </w:rPr>
            </w:pPr>
            <w:r>
              <w:rPr>
                <w:rFonts w:cstheme="minorHAnsi"/>
                <w:sz w:val="18"/>
                <w:szCs w:val="18"/>
              </w:rPr>
              <w:t>Tantalum</w:t>
            </w:r>
          </w:p>
        </w:tc>
      </w:tr>
      <w:tr w14:paraId="2AF8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769698CF">
            <w:pPr>
              <w:spacing w:after="240"/>
              <w:jc w:val="center"/>
              <w:rPr>
                <w:rFonts w:cstheme="minorHAnsi"/>
                <w:sz w:val="18"/>
                <w:szCs w:val="18"/>
                <w:lang w:val="pt-BR"/>
              </w:rPr>
            </w:pPr>
          </w:p>
        </w:tc>
        <w:tc>
          <w:tcPr>
            <w:tcW w:w="450" w:type="pct"/>
            <w:vMerge w:val="continue"/>
            <w:tcBorders>
              <w:left w:val="single" w:color="auto" w:sz="4" w:space="0"/>
              <w:right w:val="nil"/>
            </w:tcBorders>
          </w:tcPr>
          <w:p w14:paraId="0A712B33">
            <w:pPr>
              <w:spacing w:after="240"/>
              <w:jc w:val="center"/>
              <w:rPr>
                <w:rFonts w:cstheme="minorHAnsi"/>
                <w:sz w:val="18"/>
                <w:szCs w:val="18"/>
                <w:lang w:val="pt-BR"/>
              </w:rPr>
            </w:pPr>
          </w:p>
        </w:tc>
        <w:tc>
          <w:tcPr>
            <w:tcW w:w="179" w:type="pct"/>
            <w:vMerge w:val="continue"/>
            <w:tcBorders>
              <w:left w:val="nil"/>
              <w:right w:val="single" w:color="auto" w:sz="4" w:space="0"/>
            </w:tcBorders>
          </w:tcPr>
          <w:p w14:paraId="3292E984">
            <w:pPr>
              <w:spacing w:after="240"/>
              <w:jc w:val="center"/>
              <w:rPr>
                <w:rFonts w:cstheme="minorHAnsi"/>
                <w:sz w:val="18"/>
                <w:szCs w:val="18"/>
                <w:lang w:val="pt-BR"/>
              </w:rPr>
            </w:pPr>
          </w:p>
        </w:tc>
        <w:tc>
          <w:tcPr>
            <w:tcW w:w="179" w:type="pct"/>
            <w:vMerge w:val="continue"/>
            <w:tcBorders>
              <w:left w:val="single" w:color="auto" w:sz="4" w:space="0"/>
              <w:right w:val="nil"/>
            </w:tcBorders>
          </w:tcPr>
          <w:p w14:paraId="49154A50">
            <w:pPr>
              <w:spacing w:after="240"/>
              <w:jc w:val="center"/>
              <w:rPr>
                <w:rFonts w:cstheme="minorHAnsi"/>
                <w:sz w:val="18"/>
                <w:szCs w:val="18"/>
                <w:lang w:val="pt-BR"/>
              </w:rPr>
            </w:pPr>
          </w:p>
        </w:tc>
        <w:tc>
          <w:tcPr>
            <w:tcW w:w="194" w:type="pct"/>
            <w:vMerge w:val="continue"/>
            <w:tcBorders>
              <w:left w:val="nil"/>
              <w:right w:val="single" w:color="auto" w:sz="4" w:space="0"/>
            </w:tcBorders>
          </w:tcPr>
          <w:p w14:paraId="50D0C557">
            <w:pPr>
              <w:spacing w:after="240"/>
              <w:jc w:val="center"/>
              <w:rPr>
                <w:rFonts w:cstheme="minorHAnsi"/>
                <w:sz w:val="18"/>
                <w:szCs w:val="18"/>
                <w:lang w:val="pt-BR"/>
              </w:rPr>
            </w:pPr>
          </w:p>
        </w:tc>
        <w:tc>
          <w:tcPr>
            <w:tcW w:w="195" w:type="pct"/>
            <w:vMerge w:val="continue"/>
            <w:tcBorders>
              <w:left w:val="nil"/>
              <w:right w:val="single" w:color="auto" w:sz="4" w:space="0"/>
            </w:tcBorders>
          </w:tcPr>
          <w:p w14:paraId="742F721E">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5B39EF18">
            <w:pPr>
              <w:spacing w:after="240"/>
              <w:jc w:val="center"/>
              <w:rPr>
                <w:rFonts w:cstheme="minorHAnsi"/>
                <w:sz w:val="18"/>
                <w:szCs w:val="18"/>
              </w:rPr>
            </w:pPr>
            <w:r>
              <w:rPr>
                <w:rFonts w:hint="eastAsia" w:cstheme="minorHAnsi"/>
                <w:sz w:val="18"/>
                <w:szCs w:val="18"/>
              </w:rPr>
              <w:t>2</w:t>
            </w:r>
            <w:r>
              <w:rPr>
                <w:rFonts w:cstheme="minorHAnsi"/>
                <w:sz w:val="18"/>
                <w:szCs w:val="18"/>
              </w:rPr>
              <w:t>6</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589651D8">
            <w:pPr>
              <w:spacing w:after="240"/>
              <w:jc w:val="center"/>
              <w:rPr>
                <w:rFonts w:cstheme="minorHAnsi"/>
                <w:sz w:val="18"/>
                <w:szCs w:val="18"/>
              </w:rPr>
            </w:pPr>
            <w:r>
              <w:rPr>
                <w:rFonts w:cstheme="minorHAnsi"/>
                <w:sz w:val="18"/>
                <w:szCs w:val="18"/>
              </w:rPr>
              <w:t>316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19CEBB6A">
            <w:pPr>
              <w:spacing w:after="240"/>
              <w:jc w:val="center"/>
              <w:rPr>
                <w:rFonts w:cstheme="minorHAnsi"/>
                <w:sz w:val="18"/>
                <w:szCs w:val="18"/>
              </w:rPr>
            </w:pPr>
            <w:r>
              <w:rPr>
                <w:rFonts w:hint="eastAsia" w:cstheme="minorHAnsi"/>
                <w:sz w:val="18"/>
                <w:szCs w:val="18"/>
              </w:rPr>
              <w:t>T</w:t>
            </w:r>
            <w:r>
              <w:rPr>
                <w:rFonts w:cstheme="minorHAnsi"/>
                <w:sz w:val="18"/>
                <w:szCs w:val="18"/>
              </w:rPr>
              <w:t>itanium</w:t>
            </w:r>
          </w:p>
        </w:tc>
      </w:tr>
      <w:tr w14:paraId="1489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1D34B0A6">
            <w:pPr>
              <w:spacing w:after="240"/>
              <w:jc w:val="center"/>
              <w:rPr>
                <w:rFonts w:cstheme="minorHAnsi"/>
                <w:sz w:val="18"/>
                <w:szCs w:val="18"/>
                <w:lang w:val="pt-BR"/>
              </w:rPr>
            </w:pPr>
          </w:p>
        </w:tc>
        <w:tc>
          <w:tcPr>
            <w:tcW w:w="450" w:type="pct"/>
            <w:vMerge w:val="continue"/>
            <w:tcBorders>
              <w:left w:val="single" w:color="auto" w:sz="4" w:space="0"/>
              <w:right w:val="nil"/>
            </w:tcBorders>
          </w:tcPr>
          <w:p w14:paraId="096999F6">
            <w:pPr>
              <w:spacing w:after="240"/>
              <w:jc w:val="center"/>
              <w:rPr>
                <w:rFonts w:cstheme="minorHAnsi"/>
                <w:sz w:val="18"/>
                <w:szCs w:val="18"/>
                <w:lang w:val="pt-BR"/>
              </w:rPr>
            </w:pPr>
          </w:p>
        </w:tc>
        <w:tc>
          <w:tcPr>
            <w:tcW w:w="179" w:type="pct"/>
            <w:vMerge w:val="continue"/>
            <w:tcBorders>
              <w:left w:val="nil"/>
              <w:right w:val="single" w:color="auto" w:sz="4" w:space="0"/>
            </w:tcBorders>
          </w:tcPr>
          <w:p w14:paraId="33443B0C">
            <w:pPr>
              <w:spacing w:after="240"/>
              <w:jc w:val="center"/>
              <w:rPr>
                <w:rFonts w:cstheme="minorHAnsi"/>
                <w:sz w:val="18"/>
                <w:szCs w:val="18"/>
                <w:lang w:val="pt-BR"/>
              </w:rPr>
            </w:pPr>
          </w:p>
        </w:tc>
        <w:tc>
          <w:tcPr>
            <w:tcW w:w="179" w:type="pct"/>
            <w:vMerge w:val="continue"/>
            <w:tcBorders>
              <w:left w:val="single" w:color="auto" w:sz="4" w:space="0"/>
              <w:right w:val="nil"/>
            </w:tcBorders>
          </w:tcPr>
          <w:p w14:paraId="5B9A1C8A">
            <w:pPr>
              <w:spacing w:after="240"/>
              <w:jc w:val="center"/>
              <w:rPr>
                <w:rFonts w:cstheme="minorHAnsi"/>
                <w:sz w:val="18"/>
                <w:szCs w:val="18"/>
                <w:lang w:val="pt-BR"/>
              </w:rPr>
            </w:pPr>
          </w:p>
        </w:tc>
        <w:tc>
          <w:tcPr>
            <w:tcW w:w="194" w:type="pct"/>
            <w:vMerge w:val="continue"/>
            <w:tcBorders>
              <w:left w:val="nil"/>
              <w:right w:val="single" w:color="auto" w:sz="4" w:space="0"/>
            </w:tcBorders>
          </w:tcPr>
          <w:p w14:paraId="4245CA87">
            <w:pPr>
              <w:spacing w:after="240"/>
              <w:jc w:val="center"/>
              <w:rPr>
                <w:rFonts w:cstheme="minorHAnsi"/>
                <w:sz w:val="18"/>
                <w:szCs w:val="18"/>
                <w:lang w:val="pt-BR"/>
              </w:rPr>
            </w:pPr>
          </w:p>
        </w:tc>
        <w:tc>
          <w:tcPr>
            <w:tcW w:w="195" w:type="pct"/>
            <w:vMerge w:val="continue"/>
            <w:tcBorders>
              <w:left w:val="nil"/>
              <w:right w:val="single" w:color="auto" w:sz="4" w:space="0"/>
            </w:tcBorders>
          </w:tcPr>
          <w:p w14:paraId="0A776235">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20FF3178">
            <w:pPr>
              <w:spacing w:after="240"/>
              <w:jc w:val="center"/>
              <w:rPr>
                <w:rFonts w:cstheme="minorHAnsi"/>
                <w:sz w:val="18"/>
                <w:szCs w:val="18"/>
              </w:rPr>
            </w:pPr>
            <w:r>
              <w:rPr>
                <w:rFonts w:cstheme="minorHAnsi"/>
                <w:sz w:val="18"/>
                <w:szCs w:val="18"/>
              </w:rPr>
              <w:t>32</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7919947E">
            <w:pPr>
              <w:spacing w:after="240"/>
              <w:jc w:val="center"/>
              <w:rPr>
                <w:rFonts w:cstheme="minorHAnsi"/>
                <w:sz w:val="18"/>
                <w:szCs w:val="18"/>
              </w:rPr>
            </w:pPr>
            <w:r>
              <w:rPr>
                <w:rFonts w:cstheme="minorHAnsi"/>
                <w:sz w:val="18"/>
                <w:szCs w:val="18"/>
              </w:rPr>
              <w:t>304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6562A60C">
            <w:pPr>
              <w:spacing w:after="240"/>
              <w:jc w:val="center"/>
              <w:rPr>
                <w:rFonts w:cstheme="minorHAnsi"/>
                <w:sz w:val="18"/>
                <w:szCs w:val="18"/>
              </w:rPr>
            </w:pPr>
            <w:r>
              <w:rPr>
                <w:rFonts w:cstheme="minorHAnsi"/>
                <w:sz w:val="18"/>
                <w:szCs w:val="18"/>
              </w:rPr>
              <w:t>316L stainless steel</w:t>
            </w:r>
          </w:p>
        </w:tc>
      </w:tr>
      <w:tr w14:paraId="2F63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6A9EDA0D">
            <w:pPr>
              <w:spacing w:after="240"/>
              <w:jc w:val="center"/>
              <w:rPr>
                <w:rFonts w:cstheme="minorHAnsi"/>
                <w:sz w:val="18"/>
                <w:szCs w:val="18"/>
                <w:lang w:val="pt-BR"/>
              </w:rPr>
            </w:pPr>
          </w:p>
        </w:tc>
        <w:tc>
          <w:tcPr>
            <w:tcW w:w="450" w:type="pct"/>
            <w:vMerge w:val="continue"/>
            <w:tcBorders>
              <w:left w:val="single" w:color="auto" w:sz="4" w:space="0"/>
              <w:right w:val="nil"/>
            </w:tcBorders>
          </w:tcPr>
          <w:p w14:paraId="6B2019AF">
            <w:pPr>
              <w:spacing w:after="240"/>
              <w:jc w:val="center"/>
              <w:rPr>
                <w:rFonts w:cstheme="minorHAnsi"/>
                <w:sz w:val="18"/>
                <w:szCs w:val="18"/>
                <w:lang w:val="pt-BR"/>
              </w:rPr>
            </w:pPr>
          </w:p>
        </w:tc>
        <w:tc>
          <w:tcPr>
            <w:tcW w:w="179" w:type="pct"/>
            <w:vMerge w:val="continue"/>
            <w:tcBorders>
              <w:left w:val="nil"/>
              <w:right w:val="single" w:color="auto" w:sz="4" w:space="0"/>
            </w:tcBorders>
          </w:tcPr>
          <w:p w14:paraId="49863D2B">
            <w:pPr>
              <w:spacing w:after="240"/>
              <w:jc w:val="center"/>
              <w:rPr>
                <w:rFonts w:cstheme="minorHAnsi"/>
                <w:sz w:val="18"/>
                <w:szCs w:val="18"/>
                <w:lang w:val="pt-BR"/>
              </w:rPr>
            </w:pPr>
          </w:p>
        </w:tc>
        <w:tc>
          <w:tcPr>
            <w:tcW w:w="179" w:type="pct"/>
            <w:vMerge w:val="continue"/>
            <w:tcBorders>
              <w:left w:val="single" w:color="auto" w:sz="4" w:space="0"/>
              <w:right w:val="nil"/>
            </w:tcBorders>
          </w:tcPr>
          <w:p w14:paraId="3DE5785B">
            <w:pPr>
              <w:spacing w:after="240"/>
              <w:jc w:val="center"/>
              <w:rPr>
                <w:rFonts w:cstheme="minorHAnsi"/>
                <w:sz w:val="18"/>
                <w:szCs w:val="18"/>
                <w:lang w:val="pt-BR"/>
              </w:rPr>
            </w:pPr>
          </w:p>
        </w:tc>
        <w:tc>
          <w:tcPr>
            <w:tcW w:w="194" w:type="pct"/>
            <w:vMerge w:val="continue"/>
            <w:tcBorders>
              <w:left w:val="nil"/>
              <w:right w:val="single" w:color="auto" w:sz="4" w:space="0"/>
            </w:tcBorders>
          </w:tcPr>
          <w:p w14:paraId="27471DD1">
            <w:pPr>
              <w:spacing w:after="240"/>
              <w:jc w:val="center"/>
              <w:rPr>
                <w:rFonts w:cstheme="minorHAnsi"/>
                <w:sz w:val="18"/>
                <w:szCs w:val="18"/>
                <w:lang w:val="pt-BR"/>
              </w:rPr>
            </w:pPr>
          </w:p>
        </w:tc>
        <w:tc>
          <w:tcPr>
            <w:tcW w:w="195" w:type="pct"/>
            <w:vMerge w:val="continue"/>
            <w:tcBorders>
              <w:left w:val="nil"/>
              <w:right w:val="single" w:color="auto" w:sz="4" w:space="0"/>
            </w:tcBorders>
          </w:tcPr>
          <w:p w14:paraId="6E4F9DD6">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7F66FC72">
            <w:pPr>
              <w:spacing w:after="240"/>
              <w:jc w:val="center"/>
              <w:rPr>
                <w:rFonts w:cstheme="minorHAnsi"/>
                <w:sz w:val="18"/>
                <w:szCs w:val="18"/>
              </w:rPr>
            </w:pPr>
            <w:r>
              <w:rPr>
                <w:rFonts w:cstheme="minorHAnsi"/>
                <w:sz w:val="18"/>
                <w:szCs w:val="18"/>
              </w:rPr>
              <w:t>33</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2CEF9C39">
            <w:pPr>
              <w:spacing w:after="240"/>
              <w:jc w:val="center"/>
              <w:rPr>
                <w:rFonts w:cstheme="minorHAnsi"/>
                <w:sz w:val="18"/>
                <w:szCs w:val="18"/>
              </w:rPr>
            </w:pPr>
            <w:r>
              <w:rPr>
                <w:rFonts w:cstheme="minorHAnsi"/>
                <w:sz w:val="18"/>
                <w:szCs w:val="18"/>
              </w:rPr>
              <w:t>304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7F490574">
            <w:pPr>
              <w:spacing w:after="240"/>
              <w:jc w:val="center"/>
              <w:rPr>
                <w:rFonts w:cstheme="minorHAnsi"/>
                <w:sz w:val="18"/>
                <w:szCs w:val="18"/>
              </w:rPr>
            </w:pPr>
            <w:r>
              <w:rPr>
                <w:rFonts w:cstheme="minorHAnsi"/>
                <w:sz w:val="18"/>
                <w:szCs w:val="18"/>
              </w:rPr>
              <w:t>Hastelloy C</w:t>
            </w:r>
          </w:p>
        </w:tc>
      </w:tr>
      <w:tr w14:paraId="2133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0B28AF22">
            <w:pPr>
              <w:spacing w:after="240"/>
              <w:jc w:val="center"/>
              <w:rPr>
                <w:rFonts w:cstheme="minorHAnsi"/>
                <w:sz w:val="18"/>
                <w:szCs w:val="18"/>
                <w:lang w:val="pt-BR"/>
              </w:rPr>
            </w:pPr>
          </w:p>
        </w:tc>
        <w:tc>
          <w:tcPr>
            <w:tcW w:w="450" w:type="pct"/>
            <w:vMerge w:val="continue"/>
            <w:tcBorders>
              <w:left w:val="single" w:color="auto" w:sz="4" w:space="0"/>
              <w:right w:val="nil"/>
            </w:tcBorders>
          </w:tcPr>
          <w:p w14:paraId="32D35011">
            <w:pPr>
              <w:spacing w:after="240"/>
              <w:jc w:val="center"/>
              <w:rPr>
                <w:rFonts w:cstheme="minorHAnsi"/>
                <w:sz w:val="18"/>
                <w:szCs w:val="18"/>
                <w:lang w:val="pt-BR"/>
              </w:rPr>
            </w:pPr>
          </w:p>
        </w:tc>
        <w:tc>
          <w:tcPr>
            <w:tcW w:w="179" w:type="pct"/>
            <w:vMerge w:val="continue"/>
            <w:tcBorders>
              <w:left w:val="nil"/>
              <w:right w:val="single" w:color="auto" w:sz="4" w:space="0"/>
            </w:tcBorders>
          </w:tcPr>
          <w:p w14:paraId="6FB37629">
            <w:pPr>
              <w:spacing w:after="240"/>
              <w:jc w:val="center"/>
              <w:rPr>
                <w:rFonts w:cstheme="minorHAnsi"/>
                <w:sz w:val="18"/>
                <w:szCs w:val="18"/>
                <w:lang w:val="pt-BR"/>
              </w:rPr>
            </w:pPr>
          </w:p>
        </w:tc>
        <w:tc>
          <w:tcPr>
            <w:tcW w:w="179" w:type="pct"/>
            <w:vMerge w:val="continue"/>
            <w:tcBorders>
              <w:left w:val="single" w:color="auto" w:sz="4" w:space="0"/>
              <w:right w:val="nil"/>
            </w:tcBorders>
          </w:tcPr>
          <w:p w14:paraId="52C908DE">
            <w:pPr>
              <w:spacing w:after="240"/>
              <w:jc w:val="center"/>
              <w:rPr>
                <w:rFonts w:cstheme="minorHAnsi"/>
                <w:sz w:val="18"/>
                <w:szCs w:val="18"/>
                <w:lang w:val="pt-BR"/>
              </w:rPr>
            </w:pPr>
          </w:p>
        </w:tc>
        <w:tc>
          <w:tcPr>
            <w:tcW w:w="194" w:type="pct"/>
            <w:vMerge w:val="continue"/>
            <w:tcBorders>
              <w:left w:val="nil"/>
              <w:right w:val="single" w:color="auto" w:sz="4" w:space="0"/>
            </w:tcBorders>
          </w:tcPr>
          <w:p w14:paraId="0565FDCD">
            <w:pPr>
              <w:spacing w:after="240"/>
              <w:jc w:val="center"/>
              <w:rPr>
                <w:rFonts w:cstheme="minorHAnsi"/>
                <w:sz w:val="18"/>
                <w:szCs w:val="18"/>
                <w:lang w:val="pt-BR"/>
              </w:rPr>
            </w:pPr>
          </w:p>
        </w:tc>
        <w:tc>
          <w:tcPr>
            <w:tcW w:w="195" w:type="pct"/>
            <w:vMerge w:val="continue"/>
            <w:tcBorders>
              <w:left w:val="nil"/>
              <w:right w:val="single" w:color="auto" w:sz="4" w:space="0"/>
            </w:tcBorders>
          </w:tcPr>
          <w:p w14:paraId="34C64A16">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3614F2B4">
            <w:pPr>
              <w:spacing w:after="240"/>
              <w:jc w:val="center"/>
              <w:rPr>
                <w:rFonts w:cstheme="minorHAnsi"/>
                <w:sz w:val="18"/>
                <w:szCs w:val="18"/>
              </w:rPr>
            </w:pPr>
            <w:r>
              <w:rPr>
                <w:rFonts w:cstheme="minorHAnsi"/>
                <w:sz w:val="18"/>
                <w:szCs w:val="18"/>
              </w:rPr>
              <w:t>34</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5CAFAC85">
            <w:pPr>
              <w:spacing w:after="240"/>
              <w:jc w:val="center"/>
              <w:rPr>
                <w:rFonts w:cstheme="minorHAnsi"/>
                <w:sz w:val="18"/>
                <w:szCs w:val="18"/>
              </w:rPr>
            </w:pPr>
            <w:r>
              <w:rPr>
                <w:rFonts w:cstheme="minorHAnsi"/>
                <w:sz w:val="18"/>
                <w:szCs w:val="18"/>
              </w:rPr>
              <w:t>304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5A7A4EF2">
            <w:pPr>
              <w:spacing w:after="240"/>
              <w:jc w:val="center"/>
              <w:rPr>
                <w:rFonts w:cstheme="minorHAnsi"/>
                <w:sz w:val="18"/>
                <w:szCs w:val="18"/>
              </w:rPr>
            </w:pPr>
            <w:r>
              <w:rPr>
                <w:rFonts w:cstheme="minorHAnsi"/>
                <w:sz w:val="18"/>
                <w:szCs w:val="18"/>
              </w:rPr>
              <w:t>Monel alloy</w:t>
            </w:r>
          </w:p>
        </w:tc>
      </w:tr>
      <w:tr w14:paraId="1264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4D992889">
            <w:pPr>
              <w:spacing w:after="240"/>
              <w:jc w:val="center"/>
              <w:rPr>
                <w:rFonts w:cstheme="minorHAnsi"/>
                <w:sz w:val="18"/>
                <w:szCs w:val="18"/>
                <w:lang w:val="pt-BR"/>
              </w:rPr>
            </w:pPr>
          </w:p>
        </w:tc>
        <w:tc>
          <w:tcPr>
            <w:tcW w:w="450" w:type="pct"/>
            <w:vMerge w:val="continue"/>
            <w:tcBorders>
              <w:left w:val="single" w:color="auto" w:sz="4" w:space="0"/>
              <w:right w:val="nil"/>
            </w:tcBorders>
          </w:tcPr>
          <w:p w14:paraId="07B4ED95">
            <w:pPr>
              <w:spacing w:after="240"/>
              <w:jc w:val="center"/>
              <w:rPr>
                <w:rFonts w:cstheme="minorHAnsi"/>
                <w:sz w:val="18"/>
                <w:szCs w:val="18"/>
                <w:lang w:val="pt-BR"/>
              </w:rPr>
            </w:pPr>
          </w:p>
        </w:tc>
        <w:tc>
          <w:tcPr>
            <w:tcW w:w="179" w:type="pct"/>
            <w:vMerge w:val="continue"/>
            <w:tcBorders>
              <w:left w:val="nil"/>
              <w:right w:val="single" w:color="auto" w:sz="4" w:space="0"/>
            </w:tcBorders>
          </w:tcPr>
          <w:p w14:paraId="430B307D">
            <w:pPr>
              <w:spacing w:after="240"/>
              <w:jc w:val="center"/>
              <w:rPr>
                <w:rFonts w:cstheme="minorHAnsi"/>
                <w:sz w:val="18"/>
                <w:szCs w:val="18"/>
                <w:lang w:val="pt-BR"/>
              </w:rPr>
            </w:pPr>
          </w:p>
        </w:tc>
        <w:tc>
          <w:tcPr>
            <w:tcW w:w="179" w:type="pct"/>
            <w:vMerge w:val="continue"/>
            <w:tcBorders>
              <w:left w:val="single" w:color="auto" w:sz="4" w:space="0"/>
              <w:right w:val="nil"/>
            </w:tcBorders>
          </w:tcPr>
          <w:p w14:paraId="1F501091">
            <w:pPr>
              <w:spacing w:after="240"/>
              <w:jc w:val="center"/>
              <w:rPr>
                <w:rFonts w:cstheme="minorHAnsi"/>
                <w:sz w:val="18"/>
                <w:szCs w:val="18"/>
                <w:lang w:val="pt-BR"/>
              </w:rPr>
            </w:pPr>
          </w:p>
        </w:tc>
        <w:tc>
          <w:tcPr>
            <w:tcW w:w="194" w:type="pct"/>
            <w:vMerge w:val="continue"/>
            <w:tcBorders>
              <w:left w:val="nil"/>
              <w:right w:val="single" w:color="auto" w:sz="4" w:space="0"/>
            </w:tcBorders>
          </w:tcPr>
          <w:p w14:paraId="5D984664">
            <w:pPr>
              <w:spacing w:after="240"/>
              <w:jc w:val="center"/>
              <w:rPr>
                <w:rFonts w:cstheme="minorHAnsi"/>
                <w:sz w:val="18"/>
                <w:szCs w:val="18"/>
                <w:lang w:val="pt-BR"/>
              </w:rPr>
            </w:pPr>
          </w:p>
        </w:tc>
        <w:tc>
          <w:tcPr>
            <w:tcW w:w="195" w:type="pct"/>
            <w:vMerge w:val="continue"/>
            <w:tcBorders>
              <w:left w:val="nil"/>
              <w:right w:val="single" w:color="auto" w:sz="4" w:space="0"/>
            </w:tcBorders>
          </w:tcPr>
          <w:p w14:paraId="35D1619D">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3C9AA478">
            <w:pPr>
              <w:spacing w:after="240"/>
              <w:jc w:val="center"/>
              <w:rPr>
                <w:rFonts w:cstheme="minorHAnsi"/>
                <w:sz w:val="18"/>
                <w:szCs w:val="18"/>
              </w:rPr>
            </w:pPr>
            <w:r>
              <w:rPr>
                <w:rFonts w:cstheme="minorHAnsi"/>
                <w:sz w:val="18"/>
                <w:szCs w:val="18"/>
              </w:rPr>
              <w:t>35</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13A460AB">
            <w:pPr>
              <w:spacing w:after="240"/>
              <w:jc w:val="center"/>
              <w:rPr>
                <w:rFonts w:cstheme="minorHAnsi"/>
                <w:sz w:val="18"/>
                <w:szCs w:val="18"/>
              </w:rPr>
            </w:pPr>
            <w:r>
              <w:rPr>
                <w:rFonts w:cstheme="minorHAnsi"/>
                <w:sz w:val="18"/>
                <w:szCs w:val="18"/>
              </w:rPr>
              <w:t>304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241D4821">
            <w:pPr>
              <w:spacing w:after="240"/>
              <w:jc w:val="center"/>
              <w:rPr>
                <w:rFonts w:cstheme="minorHAnsi"/>
                <w:sz w:val="18"/>
                <w:szCs w:val="18"/>
              </w:rPr>
            </w:pPr>
            <w:r>
              <w:rPr>
                <w:rFonts w:cstheme="minorHAnsi"/>
                <w:sz w:val="18"/>
                <w:szCs w:val="18"/>
              </w:rPr>
              <w:t>Tantalum</w:t>
            </w:r>
          </w:p>
        </w:tc>
      </w:tr>
      <w:tr w14:paraId="391C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435E5B0B">
            <w:pPr>
              <w:spacing w:after="240"/>
              <w:jc w:val="center"/>
              <w:rPr>
                <w:rFonts w:cstheme="minorHAnsi"/>
                <w:sz w:val="18"/>
                <w:szCs w:val="18"/>
                <w:lang w:val="pt-BR"/>
              </w:rPr>
            </w:pPr>
          </w:p>
        </w:tc>
        <w:tc>
          <w:tcPr>
            <w:tcW w:w="450" w:type="pct"/>
            <w:vMerge w:val="continue"/>
            <w:tcBorders>
              <w:left w:val="single" w:color="auto" w:sz="4" w:space="0"/>
              <w:right w:val="nil"/>
            </w:tcBorders>
          </w:tcPr>
          <w:p w14:paraId="15D79D26">
            <w:pPr>
              <w:spacing w:after="240"/>
              <w:jc w:val="center"/>
              <w:rPr>
                <w:rFonts w:cstheme="minorHAnsi"/>
                <w:sz w:val="18"/>
                <w:szCs w:val="18"/>
                <w:lang w:val="pt-BR"/>
              </w:rPr>
            </w:pPr>
          </w:p>
        </w:tc>
        <w:tc>
          <w:tcPr>
            <w:tcW w:w="179" w:type="pct"/>
            <w:vMerge w:val="continue"/>
            <w:tcBorders>
              <w:left w:val="nil"/>
              <w:right w:val="single" w:color="auto" w:sz="4" w:space="0"/>
            </w:tcBorders>
          </w:tcPr>
          <w:p w14:paraId="0BB480B7">
            <w:pPr>
              <w:spacing w:after="240"/>
              <w:jc w:val="center"/>
              <w:rPr>
                <w:rFonts w:cstheme="minorHAnsi"/>
                <w:sz w:val="18"/>
                <w:szCs w:val="18"/>
                <w:lang w:val="pt-BR"/>
              </w:rPr>
            </w:pPr>
          </w:p>
        </w:tc>
        <w:tc>
          <w:tcPr>
            <w:tcW w:w="179" w:type="pct"/>
            <w:vMerge w:val="continue"/>
            <w:tcBorders>
              <w:left w:val="single" w:color="auto" w:sz="4" w:space="0"/>
              <w:right w:val="nil"/>
            </w:tcBorders>
          </w:tcPr>
          <w:p w14:paraId="26BAB204">
            <w:pPr>
              <w:spacing w:after="240"/>
              <w:jc w:val="center"/>
              <w:rPr>
                <w:rFonts w:cstheme="minorHAnsi"/>
                <w:sz w:val="18"/>
                <w:szCs w:val="18"/>
                <w:lang w:val="pt-BR"/>
              </w:rPr>
            </w:pPr>
          </w:p>
        </w:tc>
        <w:tc>
          <w:tcPr>
            <w:tcW w:w="194" w:type="pct"/>
            <w:vMerge w:val="continue"/>
            <w:tcBorders>
              <w:left w:val="nil"/>
              <w:right w:val="single" w:color="auto" w:sz="4" w:space="0"/>
            </w:tcBorders>
          </w:tcPr>
          <w:p w14:paraId="634C0C82">
            <w:pPr>
              <w:spacing w:after="240"/>
              <w:jc w:val="center"/>
              <w:rPr>
                <w:rFonts w:cstheme="minorHAnsi"/>
                <w:sz w:val="18"/>
                <w:szCs w:val="18"/>
                <w:lang w:val="pt-BR"/>
              </w:rPr>
            </w:pPr>
          </w:p>
        </w:tc>
        <w:tc>
          <w:tcPr>
            <w:tcW w:w="195" w:type="pct"/>
            <w:vMerge w:val="continue"/>
            <w:tcBorders>
              <w:left w:val="nil"/>
              <w:right w:val="single" w:color="auto" w:sz="4" w:space="0"/>
            </w:tcBorders>
          </w:tcPr>
          <w:p w14:paraId="7788B4E2">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52904440">
            <w:pPr>
              <w:spacing w:after="240"/>
              <w:jc w:val="center"/>
              <w:rPr>
                <w:rFonts w:cstheme="minorHAnsi"/>
                <w:sz w:val="18"/>
                <w:szCs w:val="18"/>
              </w:rPr>
            </w:pPr>
            <w:r>
              <w:rPr>
                <w:rFonts w:cstheme="minorHAnsi"/>
                <w:sz w:val="18"/>
                <w:szCs w:val="18"/>
              </w:rPr>
              <w:t>42</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039738B9">
            <w:pPr>
              <w:spacing w:after="240"/>
              <w:jc w:val="center"/>
              <w:rPr>
                <w:rFonts w:cstheme="minorHAnsi"/>
                <w:sz w:val="18"/>
                <w:szCs w:val="18"/>
              </w:rPr>
            </w:pPr>
            <w:r>
              <w:rPr>
                <w:rFonts w:cstheme="minorHAnsi"/>
                <w:sz w:val="18"/>
                <w:szCs w:val="18"/>
              </w:rPr>
              <w:t>SS2205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5B67D325">
            <w:pPr>
              <w:spacing w:after="240"/>
              <w:jc w:val="center"/>
              <w:rPr>
                <w:rFonts w:cstheme="minorHAnsi"/>
                <w:sz w:val="18"/>
                <w:szCs w:val="18"/>
              </w:rPr>
            </w:pPr>
            <w:r>
              <w:rPr>
                <w:rFonts w:cstheme="minorHAnsi"/>
                <w:sz w:val="18"/>
                <w:szCs w:val="18"/>
              </w:rPr>
              <w:t>316L stainless steel</w:t>
            </w:r>
          </w:p>
        </w:tc>
      </w:tr>
      <w:tr w14:paraId="022F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032A022E">
            <w:pPr>
              <w:spacing w:after="240"/>
              <w:jc w:val="center"/>
              <w:rPr>
                <w:rFonts w:cstheme="minorHAnsi"/>
                <w:sz w:val="18"/>
                <w:szCs w:val="18"/>
                <w:lang w:val="pt-BR"/>
              </w:rPr>
            </w:pPr>
          </w:p>
        </w:tc>
        <w:tc>
          <w:tcPr>
            <w:tcW w:w="450" w:type="pct"/>
            <w:vMerge w:val="continue"/>
            <w:tcBorders>
              <w:left w:val="single" w:color="auto" w:sz="4" w:space="0"/>
              <w:right w:val="nil"/>
            </w:tcBorders>
          </w:tcPr>
          <w:p w14:paraId="7DA24226">
            <w:pPr>
              <w:spacing w:after="240"/>
              <w:jc w:val="center"/>
              <w:rPr>
                <w:rFonts w:cstheme="minorHAnsi"/>
                <w:sz w:val="18"/>
                <w:szCs w:val="18"/>
                <w:lang w:val="pt-BR"/>
              </w:rPr>
            </w:pPr>
          </w:p>
        </w:tc>
        <w:tc>
          <w:tcPr>
            <w:tcW w:w="179" w:type="pct"/>
            <w:vMerge w:val="continue"/>
            <w:tcBorders>
              <w:left w:val="nil"/>
              <w:right w:val="single" w:color="auto" w:sz="4" w:space="0"/>
            </w:tcBorders>
          </w:tcPr>
          <w:p w14:paraId="54D0A8C9">
            <w:pPr>
              <w:spacing w:after="240"/>
              <w:jc w:val="center"/>
              <w:rPr>
                <w:rFonts w:cstheme="minorHAnsi"/>
                <w:sz w:val="18"/>
                <w:szCs w:val="18"/>
                <w:lang w:val="pt-BR"/>
              </w:rPr>
            </w:pPr>
          </w:p>
        </w:tc>
        <w:tc>
          <w:tcPr>
            <w:tcW w:w="179" w:type="pct"/>
            <w:vMerge w:val="continue"/>
            <w:tcBorders>
              <w:left w:val="single" w:color="auto" w:sz="4" w:space="0"/>
              <w:right w:val="nil"/>
            </w:tcBorders>
          </w:tcPr>
          <w:p w14:paraId="63E81709">
            <w:pPr>
              <w:spacing w:after="240"/>
              <w:jc w:val="center"/>
              <w:rPr>
                <w:rFonts w:cstheme="minorHAnsi"/>
                <w:sz w:val="18"/>
                <w:szCs w:val="18"/>
                <w:lang w:val="pt-BR"/>
              </w:rPr>
            </w:pPr>
          </w:p>
        </w:tc>
        <w:tc>
          <w:tcPr>
            <w:tcW w:w="194" w:type="pct"/>
            <w:vMerge w:val="continue"/>
            <w:tcBorders>
              <w:left w:val="nil"/>
              <w:right w:val="single" w:color="auto" w:sz="4" w:space="0"/>
            </w:tcBorders>
          </w:tcPr>
          <w:p w14:paraId="59C8A350">
            <w:pPr>
              <w:spacing w:after="240"/>
              <w:jc w:val="center"/>
              <w:rPr>
                <w:rFonts w:cstheme="minorHAnsi"/>
                <w:sz w:val="18"/>
                <w:szCs w:val="18"/>
                <w:lang w:val="pt-BR"/>
              </w:rPr>
            </w:pPr>
          </w:p>
        </w:tc>
        <w:tc>
          <w:tcPr>
            <w:tcW w:w="195" w:type="pct"/>
            <w:vMerge w:val="continue"/>
            <w:tcBorders>
              <w:left w:val="nil"/>
              <w:right w:val="single" w:color="auto" w:sz="4" w:space="0"/>
            </w:tcBorders>
          </w:tcPr>
          <w:p w14:paraId="012E1540">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5FF1DBEA">
            <w:pPr>
              <w:spacing w:after="240"/>
              <w:jc w:val="center"/>
              <w:rPr>
                <w:rFonts w:cstheme="minorHAnsi"/>
                <w:sz w:val="18"/>
                <w:szCs w:val="18"/>
              </w:rPr>
            </w:pPr>
            <w:r>
              <w:rPr>
                <w:rFonts w:cstheme="minorHAnsi"/>
                <w:sz w:val="18"/>
                <w:szCs w:val="18"/>
              </w:rPr>
              <w:t>43</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5C8E8B88">
            <w:pPr>
              <w:spacing w:after="240"/>
              <w:jc w:val="center"/>
              <w:rPr>
                <w:rFonts w:cstheme="minorHAnsi"/>
                <w:sz w:val="18"/>
                <w:szCs w:val="18"/>
              </w:rPr>
            </w:pPr>
            <w:r>
              <w:rPr>
                <w:rFonts w:cstheme="minorHAnsi"/>
                <w:sz w:val="18"/>
                <w:szCs w:val="18"/>
              </w:rPr>
              <w:t>SS2205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638BB872">
            <w:pPr>
              <w:spacing w:after="240"/>
              <w:jc w:val="center"/>
              <w:rPr>
                <w:rFonts w:cstheme="minorHAnsi"/>
                <w:sz w:val="18"/>
                <w:szCs w:val="18"/>
              </w:rPr>
            </w:pPr>
            <w:r>
              <w:rPr>
                <w:rFonts w:cstheme="minorHAnsi"/>
                <w:sz w:val="18"/>
                <w:szCs w:val="18"/>
              </w:rPr>
              <w:t>Hastelloy C</w:t>
            </w:r>
          </w:p>
        </w:tc>
      </w:tr>
      <w:tr w14:paraId="6C1A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00715DF8">
            <w:pPr>
              <w:spacing w:after="240"/>
              <w:jc w:val="center"/>
              <w:rPr>
                <w:rFonts w:cstheme="minorHAnsi"/>
                <w:sz w:val="18"/>
                <w:szCs w:val="18"/>
                <w:lang w:val="pt-BR"/>
              </w:rPr>
            </w:pPr>
          </w:p>
        </w:tc>
        <w:tc>
          <w:tcPr>
            <w:tcW w:w="450" w:type="pct"/>
            <w:vMerge w:val="continue"/>
            <w:tcBorders>
              <w:left w:val="single" w:color="auto" w:sz="4" w:space="0"/>
              <w:right w:val="nil"/>
            </w:tcBorders>
          </w:tcPr>
          <w:p w14:paraId="182E91F8">
            <w:pPr>
              <w:spacing w:after="240"/>
              <w:jc w:val="center"/>
              <w:rPr>
                <w:rFonts w:cstheme="minorHAnsi"/>
                <w:sz w:val="18"/>
                <w:szCs w:val="18"/>
                <w:lang w:val="pt-BR"/>
              </w:rPr>
            </w:pPr>
          </w:p>
        </w:tc>
        <w:tc>
          <w:tcPr>
            <w:tcW w:w="179" w:type="pct"/>
            <w:vMerge w:val="continue"/>
            <w:tcBorders>
              <w:left w:val="nil"/>
              <w:right w:val="single" w:color="auto" w:sz="4" w:space="0"/>
            </w:tcBorders>
          </w:tcPr>
          <w:p w14:paraId="4DA29B46">
            <w:pPr>
              <w:spacing w:after="240"/>
              <w:jc w:val="center"/>
              <w:rPr>
                <w:rFonts w:cstheme="minorHAnsi"/>
                <w:sz w:val="18"/>
                <w:szCs w:val="18"/>
                <w:lang w:val="pt-BR"/>
              </w:rPr>
            </w:pPr>
          </w:p>
        </w:tc>
        <w:tc>
          <w:tcPr>
            <w:tcW w:w="179" w:type="pct"/>
            <w:vMerge w:val="continue"/>
            <w:tcBorders>
              <w:left w:val="single" w:color="auto" w:sz="4" w:space="0"/>
              <w:right w:val="nil"/>
            </w:tcBorders>
          </w:tcPr>
          <w:p w14:paraId="722B9E61">
            <w:pPr>
              <w:spacing w:after="240"/>
              <w:jc w:val="center"/>
              <w:rPr>
                <w:rFonts w:cstheme="minorHAnsi"/>
                <w:sz w:val="18"/>
                <w:szCs w:val="18"/>
                <w:lang w:val="pt-BR"/>
              </w:rPr>
            </w:pPr>
          </w:p>
        </w:tc>
        <w:tc>
          <w:tcPr>
            <w:tcW w:w="194" w:type="pct"/>
            <w:vMerge w:val="continue"/>
            <w:tcBorders>
              <w:left w:val="nil"/>
              <w:right w:val="single" w:color="auto" w:sz="4" w:space="0"/>
            </w:tcBorders>
          </w:tcPr>
          <w:p w14:paraId="0E67EC5F">
            <w:pPr>
              <w:spacing w:after="240"/>
              <w:jc w:val="center"/>
              <w:rPr>
                <w:rFonts w:cstheme="minorHAnsi"/>
                <w:sz w:val="18"/>
                <w:szCs w:val="18"/>
                <w:lang w:val="pt-BR"/>
              </w:rPr>
            </w:pPr>
          </w:p>
        </w:tc>
        <w:tc>
          <w:tcPr>
            <w:tcW w:w="195" w:type="pct"/>
            <w:vMerge w:val="continue"/>
            <w:tcBorders>
              <w:left w:val="nil"/>
              <w:right w:val="single" w:color="auto" w:sz="4" w:space="0"/>
            </w:tcBorders>
          </w:tcPr>
          <w:p w14:paraId="43E3B92D">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1243C3D3">
            <w:pPr>
              <w:spacing w:after="240"/>
              <w:jc w:val="center"/>
              <w:rPr>
                <w:rFonts w:cstheme="minorHAnsi"/>
                <w:sz w:val="18"/>
                <w:szCs w:val="18"/>
              </w:rPr>
            </w:pPr>
            <w:r>
              <w:rPr>
                <w:rFonts w:cstheme="minorHAnsi"/>
                <w:sz w:val="18"/>
                <w:szCs w:val="18"/>
              </w:rPr>
              <w:t>44</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4CBC2C46">
            <w:pPr>
              <w:spacing w:after="240"/>
              <w:jc w:val="center"/>
              <w:rPr>
                <w:rFonts w:cstheme="minorHAnsi"/>
                <w:sz w:val="18"/>
                <w:szCs w:val="18"/>
              </w:rPr>
            </w:pPr>
            <w:r>
              <w:rPr>
                <w:rFonts w:cstheme="minorHAnsi"/>
                <w:sz w:val="18"/>
                <w:szCs w:val="18"/>
              </w:rPr>
              <w:t>SS2205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69FB633A">
            <w:pPr>
              <w:spacing w:after="240"/>
              <w:jc w:val="center"/>
              <w:rPr>
                <w:rFonts w:cstheme="minorHAnsi"/>
                <w:sz w:val="18"/>
                <w:szCs w:val="18"/>
              </w:rPr>
            </w:pPr>
            <w:r>
              <w:rPr>
                <w:rFonts w:cstheme="minorHAnsi"/>
                <w:sz w:val="18"/>
                <w:szCs w:val="18"/>
              </w:rPr>
              <w:t>Monel alloy</w:t>
            </w:r>
          </w:p>
        </w:tc>
      </w:tr>
      <w:tr w14:paraId="1BD5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52B3F9C3">
            <w:pPr>
              <w:spacing w:after="240"/>
              <w:jc w:val="center"/>
              <w:rPr>
                <w:rFonts w:cstheme="minorHAnsi"/>
                <w:sz w:val="18"/>
                <w:szCs w:val="18"/>
                <w:lang w:val="pt-BR"/>
              </w:rPr>
            </w:pPr>
          </w:p>
        </w:tc>
        <w:tc>
          <w:tcPr>
            <w:tcW w:w="450" w:type="pct"/>
            <w:vMerge w:val="continue"/>
            <w:tcBorders>
              <w:left w:val="single" w:color="auto" w:sz="4" w:space="0"/>
              <w:right w:val="nil"/>
            </w:tcBorders>
          </w:tcPr>
          <w:p w14:paraId="5D817F49">
            <w:pPr>
              <w:spacing w:after="240"/>
              <w:jc w:val="center"/>
              <w:rPr>
                <w:rFonts w:cstheme="minorHAnsi"/>
                <w:sz w:val="18"/>
                <w:szCs w:val="18"/>
                <w:lang w:val="pt-BR"/>
              </w:rPr>
            </w:pPr>
          </w:p>
        </w:tc>
        <w:tc>
          <w:tcPr>
            <w:tcW w:w="179" w:type="pct"/>
            <w:vMerge w:val="continue"/>
            <w:tcBorders>
              <w:left w:val="nil"/>
              <w:right w:val="single" w:color="auto" w:sz="4" w:space="0"/>
            </w:tcBorders>
          </w:tcPr>
          <w:p w14:paraId="4BFCFE5E">
            <w:pPr>
              <w:spacing w:after="240"/>
              <w:jc w:val="center"/>
              <w:rPr>
                <w:rFonts w:cstheme="minorHAnsi"/>
                <w:sz w:val="18"/>
                <w:szCs w:val="18"/>
                <w:lang w:val="pt-BR"/>
              </w:rPr>
            </w:pPr>
          </w:p>
        </w:tc>
        <w:tc>
          <w:tcPr>
            <w:tcW w:w="179" w:type="pct"/>
            <w:vMerge w:val="continue"/>
            <w:tcBorders>
              <w:left w:val="single" w:color="auto" w:sz="4" w:space="0"/>
              <w:right w:val="nil"/>
            </w:tcBorders>
          </w:tcPr>
          <w:p w14:paraId="43B736BD">
            <w:pPr>
              <w:spacing w:after="240"/>
              <w:jc w:val="center"/>
              <w:rPr>
                <w:rFonts w:cstheme="minorHAnsi"/>
                <w:sz w:val="18"/>
                <w:szCs w:val="18"/>
                <w:lang w:val="pt-BR"/>
              </w:rPr>
            </w:pPr>
          </w:p>
        </w:tc>
        <w:tc>
          <w:tcPr>
            <w:tcW w:w="194" w:type="pct"/>
            <w:vMerge w:val="continue"/>
            <w:tcBorders>
              <w:left w:val="nil"/>
              <w:right w:val="single" w:color="auto" w:sz="4" w:space="0"/>
            </w:tcBorders>
          </w:tcPr>
          <w:p w14:paraId="66BBBB49">
            <w:pPr>
              <w:spacing w:after="240"/>
              <w:jc w:val="center"/>
              <w:rPr>
                <w:rFonts w:cstheme="minorHAnsi"/>
                <w:sz w:val="18"/>
                <w:szCs w:val="18"/>
                <w:lang w:val="pt-BR"/>
              </w:rPr>
            </w:pPr>
          </w:p>
        </w:tc>
        <w:tc>
          <w:tcPr>
            <w:tcW w:w="195" w:type="pct"/>
            <w:vMerge w:val="continue"/>
            <w:tcBorders>
              <w:left w:val="nil"/>
              <w:right w:val="single" w:color="auto" w:sz="4" w:space="0"/>
            </w:tcBorders>
          </w:tcPr>
          <w:p w14:paraId="4B0CDC6D">
            <w:pPr>
              <w:spacing w:after="240"/>
              <w:jc w:val="center"/>
              <w:rPr>
                <w:rFonts w:cstheme="minorHAnsi"/>
                <w:sz w:val="18"/>
                <w:szCs w:val="18"/>
                <w:lang w:val="pt-BR"/>
              </w:rPr>
            </w:pPr>
          </w:p>
        </w:tc>
        <w:tc>
          <w:tcPr>
            <w:tcW w:w="390" w:type="pct"/>
            <w:gridSpan w:val="2"/>
            <w:tcBorders>
              <w:top w:val="single" w:color="auto" w:sz="4" w:space="0"/>
              <w:left w:val="single" w:color="auto" w:sz="4" w:space="0"/>
              <w:bottom w:val="single" w:color="auto" w:sz="4" w:space="0"/>
              <w:right w:val="single" w:color="auto" w:sz="4" w:space="0"/>
            </w:tcBorders>
          </w:tcPr>
          <w:p w14:paraId="47711392">
            <w:pPr>
              <w:spacing w:after="240"/>
              <w:jc w:val="center"/>
              <w:rPr>
                <w:rFonts w:cstheme="minorHAnsi"/>
                <w:sz w:val="18"/>
                <w:szCs w:val="18"/>
              </w:rPr>
            </w:pPr>
            <w:r>
              <w:rPr>
                <w:rFonts w:cstheme="minorHAnsi"/>
                <w:sz w:val="18"/>
                <w:szCs w:val="18"/>
              </w:rPr>
              <w:t>45</w:t>
            </w:r>
          </w:p>
        </w:tc>
        <w:tc>
          <w:tcPr>
            <w:tcW w:w="1888" w:type="pct"/>
            <w:gridSpan w:val="4"/>
            <w:tcBorders>
              <w:top w:val="single" w:color="auto" w:sz="4" w:space="0"/>
              <w:left w:val="single" w:color="auto" w:sz="4" w:space="0"/>
              <w:bottom w:val="single" w:color="auto" w:sz="4" w:space="0"/>
              <w:right w:val="single" w:color="auto" w:sz="4" w:space="0"/>
            </w:tcBorders>
            <w:shd w:val="clear" w:color="auto" w:fill="auto"/>
          </w:tcPr>
          <w:p w14:paraId="580896F0">
            <w:pPr>
              <w:spacing w:after="240"/>
              <w:jc w:val="center"/>
              <w:rPr>
                <w:rFonts w:cstheme="minorHAnsi"/>
                <w:sz w:val="18"/>
                <w:szCs w:val="18"/>
              </w:rPr>
            </w:pPr>
            <w:r>
              <w:rPr>
                <w:rFonts w:cstheme="minorHAnsi"/>
                <w:sz w:val="18"/>
                <w:szCs w:val="18"/>
              </w:rPr>
              <w:t>SS2205 stainless steel</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tcPr>
          <w:p w14:paraId="5C93594A">
            <w:pPr>
              <w:spacing w:after="240"/>
              <w:jc w:val="center"/>
              <w:rPr>
                <w:rFonts w:cstheme="minorHAnsi"/>
                <w:sz w:val="18"/>
                <w:szCs w:val="18"/>
              </w:rPr>
            </w:pPr>
            <w:r>
              <w:rPr>
                <w:rFonts w:cstheme="minorHAnsi"/>
                <w:sz w:val="18"/>
                <w:szCs w:val="18"/>
              </w:rPr>
              <w:t>Tantalum</w:t>
            </w:r>
          </w:p>
        </w:tc>
      </w:tr>
      <w:tr w14:paraId="5654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63BD6F64">
            <w:pPr>
              <w:spacing w:after="240"/>
              <w:jc w:val="center"/>
              <w:rPr>
                <w:rFonts w:cstheme="minorHAnsi"/>
                <w:sz w:val="18"/>
                <w:szCs w:val="18"/>
                <w:lang w:val="pt-BR"/>
              </w:rPr>
            </w:pPr>
          </w:p>
        </w:tc>
        <w:tc>
          <w:tcPr>
            <w:tcW w:w="450" w:type="pct"/>
            <w:vMerge w:val="continue"/>
            <w:tcBorders>
              <w:left w:val="single" w:color="auto" w:sz="4" w:space="0"/>
              <w:right w:val="nil"/>
            </w:tcBorders>
          </w:tcPr>
          <w:p w14:paraId="75672A83">
            <w:pPr>
              <w:spacing w:after="240"/>
              <w:jc w:val="center"/>
              <w:rPr>
                <w:rFonts w:cstheme="minorHAnsi"/>
                <w:sz w:val="18"/>
                <w:szCs w:val="18"/>
                <w:lang w:val="pt-BR"/>
              </w:rPr>
            </w:pPr>
          </w:p>
        </w:tc>
        <w:tc>
          <w:tcPr>
            <w:tcW w:w="179" w:type="pct"/>
            <w:vMerge w:val="continue"/>
            <w:tcBorders>
              <w:left w:val="nil"/>
              <w:right w:val="single" w:color="auto" w:sz="4" w:space="0"/>
            </w:tcBorders>
          </w:tcPr>
          <w:p w14:paraId="11D6E5F8">
            <w:pPr>
              <w:spacing w:after="240"/>
              <w:jc w:val="center"/>
              <w:rPr>
                <w:rFonts w:cstheme="minorHAnsi"/>
                <w:sz w:val="18"/>
                <w:szCs w:val="18"/>
                <w:lang w:val="pt-BR"/>
              </w:rPr>
            </w:pPr>
          </w:p>
        </w:tc>
        <w:tc>
          <w:tcPr>
            <w:tcW w:w="179" w:type="pct"/>
            <w:vMerge w:val="continue"/>
            <w:tcBorders>
              <w:left w:val="single" w:color="auto" w:sz="4" w:space="0"/>
              <w:right w:val="nil"/>
            </w:tcBorders>
          </w:tcPr>
          <w:p w14:paraId="7C4110AA">
            <w:pPr>
              <w:spacing w:after="240"/>
              <w:jc w:val="center"/>
              <w:rPr>
                <w:rFonts w:cstheme="minorHAnsi"/>
                <w:sz w:val="18"/>
                <w:szCs w:val="18"/>
                <w:lang w:val="pt-BR"/>
              </w:rPr>
            </w:pPr>
          </w:p>
        </w:tc>
        <w:tc>
          <w:tcPr>
            <w:tcW w:w="194" w:type="pct"/>
            <w:vMerge w:val="continue"/>
            <w:tcBorders>
              <w:top w:val="nil"/>
              <w:left w:val="nil"/>
              <w:bottom w:val="nil"/>
              <w:right w:val="single" w:color="auto" w:sz="4" w:space="0"/>
            </w:tcBorders>
          </w:tcPr>
          <w:p w14:paraId="67294516">
            <w:pPr>
              <w:spacing w:after="240"/>
              <w:jc w:val="center"/>
              <w:rPr>
                <w:rFonts w:cstheme="minorHAnsi"/>
                <w:sz w:val="18"/>
                <w:szCs w:val="18"/>
                <w:lang w:val="pt-BR"/>
              </w:rPr>
            </w:pPr>
          </w:p>
        </w:tc>
        <w:tc>
          <w:tcPr>
            <w:tcW w:w="195" w:type="pct"/>
            <w:vMerge w:val="continue"/>
            <w:tcBorders>
              <w:top w:val="nil"/>
              <w:left w:val="nil"/>
              <w:bottom w:val="nil"/>
              <w:right w:val="nil"/>
            </w:tcBorders>
          </w:tcPr>
          <w:p w14:paraId="354C5C99">
            <w:pPr>
              <w:spacing w:after="240"/>
              <w:jc w:val="center"/>
              <w:rPr>
                <w:rFonts w:cstheme="minorHAnsi"/>
                <w:sz w:val="18"/>
                <w:szCs w:val="18"/>
                <w:lang w:val="pt-BR"/>
              </w:rPr>
            </w:pPr>
          </w:p>
        </w:tc>
        <w:tc>
          <w:tcPr>
            <w:tcW w:w="194" w:type="pct"/>
            <w:vMerge w:val="restart"/>
            <w:tcBorders>
              <w:top w:val="single" w:color="auto" w:sz="4" w:space="0"/>
              <w:left w:val="nil"/>
              <w:bottom w:val="nil"/>
              <w:right w:val="single" w:color="auto" w:sz="4" w:space="0"/>
            </w:tcBorders>
            <w:shd w:val="clear" w:color="auto" w:fill="auto"/>
          </w:tcPr>
          <w:p w14:paraId="4D8919DF">
            <w:pPr>
              <w:spacing w:after="240"/>
              <w:jc w:val="center"/>
              <w:rPr>
                <w:rFonts w:cstheme="minorHAnsi"/>
                <w:sz w:val="18"/>
                <w:szCs w:val="18"/>
              </w:rPr>
            </w:pPr>
          </w:p>
        </w:tc>
        <w:tc>
          <w:tcPr>
            <w:tcW w:w="196" w:type="pct"/>
            <w:vMerge w:val="restart"/>
            <w:tcBorders>
              <w:top w:val="single" w:color="auto" w:sz="4" w:space="0"/>
              <w:left w:val="nil"/>
              <w:bottom w:val="nil"/>
              <w:right w:val="nil"/>
            </w:tcBorders>
            <w:shd w:val="clear" w:color="auto" w:fill="auto"/>
          </w:tcPr>
          <w:p w14:paraId="1FB25402">
            <w:pPr>
              <w:spacing w:after="240"/>
              <w:jc w:val="center"/>
              <w:rPr>
                <w:rFonts w:cstheme="minorHAnsi"/>
                <w:sz w:val="18"/>
                <w:szCs w:val="18"/>
              </w:rPr>
            </w:pPr>
          </w:p>
        </w:tc>
        <w:tc>
          <w:tcPr>
            <w:tcW w:w="341" w:type="pct"/>
            <w:vMerge w:val="restart"/>
            <w:tcBorders>
              <w:top w:val="single" w:color="auto" w:sz="4" w:space="0"/>
              <w:left w:val="nil"/>
              <w:right w:val="single" w:color="auto" w:sz="4" w:space="0"/>
            </w:tcBorders>
            <w:shd w:val="clear" w:color="auto" w:fill="auto"/>
          </w:tcPr>
          <w:p w14:paraId="174D9BF5">
            <w:pPr>
              <w:spacing w:after="240"/>
              <w:jc w:val="center"/>
              <w:rPr>
                <w:rFonts w:cstheme="minorHAnsi"/>
                <w:sz w:val="18"/>
                <w:szCs w:val="18"/>
              </w:rPr>
            </w:pPr>
          </w:p>
        </w:tc>
        <w:tc>
          <w:tcPr>
            <w:tcW w:w="373" w:type="pct"/>
            <w:tcBorders>
              <w:top w:val="single" w:color="auto" w:sz="4" w:space="0"/>
              <w:left w:val="single" w:color="auto" w:sz="4" w:space="0"/>
            </w:tcBorders>
            <w:shd w:val="clear" w:color="auto" w:fill="F2F2F2"/>
          </w:tcPr>
          <w:p w14:paraId="1764C792">
            <w:pPr>
              <w:spacing w:after="240"/>
              <w:jc w:val="center"/>
              <w:rPr>
                <w:rFonts w:cstheme="minorHAnsi"/>
                <w:sz w:val="18"/>
                <w:szCs w:val="18"/>
              </w:rPr>
            </w:pPr>
            <w:r>
              <w:rPr>
                <w:rFonts w:cstheme="minorHAnsi"/>
                <w:sz w:val="18"/>
                <w:szCs w:val="18"/>
              </w:rPr>
              <w:t>Code</w:t>
            </w:r>
          </w:p>
        </w:tc>
        <w:tc>
          <w:tcPr>
            <w:tcW w:w="2250" w:type="pct"/>
            <w:gridSpan w:val="4"/>
            <w:tcBorders>
              <w:top w:val="single" w:color="auto" w:sz="4" w:space="0"/>
            </w:tcBorders>
            <w:shd w:val="clear" w:color="auto" w:fill="F2F2F2"/>
          </w:tcPr>
          <w:p w14:paraId="1048DD0C">
            <w:pPr>
              <w:spacing w:after="240"/>
              <w:jc w:val="center"/>
              <w:rPr>
                <w:rFonts w:cstheme="minorHAnsi"/>
                <w:sz w:val="18"/>
                <w:szCs w:val="18"/>
              </w:rPr>
            </w:pPr>
            <w:r>
              <w:rPr>
                <w:rFonts w:cstheme="minorHAnsi"/>
                <w:sz w:val="18"/>
                <w:szCs w:val="18"/>
              </w:rPr>
              <w:t>Options</w:t>
            </w:r>
          </w:p>
        </w:tc>
      </w:tr>
      <w:tr w14:paraId="59C1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0C78D920">
            <w:pPr>
              <w:spacing w:after="240"/>
              <w:jc w:val="center"/>
              <w:rPr>
                <w:rFonts w:cstheme="minorHAnsi"/>
                <w:sz w:val="18"/>
                <w:szCs w:val="18"/>
                <w:lang w:val="pt-BR"/>
              </w:rPr>
            </w:pPr>
          </w:p>
        </w:tc>
        <w:tc>
          <w:tcPr>
            <w:tcW w:w="450" w:type="pct"/>
            <w:vMerge w:val="continue"/>
            <w:tcBorders>
              <w:left w:val="single" w:color="auto" w:sz="4" w:space="0"/>
              <w:right w:val="nil"/>
            </w:tcBorders>
          </w:tcPr>
          <w:p w14:paraId="132E627D">
            <w:pPr>
              <w:spacing w:after="240"/>
              <w:jc w:val="center"/>
              <w:rPr>
                <w:rFonts w:cstheme="minorHAnsi"/>
                <w:sz w:val="18"/>
                <w:szCs w:val="18"/>
                <w:lang w:val="pt-BR"/>
              </w:rPr>
            </w:pPr>
          </w:p>
        </w:tc>
        <w:tc>
          <w:tcPr>
            <w:tcW w:w="179" w:type="pct"/>
            <w:vMerge w:val="continue"/>
            <w:tcBorders>
              <w:left w:val="nil"/>
              <w:right w:val="single" w:color="auto" w:sz="4" w:space="0"/>
            </w:tcBorders>
          </w:tcPr>
          <w:p w14:paraId="75852249">
            <w:pPr>
              <w:spacing w:after="240"/>
              <w:jc w:val="center"/>
              <w:rPr>
                <w:rFonts w:cstheme="minorHAnsi"/>
                <w:sz w:val="18"/>
                <w:szCs w:val="18"/>
                <w:lang w:val="pt-BR"/>
              </w:rPr>
            </w:pPr>
          </w:p>
        </w:tc>
        <w:tc>
          <w:tcPr>
            <w:tcW w:w="179" w:type="pct"/>
            <w:vMerge w:val="continue"/>
            <w:tcBorders>
              <w:left w:val="single" w:color="auto" w:sz="4" w:space="0"/>
              <w:right w:val="nil"/>
            </w:tcBorders>
          </w:tcPr>
          <w:p w14:paraId="0F81324C">
            <w:pPr>
              <w:spacing w:after="240"/>
              <w:jc w:val="center"/>
              <w:rPr>
                <w:rFonts w:cstheme="minorHAnsi"/>
                <w:sz w:val="18"/>
                <w:szCs w:val="18"/>
                <w:lang w:val="pt-BR"/>
              </w:rPr>
            </w:pPr>
          </w:p>
        </w:tc>
        <w:tc>
          <w:tcPr>
            <w:tcW w:w="194" w:type="pct"/>
            <w:vMerge w:val="continue"/>
            <w:tcBorders>
              <w:top w:val="nil"/>
              <w:left w:val="nil"/>
              <w:bottom w:val="nil"/>
              <w:right w:val="single" w:color="auto" w:sz="4" w:space="0"/>
            </w:tcBorders>
          </w:tcPr>
          <w:p w14:paraId="6A73571D">
            <w:pPr>
              <w:spacing w:after="240"/>
              <w:jc w:val="center"/>
              <w:rPr>
                <w:rFonts w:cstheme="minorHAnsi"/>
                <w:sz w:val="18"/>
                <w:szCs w:val="18"/>
                <w:lang w:val="pt-BR"/>
              </w:rPr>
            </w:pPr>
          </w:p>
        </w:tc>
        <w:tc>
          <w:tcPr>
            <w:tcW w:w="195" w:type="pct"/>
            <w:vMerge w:val="continue"/>
            <w:tcBorders>
              <w:top w:val="nil"/>
              <w:left w:val="nil"/>
              <w:bottom w:val="nil"/>
              <w:right w:val="nil"/>
            </w:tcBorders>
          </w:tcPr>
          <w:p w14:paraId="65E1D4A4">
            <w:pPr>
              <w:spacing w:after="240"/>
              <w:jc w:val="center"/>
              <w:rPr>
                <w:rFonts w:cstheme="minorHAnsi"/>
                <w:sz w:val="18"/>
                <w:szCs w:val="18"/>
                <w:lang w:val="pt-BR"/>
              </w:rPr>
            </w:pPr>
          </w:p>
        </w:tc>
        <w:tc>
          <w:tcPr>
            <w:tcW w:w="194" w:type="pct"/>
            <w:vMerge w:val="continue"/>
            <w:tcBorders>
              <w:top w:val="nil"/>
              <w:left w:val="nil"/>
              <w:bottom w:val="nil"/>
              <w:right w:val="single" w:color="auto" w:sz="4" w:space="0"/>
            </w:tcBorders>
            <w:shd w:val="clear" w:color="auto" w:fill="auto"/>
          </w:tcPr>
          <w:p w14:paraId="23A78101">
            <w:pPr>
              <w:spacing w:after="240"/>
              <w:jc w:val="center"/>
              <w:rPr>
                <w:rFonts w:cstheme="minorHAnsi"/>
                <w:sz w:val="18"/>
                <w:szCs w:val="18"/>
                <w:lang w:val="pt-BR"/>
              </w:rPr>
            </w:pPr>
          </w:p>
        </w:tc>
        <w:tc>
          <w:tcPr>
            <w:tcW w:w="196" w:type="pct"/>
            <w:vMerge w:val="continue"/>
            <w:tcBorders>
              <w:top w:val="nil"/>
              <w:left w:val="nil"/>
              <w:bottom w:val="nil"/>
              <w:right w:val="nil"/>
            </w:tcBorders>
            <w:shd w:val="clear" w:color="auto" w:fill="auto"/>
          </w:tcPr>
          <w:p w14:paraId="6C0CCCA4">
            <w:pPr>
              <w:spacing w:after="240"/>
              <w:jc w:val="center"/>
              <w:rPr>
                <w:rFonts w:cstheme="minorHAnsi"/>
                <w:sz w:val="18"/>
                <w:szCs w:val="18"/>
                <w:lang w:val="pt-BR"/>
              </w:rPr>
            </w:pPr>
          </w:p>
        </w:tc>
        <w:tc>
          <w:tcPr>
            <w:tcW w:w="341" w:type="pct"/>
            <w:vMerge w:val="continue"/>
            <w:tcBorders>
              <w:left w:val="nil"/>
              <w:right w:val="single" w:color="auto" w:sz="4" w:space="0"/>
            </w:tcBorders>
            <w:shd w:val="clear" w:color="auto" w:fill="auto"/>
          </w:tcPr>
          <w:p w14:paraId="4213A225">
            <w:pPr>
              <w:spacing w:after="240"/>
              <w:jc w:val="center"/>
              <w:rPr>
                <w:rFonts w:cstheme="minorHAnsi"/>
                <w:sz w:val="18"/>
                <w:szCs w:val="18"/>
              </w:rPr>
            </w:pPr>
          </w:p>
        </w:tc>
        <w:tc>
          <w:tcPr>
            <w:tcW w:w="373" w:type="pct"/>
            <w:tcBorders>
              <w:left w:val="single" w:color="auto" w:sz="4" w:space="0"/>
            </w:tcBorders>
            <w:shd w:val="clear" w:color="auto" w:fill="auto"/>
          </w:tcPr>
          <w:p w14:paraId="064034F2">
            <w:pPr>
              <w:spacing w:after="240"/>
              <w:jc w:val="center"/>
              <w:rPr>
                <w:rFonts w:cstheme="minorHAnsi"/>
                <w:sz w:val="18"/>
                <w:szCs w:val="18"/>
              </w:rPr>
            </w:pPr>
            <w:r>
              <w:rPr>
                <w:rFonts w:cstheme="minorHAnsi"/>
                <w:sz w:val="18"/>
                <w:szCs w:val="18"/>
              </w:rPr>
              <w:t>M</w:t>
            </w:r>
            <w:r>
              <w:rPr>
                <w:rFonts w:cstheme="minorHAnsi"/>
                <w:sz w:val="18"/>
                <w:szCs w:val="18"/>
                <w:vertAlign w:val="subscript"/>
              </w:rPr>
              <w:t>5</w:t>
            </w:r>
          </w:p>
        </w:tc>
        <w:tc>
          <w:tcPr>
            <w:tcW w:w="2250" w:type="pct"/>
            <w:gridSpan w:val="4"/>
            <w:shd w:val="clear" w:color="auto" w:fill="auto"/>
          </w:tcPr>
          <w:p w14:paraId="683BD0AC">
            <w:pPr>
              <w:spacing w:after="240"/>
              <w:rPr>
                <w:rFonts w:cstheme="minorHAnsi"/>
                <w:sz w:val="18"/>
                <w:szCs w:val="18"/>
              </w:rPr>
            </w:pPr>
            <w:r>
              <w:rPr>
                <w:rFonts w:cstheme="minorHAnsi"/>
                <w:sz w:val="18"/>
                <w:szCs w:val="18"/>
              </w:rPr>
              <w:t>LCD display</w:t>
            </w:r>
          </w:p>
        </w:tc>
      </w:tr>
      <w:tr w14:paraId="2AAC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68137C06">
            <w:pPr>
              <w:spacing w:after="240"/>
              <w:jc w:val="center"/>
              <w:rPr>
                <w:rFonts w:cstheme="minorHAnsi"/>
                <w:sz w:val="18"/>
                <w:szCs w:val="18"/>
                <w:lang w:val="pt-BR"/>
              </w:rPr>
            </w:pPr>
          </w:p>
        </w:tc>
        <w:tc>
          <w:tcPr>
            <w:tcW w:w="450" w:type="pct"/>
            <w:vMerge w:val="continue"/>
            <w:tcBorders>
              <w:left w:val="single" w:color="auto" w:sz="4" w:space="0"/>
              <w:right w:val="nil"/>
            </w:tcBorders>
          </w:tcPr>
          <w:p w14:paraId="4E89D78F">
            <w:pPr>
              <w:spacing w:after="240"/>
              <w:jc w:val="center"/>
              <w:rPr>
                <w:rFonts w:cstheme="minorHAnsi"/>
                <w:sz w:val="18"/>
                <w:szCs w:val="18"/>
                <w:lang w:val="pt-BR"/>
              </w:rPr>
            </w:pPr>
          </w:p>
        </w:tc>
        <w:tc>
          <w:tcPr>
            <w:tcW w:w="179" w:type="pct"/>
            <w:vMerge w:val="continue"/>
            <w:tcBorders>
              <w:left w:val="nil"/>
              <w:right w:val="single" w:color="auto" w:sz="4" w:space="0"/>
            </w:tcBorders>
          </w:tcPr>
          <w:p w14:paraId="191F5993">
            <w:pPr>
              <w:spacing w:after="240"/>
              <w:jc w:val="center"/>
              <w:rPr>
                <w:rFonts w:cstheme="minorHAnsi"/>
                <w:sz w:val="18"/>
                <w:szCs w:val="18"/>
                <w:lang w:val="pt-BR"/>
              </w:rPr>
            </w:pPr>
          </w:p>
        </w:tc>
        <w:tc>
          <w:tcPr>
            <w:tcW w:w="179" w:type="pct"/>
            <w:vMerge w:val="continue"/>
            <w:tcBorders>
              <w:left w:val="single" w:color="auto" w:sz="4" w:space="0"/>
              <w:right w:val="nil"/>
            </w:tcBorders>
          </w:tcPr>
          <w:p w14:paraId="62BC20F6">
            <w:pPr>
              <w:spacing w:after="240"/>
              <w:jc w:val="center"/>
              <w:rPr>
                <w:rFonts w:cstheme="minorHAnsi"/>
                <w:sz w:val="18"/>
                <w:szCs w:val="18"/>
                <w:lang w:val="pt-BR"/>
              </w:rPr>
            </w:pPr>
          </w:p>
        </w:tc>
        <w:tc>
          <w:tcPr>
            <w:tcW w:w="194" w:type="pct"/>
            <w:vMerge w:val="continue"/>
            <w:tcBorders>
              <w:top w:val="nil"/>
              <w:left w:val="nil"/>
              <w:bottom w:val="nil"/>
              <w:right w:val="single" w:color="auto" w:sz="4" w:space="0"/>
            </w:tcBorders>
          </w:tcPr>
          <w:p w14:paraId="66495EEC">
            <w:pPr>
              <w:spacing w:after="240"/>
              <w:jc w:val="center"/>
              <w:rPr>
                <w:rFonts w:cstheme="minorHAnsi"/>
                <w:sz w:val="18"/>
                <w:szCs w:val="18"/>
                <w:lang w:val="pt-BR"/>
              </w:rPr>
            </w:pPr>
          </w:p>
        </w:tc>
        <w:tc>
          <w:tcPr>
            <w:tcW w:w="195" w:type="pct"/>
            <w:vMerge w:val="continue"/>
            <w:tcBorders>
              <w:top w:val="nil"/>
              <w:left w:val="nil"/>
              <w:bottom w:val="nil"/>
              <w:right w:val="nil"/>
            </w:tcBorders>
          </w:tcPr>
          <w:p w14:paraId="27CB709B">
            <w:pPr>
              <w:spacing w:after="240"/>
              <w:jc w:val="center"/>
              <w:rPr>
                <w:rFonts w:cstheme="minorHAnsi"/>
                <w:sz w:val="18"/>
                <w:szCs w:val="18"/>
                <w:lang w:val="pt-BR"/>
              </w:rPr>
            </w:pPr>
          </w:p>
        </w:tc>
        <w:tc>
          <w:tcPr>
            <w:tcW w:w="194" w:type="pct"/>
            <w:vMerge w:val="continue"/>
            <w:tcBorders>
              <w:top w:val="nil"/>
              <w:left w:val="nil"/>
              <w:bottom w:val="nil"/>
              <w:right w:val="single" w:color="auto" w:sz="4" w:space="0"/>
            </w:tcBorders>
            <w:shd w:val="clear" w:color="auto" w:fill="auto"/>
          </w:tcPr>
          <w:p w14:paraId="42ABC13A">
            <w:pPr>
              <w:spacing w:after="240"/>
              <w:jc w:val="center"/>
              <w:rPr>
                <w:rFonts w:cstheme="minorHAnsi"/>
                <w:sz w:val="18"/>
                <w:szCs w:val="18"/>
                <w:lang w:val="pt-BR"/>
              </w:rPr>
            </w:pPr>
          </w:p>
        </w:tc>
        <w:tc>
          <w:tcPr>
            <w:tcW w:w="196" w:type="pct"/>
            <w:vMerge w:val="continue"/>
            <w:tcBorders>
              <w:top w:val="nil"/>
              <w:left w:val="nil"/>
              <w:bottom w:val="nil"/>
              <w:right w:val="nil"/>
            </w:tcBorders>
            <w:shd w:val="clear" w:color="auto" w:fill="auto"/>
          </w:tcPr>
          <w:p w14:paraId="52209C85">
            <w:pPr>
              <w:spacing w:after="240"/>
              <w:jc w:val="center"/>
              <w:rPr>
                <w:rFonts w:cstheme="minorHAnsi"/>
                <w:sz w:val="18"/>
                <w:szCs w:val="18"/>
                <w:lang w:val="pt-BR"/>
              </w:rPr>
            </w:pPr>
          </w:p>
        </w:tc>
        <w:tc>
          <w:tcPr>
            <w:tcW w:w="341" w:type="pct"/>
            <w:vMerge w:val="continue"/>
            <w:tcBorders>
              <w:left w:val="nil"/>
              <w:right w:val="single" w:color="auto" w:sz="4" w:space="0"/>
            </w:tcBorders>
            <w:shd w:val="clear" w:color="auto" w:fill="auto"/>
          </w:tcPr>
          <w:p w14:paraId="48217AF9">
            <w:pPr>
              <w:spacing w:after="240"/>
              <w:jc w:val="center"/>
              <w:rPr>
                <w:rFonts w:cstheme="minorHAnsi"/>
                <w:sz w:val="18"/>
                <w:szCs w:val="18"/>
              </w:rPr>
            </w:pPr>
          </w:p>
        </w:tc>
        <w:tc>
          <w:tcPr>
            <w:tcW w:w="373" w:type="pct"/>
            <w:tcBorders>
              <w:left w:val="single" w:color="auto" w:sz="4" w:space="0"/>
            </w:tcBorders>
            <w:shd w:val="clear" w:color="auto" w:fill="auto"/>
          </w:tcPr>
          <w:p w14:paraId="4777886F">
            <w:pPr>
              <w:spacing w:after="240"/>
              <w:jc w:val="center"/>
              <w:rPr>
                <w:rFonts w:cstheme="minorHAnsi"/>
                <w:sz w:val="18"/>
                <w:szCs w:val="18"/>
              </w:rPr>
            </w:pPr>
            <w:r>
              <w:rPr>
                <w:rFonts w:cstheme="minorHAnsi"/>
                <w:sz w:val="18"/>
                <w:szCs w:val="18"/>
              </w:rPr>
              <w:t>IC</w:t>
            </w:r>
          </w:p>
        </w:tc>
        <w:tc>
          <w:tcPr>
            <w:tcW w:w="2250" w:type="pct"/>
            <w:gridSpan w:val="4"/>
            <w:shd w:val="clear" w:color="auto" w:fill="auto"/>
          </w:tcPr>
          <w:p w14:paraId="4FB9EC54">
            <w:pPr>
              <w:spacing w:after="240"/>
              <w:rPr>
                <w:rFonts w:cstheme="minorHAnsi"/>
                <w:sz w:val="18"/>
                <w:szCs w:val="18"/>
              </w:rPr>
            </w:pPr>
            <w:r>
              <w:rPr>
                <w:rFonts w:cstheme="minorHAnsi"/>
                <w:sz w:val="18"/>
                <w:szCs w:val="18"/>
              </w:rPr>
              <w:t>Ex ia IIC T4 Ga</w:t>
            </w:r>
          </w:p>
        </w:tc>
      </w:tr>
      <w:tr w14:paraId="5FC4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2D8CC9EF">
            <w:pPr>
              <w:spacing w:after="240"/>
              <w:jc w:val="center"/>
              <w:rPr>
                <w:rFonts w:cstheme="minorHAnsi"/>
                <w:sz w:val="18"/>
                <w:szCs w:val="18"/>
                <w:lang w:val="pt-BR"/>
              </w:rPr>
            </w:pPr>
          </w:p>
        </w:tc>
        <w:tc>
          <w:tcPr>
            <w:tcW w:w="450" w:type="pct"/>
            <w:vMerge w:val="continue"/>
            <w:tcBorders>
              <w:left w:val="single" w:color="auto" w:sz="4" w:space="0"/>
              <w:right w:val="nil"/>
            </w:tcBorders>
          </w:tcPr>
          <w:p w14:paraId="0D2BA687">
            <w:pPr>
              <w:spacing w:after="240"/>
              <w:jc w:val="center"/>
              <w:rPr>
                <w:rFonts w:cstheme="minorHAnsi"/>
                <w:sz w:val="18"/>
                <w:szCs w:val="18"/>
                <w:lang w:val="pt-BR"/>
              </w:rPr>
            </w:pPr>
          </w:p>
        </w:tc>
        <w:tc>
          <w:tcPr>
            <w:tcW w:w="179" w:type="pct"/>
            <w:vMerge w:val="continue"/>
            <w:tcBorders>
              <w:left w:val="nil"/>
              <w:right w:val="single" w:color="auto" w:sz="4" w:space="0"/>
            </w:tcBorders>
          </w:tcPr>
          <w:p w14:paraId="5EA02E35">
            <w:pPr>
              <w:spacing w:after="240"/>
              <w:jc w:val="center"/>
              <w:rPr>
                <w:rFonts w:cstheme="minorHAnsi"/>
                <w:sz w:val="18"/>
                <w:szCs w:val="18"/>
                <w:lang w:val="pt-BR"/>
              </w:rPr>
            </w:pPr>
          </w:p>
        </w:tc>
        <w:tc>
          <w:tcPr>
            <w:tcW w:w="179" w:type="pct"/>
            <w:vMerge w:val="continue"/>
            <w:tcBorders>
              <w:left w:val="single" w:color="auto" w:sz="4" w:space="0"/>
              <w:right w:val="nil"/>
            </w:tcBorders>
          </w:tcPr>
          <w:p w14:paraId="421984B1">
            <w:pPr>
              <w:spacing w:after="240"/>
              <w:jc w:val="center"/>
              <w:rPr>
                <w:rFonts w:cstheme="minorHAnsi"/>
                <w:sz w:val="18"/>
                <w:szCs w:val="18"/>
                <w:lang w:val="pt-BR"/>
              </w:rPr>
            </w:pPr>
          </w:p>
        </w:tc>
        <w:tc>
          <w:tcPr>
            <w:tcW w:w="194" w:type="pct"/>
            <w:vMerge w:val="continue"/>
            <w:tcBorders>
              <w:top w:val="nil"/>
              <w:left w:val="nil"/>
              <w:bottom w:val="nil"/>
              <w:right w:val="single" w:color="auto" w:sz="4" w:space="0"/>
            </w:tcBorders>
          </w:tcPr>
          <w:p w14:paraId="6804412E">
            <w:pPr>
              <w:spacing w:after="240"/>
              <w:jc w:val="center"/>
              <w:rPr>
                <w:rFonts w:cstheme="minorHAnsi"/>
                <w:sz w:val="18"/>
                <w:szCs w:val="18"/>
                <w:lang w:val="pt-BR"/>
              </w:rPr>
            </w:pPr>
          </w:p>
        </w:tc>
        <w:tc>
          <w:tcPr>
            <w:tcW w:w="195" w:type="pct"/>
            <w:vMerge w:val="continue"/>
            <w:tcBorders>
              <w:top w:val="nil"/>
              <w:left w:val="nil"/>
              <w:bottom w:val="nil"/>
              <w:right w:val="nil"/>
            </w:tcBorders>
          </w:tcPr>
          <w:p w14:paraId="06457B79">
            <w:pPr>
              <w:spacing w:after="240"/>
              <w:jc w:val="center"/>
              <w:rPr>
                <w:rFonts w:cstheme="minorHAnsi"/>
                <w:sz w:val="18"/>
                <w:szCs w:val="18"/>
                <w:lang w:val="pt-BR"/>
              </w:rPr>
            </w:pPr>
          </w:p>
        </w:tc>
        <w:tc>
          <w:tcPr>
            <w:tcW w:w="194" w:type="pct"/>
            <w:vMerge w:val="continue"/>
            <w:tcBorders>
              <w:top w:val="nil"/>
              <w:left w:val="nil"/>
              <w:bottom w:val="nil"/>
              <w:right w:val="single" w:color="auto" w:sz="4" w:space="0"/>
            </w:tcBorders>
            <w:shd w:val="clear" w:color="auto" w:fill="auto"/>
          </w:tcPr>
          <w:p w14:paraId="329E8ACE">
            <w:pPr>
              <w:spacing w:after="240"/>
              <w:jc w:val="center"/>
              <w:rPr>
                <w:rFonts w:cstheme="minorHAnsi"/>
                <w:sz w:val="18"/>
                <w:szCs w:val="18"/>
                <w:lang w:val="pt-BR"/>
              </w:rPr>
            </w:pPr>
          </w:p>
        </w:tc>
        <w:tc>
          <w:tcPr>
            <w:tcW w:w="196" w:type="pct"/>
            <w:vMerge w:val="continue"/>
            <w:tcBorders>
              <w:top w:val="nil"/>
              <w:left w:val="nil"/>
              <w:bottom w:val="nil"/>
              <w:right w:val="nil"/>
            </w:tcBorders>
            <w:shd w:val="clear" w:color="auto" w:fill="auto"/>
          </w:tcPr>
          <w:p w14:paraId="073FBD02">
            <w:pPr>
              <w:spacing w:after="240"/>
              <w:jc w:val="center"/>
              <w:rPr>
                <w:rFonts w:cstheme="minorHAnsi"/>
                <w:sz w:val="18"/>
                <w:szCs w:val="18"/>
                <w:lang w:val="pt-BR"/>
              </w:rPr>
            </w:pPr>
          </w:p>
        </w:tc>
        <w:tc>
          <w:tcPr>
            <w:tcW w:w="341" w:type="pct"/>
            <w:vMerge w:val="continue"/>
            <w:tcBorders>
              <w:left w:val="nil"/>
              <w:right w:val="single" w:color="auto" w:sz="4" w:space="0"/>
            </w:tcBorders>
            <w:shd w:val="clear" w:color="auto" w:fill="auto"/>
          </w:tcPr>
          <w:p w14:paraId="3342A3BC">
            <w:pPr>
              <w:spacing w:after="240"/>
              <w:jc w:val="center"/>
              <w:rPr>
                <w:rFonts w:cstheme="minorHAnsi"/>
                <w:sz w:val="18"/>
                <w:szCs w:val="18"/>
              </w:rPr>
            </w:pPr>
          </w:p>
        </w:tc>
        <w:tc>
          <w:tcPr>
            <w:tcW w:w="373" w:type="pct"/>
            <w:tcBorders>
              <w:left w:val="single" w:color="auto" w:sz="4" w:space="0"/>
            </w:tcBorders>
            <w:shd w:val="clear" w:color="auto" w:fill="auto"/>
          </w:tcPr>
          <w:p w14:paraId="1E902B01">
            <w:pPr>
              <w:spacing w:after="240"/>
              <w:jc w:val="center"/>
              <w:rPr>
                <w:rFonts w:cstheme="minorHAnsi"/>
                <w:sz w:val="18"/>
                <w:szCs w:val="18"/>
              </w:rPr>
            </w:pPr>
            <w:r>
              <w:rPr>
                <w:rFonts w:cstheme="minorHAnsi"/>
                <w:sz w:val="18"/>
                <w:szCs w:val="18"/>
              </w:rPr>
              <w:t>T</w:t>
            </w:r>
            <w:r>
              <w:rPr>
                <w:rFonts w:cstheme="minorHAnsi"/>
                <w:sz w:val="18"/>
                <w:szCs w:val="18"/>
                <w:vertAlign w:val="subscript"/>
              </w:rPr>
              <w:t>2</w:t>
            </w:r>
          </w:p>
        </w:tc>
        <w:tc>
          <w:tcPr>
            <w:tcW w:w="2250" w:type="pct"/>
            <w:gridSpan w:val="4"/>
            <w:shd w:val="clear" w:color="auto" w:fill="auto"/>
          </w:tcPr>
          <w:p w14:paraId="1BCE98B0">
            <w:pPr>
              <w:spacing w:after="240"/>
              <w:rPr>
                <w:rFonts w:cstheme="minorHAnsi"/>
                <w:sz w:val="18"/>
                <w:szCs w:val="18"/>
              </w:rPr>
            </w:pPr>
            <w:r>
              <w:rPr>
                <w:rFonts w:cstheme="minorHAnsi"/>
                <w:sz w:val="18"/>
                <w:szCs w:val="18"/>
              </w:rPr>
              <w:t>Three-Valve Manifold, 316 Stainless Steel</w:t>
            </w:r>
          </w:p>
        </w:tc>
      </w:tr>
      <w:tr w14:paraId="14FE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449" w:type="pct"/>
            <w:vMerge w:val="continue"/>
            <w:tcBorders>
              <w:left w:val="nil"/>
              <w:bottom w:val="nil"/>
              <w:right w:val="single" w:color="auto" w:sz="4" w:space="0"/>
            </w:tcBorders>
          </w:tcPr>
          <w:p w14:paraId="0876F438">
            <w:pPr>
              <w:spacing w:after="240"/>
              <w:jc w:val="center"/>
              <w:rPr>
                <w:rFonts w:cstheme="minorHAnsi"/>
                <w:sz w:val="18"/>
                <w:szCs w:val="18"/>
                <w:lang w:val="pt-BR"/>
              </w:rPr>
            </w:pPr>
          </w:p>
        </w:tc>
        <w:tc>
          <w:tcPr>
            <w:tcW w:w="450" w:type="pct"/>
            <w:vMerge w:val="continue"/>
            <w:tcBorders>
              <w:left w:val="single" w:color="auto" w:sz="4" w:space="0"/>
              <w:right w:val="nil"/>
            </w:tcBorders>
          </w:tcPr>
          <w:p w14:paraId="5683B5F9">
            <w:pPr>
              <w:spacing w:after="240"/>
              <w:jc w:val="center"/>
              <w:rPr>
                <w:rFonts w:cstheme="minorHAnsi"/>
                <w:sz w:val="18"/>
                <w:szCs w:val="18"/>
                <w:lang w:val="pt-BR"/>
              </w:rPr>
            </w:pPr>
          </w:p>
        </w:tc>
        <w:tc>
          <w:tcPr>
            <w:tcW w:w="179" w:type="pct"/>
            <w:vMerge w:val="continue"/>
            <w:tcBorders>
              <w:left w:val="nil"/>
              <w:right w:val="single" w:color="auto" w:sz="4" w:space="0"/>
            </w:tcBorders>
          </w:tcPr>
          <w:p w14:paraId="15E9030D">
            <w:pPr>
              <w:spacing w:after="240"/>
              <w:jc w:val="center"/>
              <w:rPr>
                <w:rFonts w:cstheme="minorHAnsi"/>
                <w:sz w:val="18"/>
                <w:szCs w:val="18"/>
                <w:lang w:val="pt-BR"/>
              </w:rPr>
            </w:pPr>
          </w:p>
        </w:tc>
        <w:tc>
          <w:tcPr>
            <w:tcW w:w="179" w:type="pct"/>
            <w:vMerge w:val="continue"/>
            <w:tcBorders>
              <w:left w:val="single" w:color="auto" w:sz="4" w:space="0"/>
              <w:right w:val="nil"/>
            </w:tcBorders>
          </w:tcPr>
          <w:p w14:paraId="2726CB49">
            <w:pPr>
              <w:spacing w:after="240"/>
              <w:jc w:val="center"/>
              <w:rPr>
                <w:rFonts w:cstheme="minorHAnsi"/>
                <w:sz w:val="18"/>
                <w:szCs w:val="18"/>
                <w:lang w:val="pt-BR"/>
              </w:rPr>
            </w:pPr>
          </w:p>
        </w:tc>
        <w:tc>
          <w:tcPr>
            <w:tcW w:w="194" w:type="pct"/>
            <w:vMerge w:val="continue"/>
            <w:tcBorders>
              <w:top w:val="nil"/>
              <w:left w:val="nil"/>
              <w:bottom w:val="nil"/>
              <w:right w:val="single" w:color="auto" w:sz="4" w:space="0"/>
            </w:tcBorders>
          </w:tcPr>
          <w:p w14:paraId="165186E4">
            <w:pPr>
              <w:spacing w:after="240"/>
              <w:jc w:val="center"/>
              <w:rPr>
                <w:rFonts w:cstheme="minorHAnsi"/>
                <w:sz w:val="18"/>
                <w:szCs w:val="18"/>
                <w:lang w:val="pt-BR"/>
              </w:rPr>
            </w:pPr>
          </w:p>
        </w:tc>
        <w:tc>
          <w:tcPr>
            <w:tcW w:w="195" w:type="pct"/>
            <w:vMerge w:val="continue"/>
            <w:tcBorders>
              <w:top w:val="nil"/>
              <w:left w:val="nil"/>
              <w:bottom w:val="nil"/>
              <w:right w:val="nil"/>
            </w:tcBorders>
          </w:tcPr>
          <w:p w14:paraId="50B0845C">
            <w:pPr>
              <w:spacing w:after="240"/>
              <w:jc w:val="center"/>
              <w:rPr>
                <w:rFonts w:cstheme="minorHAnsi"/>
                <w:sz w:val="18"/>
                <w:szCs w:val="18"/>
                <w:lang w:val="pt-BR"/>
              </w:rPr>
            </w:pPr>
          </w:p>
        </w:tc>
        <w:tc>
          <w:tcPr>
            <w:tcW w:w="194" w:type="pct"/>
            <w:vMerge w:val="continue"/>
            <w:tcBorders>
              <w:top w:val="nil"/>
              <w:left w:val="nil"/>
              <w:bottom w:val="nil"/>
              <w:right w:val="single" w:color="auto" w:sz="4" w:space="0"/>
            </w:tcBorders>
            <w:shd w:val="clear" w:color="auto" w:fill="auto"/>
          </w:tcPr>
          <w:p w14:paraId="1ED2ABB8">
            <w:pPr>
              <w:spacing w:after="240"/>
              <w:jc w:val="center"/>
              <w:rPr>
                <w:rFonts w:cstheme="minorHAnsi"/>
                <w:sz w:val="18"/>
                <w:szCs w:val="18"/>
                <w:lang w:val="pt-BR"/>
              </w:rPr>
            </w:pPr>
          </w:p>
        </w:tc>
        <w:tc>
          <w:tcPr>
            <w:tcW w:w="196" w:type="pct"/>
            <w:vMerge w:val="continue"/>
            <w:tcBorders>
              <w:top w:val="nil"/>
              <w:left w:val="nil"/>
              <w:bottom w:val="nil"/>
              <w:right w:val="nil"/>
            </w:tcBorders>
            <w:shd w:val="clear" w:color="auto" w:fill="auto"/>
          </w:tcPr>
          <w:p w14:paraId="131273B5">
            <w:pPr>
              <w:spacing w:after="240"/>
              <w:jc w:val="center"/>
              <w:rPr>
                <w:rFonts w:cstheme="minorHAnsi"/>
                <w:sz w:val="18"/>
                <w:szCs w:val="18"/>
                <w:lang w:val="pt-BR"/>
              </w:rPr>
            </w:pPr>
          </w:p>
        </w:tc>
        <w:tc>
          <w:tcPr>
            <w:tcW w:w="341" w:type="pct"/>
            <w:vMerge w:val="continue"/>
            <w:tcBorders>
              <w:left w:val="nil"/>
              <w:right w:val="single" w:color="auto" w:sz="4" w:space="0"/>
            </w:tcBorders>
            <w:shd w:val="clear" w:color="auto" w:fill="auto"/>
          </w:tcPr>
          <w:p w14:paraId="45EDB3A1">
            <w:pPr>
              <w:spacing w:after="240"/>
              <w:jc w:val="center"/>
              <w:rPr>
                <w:rFonts w:cstheme="minorHAnsi"/>
                <w:sz w:val="18"/>
                <w:szCs w:val="18"/>
              </w:rPr>
            </w:pPr>
          </w:p>
        </w:tc>
        <w:tc>
          <w:tcPr>
            <w:tcW w:w="373" w:type="pct"/>
            <w:tcBorders>
              <w:left w:val="single" w:color="auto" w:sz="4" w:space="0"/>
            </w:tcBorders>
            <w:shd w:val="clear" w:color="auto" w:fill="auto"/>
          </w:tcPr>
          <w:p w14:paraId="4B110F43">
            <w:pPr>
              <w:spacing w:after="240"/>
              <w:jc w:val="center"/>
              <w:rPr>
                <w:rFonts w:cstheme="minorHAnsi"/>
                <w:sz w:val="18"/>
                <w:szCs w:val="18"/>
              </w:rPr>
            </w:pPr>
            <w:r>
              <w:rPr>
                <w:rFonts w:cstheme="minorHAnsi"/>
                <w:sz w:val="18"/>
                <w:szCs w:val="18"/>
              </w:rPr>
              <w:t>B</w:t>
            </w:r>
            <w:r>
              <w:rPr>
                <w:rFonts w:cstheme="minorHAnsi"/>
                <w:sz w:val="18"/>
                <w:szCs w:val="18"/>
                <w:vertAlign w:val="subscript"/>
              </w:rPr>
              <w:t>1</w:t>
            </w:r>
          </w:p>
        </w:tc>
        <w:tc>
          <w:tcPr>
            <w:tcW w:w="2250" w:type="pct"/>
            <w:gridSpan w:val="4"/>
            <w:shd w:val="clear" w:color="auto" w:fill="auto"/>
          </w:tcPr>
          <w:p w14:paraId="68836D21">
            <w:pPr>
              <w:spacing w:after="240"/>
              <w:rPr>
                <w:rFonts w:cstheme="minorHAnsi"/>
                <w:sz w:val="18"/>
                <w:szCs w:val="18"/>
              </w:rPr>
            </w:pPr>
            <w:r>
              <w:rPr>
                <w:rFonts w:cstheme="minorHAnsi"/>
                <w:sz w:val="18"/>
                <w:szCs w:val="18"/>
              </w:rPr>
              <w:t>Plate bending bracket</w:t>
            </w:r>
          </w:p>
        </w:tc>
      </w:tr>
      <w:tr w14:paraId="7675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5000" w:type="pct"/>
            <w:gridSpan w:val="14"/>
            <w:tcBorders>
              <w:top w:val="single" w:color="auto" w:sz="4" w:space="0"/>
            </w:tcBorders>
          </w:tcPr>
          <w:p w14:paraId="11DA1572">
            <w:pPr>
              <w:spacing w:after="240"/>
              <w:rPr>
                <w:rFonts w:cstheme="minorHAnsi"/>
                <w:sz w:val="18"/>
                <w:szCs w:val="18"/>
                <w:lang w:val="pt-BR"/>
              </w:rPr>
            </w:pPr>
            <w:r>
              <w:rPr>
                <w:rFonts w:cstheme="minorHAnsi"/>
                <w:sz w:val="18"/>
                <w:szCs w:val="18"/>
                <w:lang w:val="pt-BR"/>
              </w:rPr>
              <w:t>NCS-PT105IIM</w:t>
            </w:r>
            <w:r>
              <w:rPr>
                <w:rFonts w:hint="eastAsia" w:cstheme="minorHAnsi"/>
                <w:sz w:val="18"/>
                <w:szCs w:val="18"/>
                <w:lang w:val="pt-BR"/>
              </w:rPr>
              <w:t>B</w:t>
            </w:r>
            <w:r>
              <w:rPr>
                <w:rFonts w:cstheme="minorHAnsi"/>
                <w:sz w:val="18"/>
                <w:szCs w:val="18"/>
                <w:lang w:val="pt-BR"/>
              </w:rPr>
              <w:t>SG     4       H       22             C</w:t>
            </w:r>
            <w:r>
              <w:rPr>
                <w:rFonts w:cstheme="minorHAnsi"/>
                <w:sz w:val="18"/>
                <w:szCs w:val="18"/>
                <w:vertAlign w:val="subscript"/>
                <w:lang w:val="pt-BR"/>
              </w:rPr>
              <w:t>62</w:t>
            </w:r>
            <w:r>
              <w:rPr>
                <w:rFonts w:cstheme="minorHAnsi"/>
                <w:sz w:val="18"/>
                <w:szCs w:val="18"/>
                <w:lang w:val="pt-BR"/>
              </w:rPr>
              <w:t>M</w:t>
            </w:r>
            <w:r>
              <w:rPr>
                <w:rFonts w:cstheme="minorHAnsi"/>
                <w:sz w:val="18"/>
                <w:szCs w:val="18"/>
                <w:vertAlign w:val="subscript"/>
                <w:lang w:val="pt-BR"/>
              </w:rPr>
              <w:t>5</w:t>
            </w:r>
            <w:r>
              <w:rPr>
                <w:rFonts w:cstheme="minorHAnsi"/>
                <w:sz w:val="18"/>
                <w:szCs w:val="18"/>
                <w:lang w:val="pt-BR"/>
              </w:rPr>
              <w:t xml:space="preserve"> B</w:t>
            </w:r>
            <w:r>
              <w:rPr>
                <w:rFonts w:cstheme="minorHAnsi"/>
                <w:sz w:val="18"/>
                <w:szCs w:val="18"/>
                <w:vertAlign w:val="subscript"/>
                <w:lang w:val="pt-BR"/>
              </w:rPr>
              <w:t xml:space="preserve">1      </w:t>
            </w:r>
            <w:r>
              <w:rPr>
                <w:rFonts w:cstheme="minorHAnsi"/>
                <w:sz w:val="18"/>
                <w:szCs w:val="18"/>
              </w:rPr>
              <w:t>——    selection sample</w:t>
            </w:r>
          </w:p>
        </w:tc>
      </w:tr>
    </w:tbl>
    <w:p w14:paraId="44D8638D">
      <w:pPr>
        <w:spacing w:after="240"/>
        <w:rPr>
          <w:rFonts w:cstheme="minorHAnsi"/>
        </w:rPr>
      </w:pPr>
      <w:r>
        <w:rPr>
          <w:rFonts w:cstheme="minorHAnsi"/>
          <w:kern w:val="0"/>
        </w:rPr>
        <w:t>Note: For options not listed, please refer to the list of options.</w:t>
      </w:r>
    </w:p>
    <w:bookmarkEnd w:id="239"/>
    <w:p w14:paraId="32978DAD">
      <w:pPr>
        <w:pStyle w:val="44"/>
      </w:pPr>
      <w:bookmarkStart w:id="240" w:name="_Toc199429872"/>
      <w:r>
        <w:t>NCS-PT105II</w:t>
      </w:r>
      <w:r>
        <w:rPr>
          <w:rFonts w:hint="eastAsia"/>
        </w:rPr>
        <w:t>M</w:t>
      </w:r>
      <w:r>
        <w:t xml:space="preserve"> Pressure Transmitter List of Options</w:t>
      </w:r>
      <w:bookmarkEnd w:id="240"/>
    </w:p>
    <w:p w14:paraId="7B22E1B6">
      <w:pPr>
        <w:widowControl/>
        <w:spacing w:after="240"/>
        <w:ind w:right="360"/>
        <w:jc w:val="right"/>
        <w:rPr>
          <w:rFonts w:cstheme="minorHAnsi"/>
          <w:sz w:val="19"/>
          <w:szCs w:val="19"/>
        </w:rPr>
      </w:pPr>
      <w:bookmarkStart w:id="241" w:name="_Hlk99185722"/>
      <w:r>
        <w:rPr>
          <w:rFonts w:cstheme="minorHAnsi"/>
        </w:rPr>
        <w:t>●Supplied   ○ Not supplied</w:t>
      </w:r>
    </w:p>
    <w:bookmarkEnd w:id="241"/>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6491"/>
        <w:gridCol w:w="716"/>
        <w:gridCol w:w="560"/>
        <w:gridCol w:w="708"/>
        <w:gridCol w:w="675"/>
      </w:tblGrid>
      <w:tr w14:paraId="151D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083"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14:paraId="4CEA1FB2">
            <w:pPr>
              <w:widowControl/>
              <w:spacing w:after="240"/>
              <w:jc w:val="center"/>
              <w:rPr>
                <w:rFonts w:cstheme="minorHAnsi"/>
                <w:sz w:val="18"/>
                <w:szCs w:val="18"/>
              </w:rPr>
            </w:pPr>
            <w:r>
              <w:rPr>
                <w:rFonts w:cstheme="minorHAnsi"/>
                <w:b/>
                <w:sz w:val="18"/>
                <w:szCs w:val="18"/>
              </w:rPr>
              <w:t>Option</w:t>
            </w:r>
          </w:p>
        </w:tc>
        <w:tc>
          <w:tcPr>
            <w:tcW w:w="2659" w:type="dxa"/>
            <w:gridSpan w:val="4"/>
            <w:tcBorders>
              <w:top w:val="single" w:color="auto" w:sz="4" w:space="0"/>
              <w:left w:val="single" w:color="auto" w:sz="4" w:space="0"/>
              <w:bottom w:val="single" w:color="auto" w:sz="4" w:space="0"/>
              <w:right w:val="single" w:color="auto" w:sz="4" w:space="0"/>
            </w:tcBorders>
            <w:shd w:val="clear" w:color="auto" w:fill="F2F2F2"/>
            <w:vAlign w:val="center"/>
          </w:tcPr>
          <w:p w14:paraId="02BFDA13">
            <w:pPr>
              <w:widowControl/>
              <w:spacing w:after="240"/>
              <w:jc w:val="center"/>
              <w:rPr>
                <w:rFonts w:cstheme="minorHAnsi"/>
                <w:sz w:val="18"/>
                <w:szCs w:val="18"/>
              </w:rPr>
            </w:pPr>
            <w:r>
              <w:rPr>
                <w:rFonts w:hint="eastAsia" w:cstheme="minorHAnsi"/>
                <w:b/>
                <w:sz w:val="18"/>
                <w:szCs w:val="18"/>
              </w:rPr>
              <w:t>Press</w:t>
            </w:r>
            <w:r>
              <w:rPr>
                <w:rFonts w:cstheme="minorHAnsi"/>
                <w:b/>
                <w:sz w:val="18"/>
                <w:szCs w:val="18"/>
              </w:rPr>
              <w:t>ure Transmitter</w:t>
            </w:r>
          </w:p>
        </w:tc>
      </w:tr>
      <w:tr w14:paraId="39BE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2F2F2"/>
            <w:vAlign w:val="center"/>
          </w:tcPr>
          <w:p w14:paraId="0C032D92">
            <w:pPr>
              <w:widowControl/>
              <w:spacing w:after="240"/>
              <w:jc w:val="center"/>
              <w:rPr>
                <w:rFonts w:cstheme="minorHAnsi"/>
                <w:sz w:val="18"/>
                <w:szCs w:val="18"/>
              </w:rPr>
            </w:pPr>
            <w:r>
              <w:rPr>
                <w:rFonts w:cstheme="minorHAnsi"/>
                <w:sz w:val="18"/>
                <w:szCs w:val="18"/>
              </w:rPr>
              <w:t>Code</w:t>
            </w:r>
          </w:p>
        </w:tc>
        <w:tc>
          <w:tcPr>
            <w:tcW w:w="6491" w:type="dxa"/>
            <w:tcBorders>
              <w:top w:val="single" w:color="auto" w:sz="4" w:space="0"/>
              <w:left w:val="single" w:color="auto" w:sz="4" w:space="0"/>
              <w:bottom w:val="single" w:color="auto" w:sz="4" w:space="0"/>
              <w:right w:val="single" w:color="auto" w:sz="4" w:space="0"/>
            </w:tcBorders>
            <w:shd w:val="clear" w:color="auto" w:fill="F2F2F2"/>
            <w:vAlign w:val="center"/>
          </w:tcPr>
          <w:p w14:paraId="70F800D8">
            <w:pPr>
              <w:widowControl/>
              <w:spacing w:after="240"/>
              <w:rPr>
                <w:rFonts w:cstheme="minorHAnsi"/>
                <w:sz w:val="18"/>
                <w:szCs w:val="18"/>
              </w:rPr>
            </w:pPr>
            <w:r>
              <w:rPr>
                <w:rFonts w:cstheme="minorHAnsi"/>
                <w:sz w:val="18"/>
                <w:szCs w:val="18"/>
              </w:rPr>
              <w:t>Mounting brackets</w:t>
            </w:r>
          </w:p>
        </w:tc>
        <w:tc>
          <w:tcPr>
            <w:tcW w:w="716" w:type="dxa"/>
            <w:tcBorders>
              <w:top w:val="single" w:color="auto" w:sz="4" w:space="0"/>
              <w:left w:val="single" w:color="auto" w:sz="4" w:space="0"/>
              <w:bottom w:val="single" w:color="auto" w:sz="4" w:space="0"/>
              <w:right w:val="single" w:color="auto" w:sz="4" w:space="0"/>
            </w:tcBorders>
            <w:shd w:val="clear" w:color="auto" w:fill="F2F2F2"/>
            <w:vAlign w:val="center"/>
          </w:tcPr>
          <w:p w14:paraId="75455142">
            <w:pPr>
              <w:widowControl/>
              <w:spacing w:after="240"/>
              <w:jc w:val="center"/>
              <w:rPr>
                <w:rFonts w:cstheme="minorHAnsi"/>
                <w:sz w:val="18"/>
                <w:szCs w:val="18"/>
              </w:rPr>
            </w:pPr>
            <w:r>
              <w:rPr>
                <w:rFonts w:cstheme="minorHAnsi"/>
                <w:sz w:val="18"/>
                <w:szCs w:val="18"/>
              </w:rPr>
              <w:t>SG</w:t>
            </w:r>
          </w:p>
        </w:tc>
        <w:tc>
          <w:tcPr>
            <w:tcW w:w="560" w:type="dxa"/>
            <w:tcBorders>
              <w:top w:val="single" w:color="auto" w:sz="4" w:space="0"/>
              <w:left w:val="single" w:color="auto" w:sz="4" w:space="0"/>
              <w:bottom w:val="single" w:color="auto" w:sz="4" w:space="0"/>
              <w:right w:val="single" w:color="auto" w:sz="4" w:space="0"/>
            </w:tcBorders>
            <w:shd w:val="clear" w:color="auto" w:fill="F2F2F2"/>
            <w:vAlign w:val="center"/>
          </w:tcPr>
          <w:p w14:paraId="7F4B354D">
            <w:pPr>
              <w:widowControl/>
              <w:spacing w:after="240"/>
              <w:jc w:val="center"/>
              <w:rPr>
                <w:rFonts w:cstheme="minorHAnsi"/>
                <w:sz w:val="18"/>
                <w:szCs w:val="18"/>
              </w:rPr>
            </w:pPr>
            <w:r>
              <w:rPr>
                <w:rFonts w:cstheme="minorHAnsi"/>
                <w:sz w:val="18"/>
                <w:szCs w:val="18"/>
              </w:rPr>
              <w:t>SA</w:t>
            </w:r>
          </w:p>
        </w:tc>
        <w:tc>
          <w:tcPr>
            <w:tcW w:w="708" w:type="dxa"/>
            <w:tcBorders>
              <w:top w:val="single" w:color="auto" w:sz="4" w:space="0"/>
              <w:left w:val="single" w:color="auto" w:sz="4" w:space="0"/>
              <w:bottom w:val="single" w:color="auto" w:sz="4" w:space="0"/>
              <w:right w:val="single" w:color="auto" w:sz="4" w:space="0"/>
            </w:tcBorders>
            <w:shd w:val="clear" w:color="auto" w:fill="F2F2F2"/>
            <w:vAlign w:val="center"/>
          </w:tcPr>
          <w:p w14:paraId="0348D392">
            <w:pPr>
              <w:widowControl/>
              <w:spacing w:after="240"/>
              <w:jc w:val="center"/>
              <w:rPr>
                <w:rFonts w:cstheme="minorHAnsi"/>
                <w:sz w:val="18"/>
                <w:szCs w:val="18"/>
              </w:rPr>
            </w:pPr>
            <w:r>
              <w:rPr>
                <w:rFonts w:cstheme="minorHAnsi"/>
                <w:sz w:val="18"/>
                <w:szCs w:val="18"/>
              </w:rPr>
              <w:t>SD</w:t>
            </w:r>
          </w:p>
        </w:tc>
        <w:tc>
          <w:tcPr>
            <w:tcW w:w="675" w:type="dxa"/>
            <w:tcBorders>
              <w:top w:val="single" w:color="auto" w:sz="4" w:space="0"/>
              <w:left w:val="single" w:color="auto" w:sz="4" w:space="0"/>
              <w:bottom w:val="single" w:color="auto" w:sz="4" w:space="0"/>
              <w:right w:val="single" w:color="auto" w:sz="4" w:space="0"/>
            </w:tcBorders>
            <w:shd w:val="clear" w:color="auto" w:fill="F2F2F2"/>
            <w:vAlign w:val="center"/>
          </w:tcPr>
          <w:p w14:paraId="1BE9409D">
            <w:pPr>
              <w:widowControl/>
              <w:spacing w:after="240"/>
              <w:jc w:val="center"/>
              <w:rPr>
                <w:rFonts w:cstheme="minorHAnsi"/>
                <w:sz w:val="18"/>
                <w:szCs w:val="18"/>
                <w:highlight w:val="yellow"/>
              </w:rPr>
            </w:pPr>
            <w:r>
              <w:rPr>
                <w:rFonts w:cstheme="minorHAnsi"/>
                <w:sz w:val="18"/>
                <w:szCs w:val="18"/>
              </w:rPr>
              <w:t>S</w:t>
            </w:r>
            <w:r>
              <w:rPr>
                <w:rFonts w:hint="eastAsia" w:cstheme="minorHAnsi"/>
                <w:sz w:val="18"/>
                <w:szCs w:val="18"/>
              </w:rPr>
              <w:t>H</w:t>
            </w:r>
          </w:p>
        </w:tc>
      </w:tr>
      <w:tr w14:paraId="69F9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nil"/>
              <w:right w:val="single" w:color="auto" w:sz="4" w:space="0"/>
            </w:tcBorders>
            <w:vAlign w:val="center"/>
          </w:tcPr>
          <w:p w14:paraId="545A32FD">
            <w:pPr>
              <w:widowControl/>
              <w:spacing w:after="240"/>
              <w:jc w:val="center"/>
              <w:rPr>
                <w:rFonts w:cstheme="minorHAnsi"/>
                <w:sz w:val="18"/>
                <w:szCs w:val="18"/>
              </w:rPr>
            </w:pPr>
            <w:r>
              <w:rPr>
                <w:rFonts w:cstheme="minorHAnsi"/>
                <w:sz w:val="18"/>
                <w:szCs w:val="18"/>
              </w:rPr>
              <w:t>B</w:t>
            </w:r>
            <w:r>
              <w:rPr>
                <w:rFonts w:cstheme="minorHAnsi"/>
                <w:sz w:val="18"/>
                <w:szCs w:val="18"/>
                <w:vertAlign w:val="subscript"/>
              </w:rPr>
              <w:t>1</w:t>
            </w:r>
          </w:p>
        </w:tc>
        <w:tc>
          <w:tcPr>
            <w:tcW w:w="6491" w:type="dxa"/>
            <w:tcBorders>
              <w:top w:val="single" w:color="auto" w:sz="4" w:space="0"/>
              <w:left w:val="single" w:color="auto" w:sz="4" w:space="0"/>
              <w:bottom w:val="nil"/>
              <w:right w:val="single" w:color="auto" w:sz="4" w:space="0"/>
            </w:tcBorders>
          </w:tcPr>
          <w:p w14:paraId="2362F219">
            <w:pPr>
              <w:widowControl/>
              <w:spacing w:after="240"/>
              <w:jc w:val="left"/>
              <w:rPr>
                <w:rFonts w:cstheme="minorHAnsi"/>
                <w:sz w:val="18"/>
                <w:szCs w:val="18"/>
              </w:rPr>
            </w:pPr>
            <w:r>
              <w:rPr>
                <w:rFonts w:cstheme="minorHAnsi"/>
                <w:sz w:val="18"/>
                <w:szCs w:val="18"/>
              </w:rPr>
              <w:t>Curved bracket tube</w:t>
            </w:r>
            <w:r>
              <w:rPr>
                <w:rFonts w:hint="eastAsia" w:cstheme="minorHAnsi"/>
                <w:sz w:val="18"/>
                <w:szCs w:val="18"/>
              </w:rPr>
              <w:t xml:space="preserve"> </w:t>
            </w:r>
            <w:r>
              <w:rPr>
                <w:rFonts w:cstheme="minorHAnsi"/>
                <w:sz w:val="18"/>
                <w:szCs w:val="18"/>
              </w:rPr>
              <w:t>(2” pipe)</w:t>
            </w:r>
          </w:p>
        </w:tc>
        <w:tc>
          <w:tcPr>
            <w:tcW w:w="716" w:type="dxa"/>
            <w:tcBorders>
              <w:top w:val="single" w:color="auto" w:sz="4" w:space="0"/>
              <w:left w:val="single" w:color="auto" w:sz="4" w:space="0"/>
              <w:bottom w:val="nil"/>
              <w:right w:val="single" w:color="auto" w:sz="4" w:space="0"/>
            </w:tcBorders>
            <w:vAlign w:val="center"/>
          </w:tcPr>
          <w:p w14:paraId="25EE68EC">
            <w:pPr>
              <w:widowControl/>
              <w:spacing w:after="240"/>
              <w:jc w:val="center"/>
              <w:rPr>
                <w:rFonts w:cstheme="minorHAnsi"/>
                <w:sz w:val="18"/>
                <w:szCs w:val="18"/>
              </w:rPr>
            </w:pPr>
            <w:r>
              <w:rPr>
                <w:rFonts w:cstheme="minorHAnsi"/>
                <w:sz w:val="18"/>
                <w:szCs w:val="18"/>
              </w:rPr>
              <w:t>●</w:t>
            </w:r>
          </w:p>
        </w:tc>
        <w:tc>
          <w:tcPr>
            <w:tcW w:w="560" w:type="dxa"/>
            <w:tcBorders>
              <w:top w:val="single" w:color="auto" w:sz="4" w:space="0"/>
              <w:left w:val="single" w:color="auto" w:sz="4" w:space="0"/>
              <w:bottom w:val="nil"/>
              <w:right w:val="single" w:color="auto" w:sz="4" w:space="0"/>
            </w:tcBorders>
            <w:vAlign w:val="center"/>
          </w:tcPr>
          <w:p w14:paraId="463BF648">
            <w:pPr>
              <w:widowControl/>
              <w:spacing w:after="240"/>
              <w:jc w:val="center"/>
              <w:rPr>
                <w:rFonts w:cstheme="minorHAnsi"/>
                <w:sz w:val="18"/>
                <w:szCs w:val="18"/>
              </w:rPr>
            </w:pPr>
            <w:r>
              <w:rPr>
                <w:rFonts w:cstheme="minorHAnsi"/>
                <w:sz w:val="18"/>
                <w:szCs w:val="18"/>
              </w:rPr>
              <w:t>●</w:t>
            </w:r>
          </w:p>
        </w:tc>
        <w:tc>
          <w:tcPr>
            <w:tcW w:w="708" w:type="dxa"/>
            <w:tcBorders>
              <w:top w:val="single" w:color="auto" w:sz="4" w:space="0"/>
              <w:left w:val="single" w:color="auto" w:sz="4" w:space="0"/>
              <w:bottom w:val="nil"/>
              <w:right w:val="single" w:color="auto" w:sz="4" w:space="0"/>
            </w:tcBorders>
            <w:vAlign w:val="center"/>
          </w:tcPr>
          <w:p w14:paraId="05640C1D">
            <w:pPr>
              <w:widowControl/>
              <w:spacing w:after="240"/>
              <w:jc w:val="center"/>
              <w:rPr>
                <w:rFonts w:cstheme="minorHAnsi"/>
                <w:sz w:val="18"/>
                <w:szCs w:val="18"/>
              </w:rPr>
            </w:pPr>
            <w:r>
              <w:rPr>
                <w:rFonts w:cstheme="minorHAnsi"/>
                <w:sz w:val="18"/>
                <w:szCs w:val="18"/>
              </w:rPr>
              <w:t>●</w:t>
            </w:r>
          </w:p>
        </w:tc>
        <w:tc>
          <w:tcPr>
            <w:tcW w:w="675" w:type="dxa"/>
            <w:tcBorders>
              <w:top w:val="single" w:color="auto" w:sz="4" w:space="0"/>
              <w:left w:val="single" w:color="auto" w:sz="4" w:space="0"/>
              <w:bottom w:val="nil"/>
              <w:right w:val="single" w:color="auto" w:sz="4" w:space="0"/>
            </w:tcBorders>
            <w:vAlign w:val="center"/>
          </w:tcPr>
          <w:p w14:paraId="6A3173D9">
            <w:pPr>
              <w:widowControl/>
              <w:spacing w:after="240"/>
              <w:jc w:val="center"/>
              <w:rPr>
                <w:rFonts w:cstheme="minorHAnsi"/>
                <w:sz w:val="18"/>
                <w:szCs w:val="18"/>
              </w:rPr>
            </w:pPr>
            <w:r>
              <w:rPr>
                <w:rFonts w:cstheme="minorHAnsi"/>
                <w:sz w:val="18"/>
                <w:szCs w:val="18"/>
              </w:rPr>
              <w:t>●</w:t>
            </w:r>
          </w:p>
        </w:tc>
      </w:tr>
      <w:tr w14:paraId="14D9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14A85A74">
            <w:pPr>
              <w:widowControl/>
              <w:spacing w:after="240"/>
              <w:jc w:val="center"/>
              <w:rPr>
                <w:rFonts w:cstheme="minorHAnsi"/>
                <w:sz w:val="18"/>
                <w:szCs w:val="18"/>
              </w:rPr>
            </w:pPr>
            <w:r>
              <w:rPr>
                <w:rFonts w:cstheme="minorHAnsi"/>
                <w:sz w:val="18"/>
                <w:szCs w:val="18"/>
              </w:rPr>
              <w:t>B</w:t>
            </w:r>
            <w:r>
              <w:rPr>
                <w:rFonts w:cstheme="minorHAnsi"/>
                <w:sz w:val="18"/>
                <w:szCs w:val="18"/>
                <w:vertAlign w:val="subscript"/>
              </w:rPr>
              <w:t>2</w:t>
            </w:r>
          </w:p>
        </w:tc>
        <w:tc>
          <w:tcPr>
            <w:tcW w:w="6491" w:type="dxa"/>
            <w:tcBorders>
              <w:top w:val="nil"/>
              <w:left w:val="single" w:color="auto" w:sz="4" w:space="0"/>
              <w:bottom w:val="nil"/>
              <w:right w:val="single" w:color="auto" w:sz="4" w:space="0"/>
            </w:tcBorders>
          </w:tcPr>
          <w:p w14:paraId="19A2BF01">
            <w:pPr>
              <w:widowControl/>
              <w:spacing w:after="240"/>
              <w:jc w:val="left"/>
              <w:rPr>
                <w:rFonts w:cstheme="minorHAnsi"/>
                <w:sz w:val="18"/>
                <w:szCs w:val="18"/>
              </w:rPr>
            </w:pPr>
            <w:r>
              <w:rPr>
                <w:rFonts w:cstheme="minorHAnsi"/>
                <w:sz w:val="18"/>
                <w:szCs w:val="18"/>
              </w:rPr>
              <w:t xml:space="preserve">Flat tube bracket </w:t>
            </w:r>
          </w:p>
        </w:tc>
        <w:tc>
          <w:tcPr>
            <w:tcW w:w="716" w:type="dxa"/>
            <w:tcBorders>
              <w:top w:val="nil"/>
              <w:left w:val="single" w:color="auto" w:sz="4" w:space="0"/>
              <w:bottom w:val="nil"/>
              <w:right w:val="single" w:color="auto" w:sz="4" w:space="0"/>
            </w:tcBorders>
            <w:vAlign w:val="center"/>
          </w:tcPr>
          <w:p w14:paraId="138638F2">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1F435C81">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76408A5D">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25091942">
            <w:pPr>
              <w:widowControl/>
              <w:spacing w:after="240"/>
              <w:jc w:val="center"/>
              <w:rPr>
                <w:rFonts w:cstheme="minorHAnsi"/>
                <w:sz w:val="18"/>
                <w:szCs w:val="18"/>
              </w:rPr>
            </w:pPr>
            <w:r>
              <w:rPr>
                <w:rFonts w:cstheme="minorHAnsi"/>
                <w:sz w:val="18"/>
                <w:szCs w:val="18"/>
              </w:rPr>
              <w:t>●</w:t>
            </w:r>
          </w:p>
        </w:tc>
      </w:tr>
      <w:tr w14:paraId="101D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single" w:color="auto" w:sz="4" w:space="0"/>
              <w:right w:val="single" w:color="auto" w:sz="4" w:space="0"/>
            </w:tcBorders>
            <w:vAlign w:val="center"/>
          </w:tcPr>
          <w:p w14:paraId="7C0A640A">
            <w:pPr>
              <w:widowControl/>
              <w:spacing w:after="240"/>
              <w:jc w:val="center"/>
              <w:rPr>
                <w:rFonts w:cstheme="minorHAnsi"/>
                <w:sz w:val="18"/>
                <w:szCs w:val="18"/>
              </w:rPr>
            </w:pPr>
            <w:r>
              <w:rPr>
                <w:rFonts w:cstheme="minorHAnsi"/>
                <w:sz w:val="18"/>
                <w:szCs w:val="18"/>
              </w:rPr>
              <w:t>B</w:t>
            </w:r>
            <w:r>
              <w:rPr>
                <w:rFonts w:cstheme="minorHAnsi"/>
                <w:sz w:val="18"/>
                <w:szCs w:val="18"/>
                <w:vertAlign w:val="subscript"/>
              </w:rPr>
              <w:t>3</w:t>
            </w:r>
          </w:p>
        </w:tc>
        <w:tc>
          <w:tcPr>
            <w:tcW w:w="6491" w:type="dxa"/>
            <w:tcBorders>
              <w:top w:val="nil"/>
              <w:left w:val="single" w:color="auto" w:sz="4" w:space="0"/>
              <w:bottom w:val="single" w:color="auto" w:sz="4" w:space="0"/>
              <w:right w:val="single" w:color="auto" w:sz="4" w:space="0"/>
            </w:tcBorders>
          </w:tcPr>
          <w:p w14:paraId="35ACC227">
            <w:pPr>
              <w:widowControl/>
              <w:spacing w:after="240"/>
              <w:jc w:val="left"/>
              <w:rPr>
                <w:rFonts w:cstheme="minorHAnsi"/>
                <w:sz w:val="18"/>
                <w:szCs w:val="18"/>
              </w:rPr>
            </w:pPr>
            <w:r>
              <w:rPr>
                <w:rFonts w:cstheme="minorHAnsi"/>
                <w:sz w:val="18"/>
                <w:szCs w:val="18"/>
              </w:rPr>
              <w:t>Curved bracket plate installation</w:t>
            </w:r>
            <w:r>
              <w:rPr>
                <w:rFonts w:hint="eastAsia" w:cstheme="minorHAnsi"/>
                <w:sz w:val="18"/>
                <w:szCs w:val="18"/>
              </w:rPr>
              <w:t xml:space="preserve"> </w:t>
            </w:r>
            <w:r>
              <w:rPr>
                <w:rFonts w:cstheme="minorHAnsi"/>
                <w:sz w:val="18"/>
                <w:szCs w:val="18"/>
              </w:rPr>
              <w:t>(2” pipe)</w:t>
            </w:r>
          </w:p>
        </w:tc>
        <w:tc>
          <w:tcPr>
            <w:tcW w:w="716" w:type="dxa"/>
            <w:tcBorders>
              <w:top w:val="nil"/>
              <w:left w:val="single" w:color="auto" w:sz="4" w:space="0"/>
              <w:bottom w:val="single" w:color="auto" w:sz="4" w:space="0"/>
              <w:right w:val="single" w:color="auto" w:sz="4" w:space="0"/>
            </w:tcBorders>
            <w:vAlign w:val="center"/>
          </w:tcPr>
          <w:p w14:paraId="3FA12903">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single" w:color="auto" w:sz="4" w:space="0"/>
              <w:right w:val="single" w:color="auto" w:sz="4" w:space="0"/>
            </w:tcBorders>
            <w:vAlign w:val="center"/>
          </w:tcPr>
          <w:p w14:paraId="24AF1F93">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single" w:color="auto" w:sz="4" w:space="0"/>
              <w:right w:val="single" w:color="auto" w:sz="4" w:space="0"/>
            </w:tcBorders>
            <w:vAlign w:val="center"/>
          </w:tcPr>
          <w:p w14:paraId="6D5B08D1">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single" w:color="auto" w:sz="4" w:space="0"/>
              <w:right w:val="single" w:color="auto" w:sz="4" w:space="0"/>
            </w:tcBorders>
            <w:vAlign w:val="center"/>
          </w:tcPr>
          <w:p w14:paraId="586E1F87">
            <w:pPr>
              <w:widowControl/>
              <w:spacing w:after="240"/>
              <w:jc w:val="center"/>
              <w:rPr>
                <w:rFonts w:cstheme="minorHAnsi"/>
                <w:sz w:val="18"/>
                <w:szCs w:val="18"/>
              </w:rPr>
            </w:pPr>
            <w:r>
              <w:rPr>
                <w:rFonts w:cstheme="minorHAnsi"/>
                <w:sz w:val="18"/>
                <w:szCs w:val="18"/>
              </w:rPr>
              <w:t>●</w:t>
            </w:r>
          </w:p>
        </w:tc>
      </w:tr>
      <w:tr w14:paraId="3B2A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2F2F2"/>
            <w:vAlign w:val="center"/>
          </w:tcPr>
          <w:p w14:paraId="674A62A5">
            <w:pPr>
              <w:widowControl/>
              <w:spacing w:after="240"/>
              <w:jc w:val="center"/>
              <w:rPr>
                <w:rFonts w:cstheme="minorHAnsi"/>
                <w:sz w:val="18"/>
                <w:szCs w:val="18"/>
              </w:rPr>
            </w:pPr>
            <w:r>
              <w:rPr>
                <w:rFonts w:cstheme="minorHAnsi"/>
                <w:sz w:val="18"/>
                <w:szCs w:val="18"/>
              </w:rPr>
              <w:t>Code</w:t>
            </w:r>
          </w:p>
        </w:tc>
        <w:tc>
          <w:tcPr>
            <w:tcW w:w="6491" w:type="dxa"/>
            <w:tcBorders>
              <w:top w:val="single" w:color="auto" w:sz="4" w:space="0"/>
              <w:left w:val="single" w:color="auto" w:sz="4" w:space="0"/>
              <w:bottom w:val="single" w:color="auto" w:sz="4" w:space="0"/>
              <w:right w:val="single" w:color="auto" w:sz="4" w:space="0"/>
            </w:tcBorders>
            <w:shd w:val="clear" w:color="auto" w:fill="F2F2F2"/>
            <w:vAlign w:val="center"/>
          </w:tcPr>
          <w:p w14:paraId="2BB739C5">
            <w:pPr>
              <w:widowControl/>
              <w:spacing w:after="240"/>
              <w:jc w:val="left"/>
              <w:rPr>
                <w:rFonts w:cstheme="minorHAnsi"/>
                <w:sz w:val="18"/>
                <w:szCs w:val="18"/>
              </w:rPr>
            </w:pPr>
            <w:r>
              <w:rPr>
                <w:rFonts w:cstheme="minorHAnsi"/>
                <w:sz w:val="18"/>
                <w:szCs w:val="18"/>
              </w:rPr>
              <w:t>Bleed/drain valve</w:t>
            </w:r>
          </w:p>
        </w:tc>
        <w:tc>
          <w:tcPr>
            <w:tcW w:w="716" w:type="dxa"/>
            <w:tcBorders>
              <w:top w:val="single" w:color="auto" w:sz="4" w:space="0"/>
              <w:left w:val="single" w:color="auto" w:sz="4" w:space="0"/>
              <w:bottom w:val="single" w:color="auto" w:sz="4" w:space="0"/>
              <w:right w:val="single" w:color="auto" w:sz="4" w:space="0"/>
            </w:tcBorders>
            <w:shd w:val="clear" w:color="auto" w:fill="F2F2F2"/>
            <w:vAlign w:val="center"/>
          </w:tcPr>
          <w:p w14:paraId="2F300EA3">
            <w:pPr>
              <w:widowControl/>
              <w:spacing w:after="240"/>
              <w:jc w:val="center"/>
              <w:rPr>
                <w:rFonts w:cstheme="minorHAnsi"/>
                <w:sz w:val="18"/>
                <w:szCs w:val="18"/>
              </w:rPr>
            </w:pPr>
            <w:r>
              <w:rPr>
                <w:rFonts w:cstheme="minorHAnsi"/>
                <w:sz w:val="18"/>
                <w:szCs w:val="18"/>
              </w:rPr>
              <w:t>SG</w:t>
            </w:r>
          </w:p>
        </w:tc>
        <w:tc>
          <w:tcPr>
            <w:tcW w:w="560" w:type="dxa"/>
            <w:tcBorders>
              <w:top w:val="single" w:color="auto" w:sz="4" w:space="0"/>
              <w:left w:val="single" w:color="auto" w:sz="4" w:space="0"/>
              <w:bottom w:val="single" w:color="auto" w:sz="4" w:space="0"/>
              <w:right w:val="single" w:color="auto" w:sz="4" w:space="0"/>
            </w:tcBorders>
            <w:shd w:val="clear" w:color="auto" w:fill="F2F2F2"/>
            <w:vAlign w:val="center"/>
          </w:tcPr>
          <w:p w14:paraId="61AE5569">
            <w:pPr>
              <w:widowControl/>
              <w:spacing w:after="240"/>
              <w:jc w:val="center"/>
              <w:rPr>
                <w:rFonts w:cstheme="minorHAnsi"/>
                <w:sz w:val="18"/>
                <w:szCs w:val="18"/>
              </w:rPr>
            </w:pPr>
            <w:r>
              <w:rPr>
                <w:rFonts w:cstheme="minorHAnsi"/>
                <w:sz w:val="18"/>
                <w:szCs w:val="18"/>
              </w:rPr>
              <w:t>SA</w:t>
            </w:r>
          </w:p>
        </w:tc>
        <w:tc>
          <w:tcPr>
            <w:tcW w:w="708" w:type="dxa"/>
            <w:tcBorders>
              <w:top w:val="single" w:color="auto" w:sz="4" w:space="0"/>
              <w:left w:val="single" w:color="auto" w:sz="4" w:space="0"/>
              <w:bottom w:val="single" w:color="auto" w:sz="4" w:space="0"/>
              <w:right w:val="single" w:color="auto" w:sz="4" w:space="0"/>
            </w:tcBorders>
            <w:shd w:val="clear" w:color="auto" w:fill="F2F2F2"/>
            <w:vAlign w:val="center"/>
          </w:tcPr>
          <w:p w14:paraId="780F80F2">
            <w:pPr>
              <w:widowControl/>
              <w:spacing w:after="240"/>
              <w:jc w:val="center"/>
              <w:rPr>
                <w:rFonts w:cstheme="minorHAnsi"/>
                <w:sz w:val="18"/>
                <w:szCs w:val="18"/>
              </w:rPr>
            </w:pPr>
            <w:r>
              <w:rPr>
                <w:rFonts w:cstheme="minorHAnsi"/>
                <w:sz w:val="18"/>
                <w:szCs w:val="18"/>
              </w:rPr>
              <w:t>SD</w:t>
            </w:r>
          </w:p>
        </w:tc>
        <w:tc>
          <w:tcPr>
            <w:tcW w:w="675" w:type="dxa"/>
            <w:tcBorders>
              <w:top w:val="single" w:color="auto" w:sz="4" w:space="0"/>
              <w:left w:val="single" w:color="auto" w:sz="4" w:space="0"/>
              <w:bottom w:val="single" w:color="auto" w:sz="4" w:space="0"/>
              <w:right w:val="single" w:color="auto" w:sz="4" w:space="0"/>
            </w:tcBorders>
            <w:shd w:val="clear" w:color="auto" w:fill="F2F2F2"/>
            <w:vAlign w:val="center"/>
          </w:tcPr>
          <w:p w14:paraId="05D2C206">
            <w:pPr>
              <w:widowControl/>
              <w:spacing w:after="240"/>
              <w:jc w:val="center"/>
              <w:rPr>
                <w:rFonts w:cstheme="minorHAnsi"/>
                <w:sz w:val="18"/>
                <w:szCs w:val="18"/>
              </w:rPr>
            </w:pPr>
            <w:r>
              <w:rPr>
                <w:rFonts w:cstheme="minorHAnsi"/>
                <w:sz w:val="18"/>
                <w:szCs w:val="18"/>
              </w:rPr>
              <w:t>S</w:t>
            </w:r>
            <w:r>
              <w:rPr>
                <w:rFonts w:hint="eastAsia" w:cstheme="minorHAnsi"/>
                <w:sz w:val="18"/>
                <w:szCs w:val="18"/>
              </w:rPr>
              <w:t>H</w:t>
            </w:r>
          </w:p>
        </w:tc>
      </w:tr>
      <w:tr w14:paraId="6D55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nil"/>
              <w:right w:val="single" w:color="auto" w:sz="4" w:space="0"/>
            </w:tcBorders>
            <w:vAlign w:val="center"/>
          </w:tcPr>
          <w:p w14:paraId="5AC34A86">
            <w:pPr>
              <w:widowControl/>
              <w:spacing w:after="240"/>
              <w:jc w:val="center"/>
              <w:rPr>
                <w:rFonts w:cstheme="minorHAnsi"/>
                <w:sz w:val="18"/>
                <w:szCs w:val="18"/>
              </w:rPr>
            </w:pPr>
            <w:r>
              <w:rPr>
                <w:rFonts w:cstheme="minorHAnsi"/>
                <w:sz w:val="18"/>
                <w:szCs w:val="18"/>
              </w:rPr>
              <w:t>D</w:t>
            </w:r>
            <w:r>
              <w:rPr>
                <w:rFonts w:cstheme="minorHAnsi"/>
                <w:sz w:val="18"/>
                <w:szCs w:val="18"/>
                <w:vertAlign w:val="subscript"/>
              </w:rPr>
              <w:t>1</w:t>
            </w:r>
          </w:p>
        </w:tc>
        <w:tc>
          <w:tcPr>
            <w:tcW w:w="6491" w:type="dxa"/>
            <w:tcBorders>
              <w:top w:val="single" w:color="auto" w:sz="4" w:space="0"/>
              <w:left w:val="single" w:color="auto" w:sz="4" w:space="0"/>
              <w:bottom w:val="nil"/>
              <w:right w:val="single" w:color="auto" w:sz="4" w:space="0"/>
            </w:tcBorders>
          </w:tcPr>
          <w:p w14:paraId="110EDEFC">
            <w:pPr>
              <w:widowControl/>
              <w:spacing w:after="240"/>
              <w:jc w:val="left"/>
              <w:rPr>
                <w:rFonts w:cstheme="minorHAnsi"/>
                <w:sz w:val="18"/>
                <w:szCs w:val="18"/>
              </w:rPr>
            </w:pPr>
            <w:r>
              <w:rPr>
                <w:rFonts w:cstheme="minorHAnsi"/>
                <w:sz w:val="18"/>
                <w:szCs w:val="18"/>
              </w:rPr>
              <w:t>Flange side vent/drain valve on top</w:t>
            </w:r>
          </w:p>
        </w:tc>
        <w:tc>
          <w:tcPr>
            <w:tcW w:w="716" w:type="dxa"/>
            <w:tcBorders>
              <w:top w:val="single" w:color="auto" w:sz="4" w:space="0"/>
              <w:left w:val="single" w:color="auto" w:sz="4" w:space="0"/>
              <w:bottom w:val="nil"/>
              <w:right w:val="single" w:color="auto" w:sz="4" w:space="0"/>
            </w:tcBorders>
            <w:vAlign w:val="center"/>
          </w:tcPr>
          <w:p w14:paraId="028D1708">
            <w:pPr>
              <w:widowControl/>
              <w:spacing w:after="240"/>
              <w:jc w:val="center"/>
              <w:rPr>
                <w:rFonts w:cstheme="minorHAnsi"/>
                <w:sz w:val="18"/>
                <w:szCs w:val="18"/>
              </w:rPr>
            </w:pPr>
            <w:r>
              <w:rPr>
                <w:rFonts w:cstheme="minorHAnsi"/>
                <w:sz w:val="18"/>
                <w:szCs w:val="18"/>
              </w:rPr>
              <w:t>●</w:t>
            </w:r>
          </w:p>
        </w:tc>
        <w:tc>
          <w:tcPr>
            <w:tcW w:w="560" w:type="dxa"/>
            <w:tcBorders>
              <w:top w:val="single" w:color="auto" w:sz="4" w:space="0"/>
              <w:left w:val="single" w:color="auto" w:sz="4" w:space="0"/>
              <w:bottom w:val="nil"/>
              <w:right w:val="single" w:color="auto" w:sz="4" w:space="0"/>
            </w:tcBorders>
            <w:vAlign w:val="center"/>
          </w:tcPr>
          <w:p w14:paraId="79B94B32">
            <w:pPr>
              <w:widowControl/>
              <w:spacing w:after="240"/>
              <w:jc w:val="center"/>
              <w:rPr>
                <w:rFonts w:cstheme="minorHAnsi"/>
                <w:sz w:val="18"/>
                <w:szCs w:val="18"/>
              </w:rPr>
            </w:pPr>
            <w:r>
              <w:rPr>
                <w:rFonts w:cstheme="minorHAnsi"/>
                <w:sz w:val="18"/>
                <w:szCs w:val="18"/>
              </w:rPr>
              <w:t>●</w:t>
            </w:r>
          </w:p>
        </w:tc>
        <w:tc>
          <w:tcPr>
            <w:tcW w:w="708" w:type="dxa"/>
            <w:tcBorders>
              <w:top w:val="single" w:color="auto" w:sz="4" w:space="0"/>
              <w:left w:val="single" w:color="auto" w:sz="4" w:space="0"/>
              <w:bottom w:val="nil"/>
              <w:right w:val="single" w:color="auto" w:sz="4" w:space="0"/>
            </w:tcBorders>
            <w:vAlign w:val="center"/>
          </w:tcPr>
          <w:p w14:paraId="5486AD55">
            <w:pPr>
              <w:widowControl/>
              <w:spacing w:after="240"/>
              <w:jc w:val="center"/>
              <w:rPr>
                <w:rFonts w:cstheme="minorHAnsi"/>
                <w:sz w:val="18"/>
                <w:szCs w:val="18"/>
              </w:rPr>
            </w:pPr>
            <w:r>
              <w:rPr>
                <w:rFonts w:cstheme="minorHAnsi"/>
                <w:sz w:val="18"/>
                <w:szCs w:val="18"/>
              </w:rPr>
              <w:t>●</w:t>
            </w:r>
          </w:p>
        </w:tc>
        <w:tc>
          <w:tcPr>
            <w:tcW w:w="675" w:type="dxa"/>
            <w:tcBorders>
              <w:top w:val="single" w:color="auto" w:sz="4" w:space="0"/>
              <w:left w:val="single" w:color="auto" w:sz="4" w:space="0"/>
              <w:bottom w:val="nil"/>
              <w:right w:val="single" w:color="auto" w:sz="4" w:space="0"/>
            </w:tcBorders>
            <w:vAlign w:val="center"/>
          </w:tcPr>
          <w:p w14:paraId="4DB48380">
            <w:pPr>
              <w:widowControl/>
              <w:spacing w:after="240"/>
              <w:jc w:val="center"/>
              <w:rPr>
                <w:rFonts w:cstheme="minorHAnsi"/>
                <w:sz w:val="18"/>
                <w:szCs w:val="18"/>
              </w:rPr>
            </w:pPr>
            <w:r>
              <w:rPr>
                <w:rFonts w:cstheme="minorHAnsi"/>
                <w:sz w:val="18"/>
                <w:szCs w:val="18"/>
              </w:rPr>
              <w:t>●</w:t>
            </w:r>
          </w:p>
        </w:tc>
      </w:tr>
      <w:tr w14:paraId="41DA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1274A556">
            <w:pPr>
              <w:widowControl/>
              <w:spacing w:after="240"/>
              <w:jc w:val="center"/>
              <w:rPr>
                <w:rFonts w:cstheme="minorHAnsi"/>
                <w:sz w:val="18"/>
                <w:szCs w:val="18"/>
              </w:rPr>
            </w:pPr>
            <w:r>
              <w:rPr>
                <w:rFonts w:cstheme="minorHAnsi"/>
                <w:sz w:val="18"/>
                <w:szCs w:val="18"/>
              </w:rPr>
              <w:t>D</w:t>
            </w:r>
            <w:r>
              <w:rPr>
                <w:rFonts w:cstheme="minorHAnsi"/>
                <w:sz w:val="18"/>
                <w:szCs w:val="18"/>
                <w:vertAlign w:val="subscript"/>
              </w:rPr>
              <w:t>2</w:t>
            </w:r>
          </w:p>
        </w:tc>
        <w:tc>
          <w:tcPr>
            <w:tcW w:w="6491" w:type="dxa"/>
            <w:tcBorders>
              <w:top w:val="nil"/>
              <w:left w:val="single" w:color="auto" w:sz="4" w:space="0"/>
              <w:bottom w:val="nil"/>
              <w:right w:val="single" w:color="auto" w:sz="4" w:space="0"/>
            </w:tcBorders>
          </w:tcPr>
          <w:p w14:paraId="1FF781BA">
            <w:pPr>
              <w:widowControl/>
              <w:spacing w:after="240"/>
              <w:jc w:val="left"/>
              <w:rPr>
                <w:rFonts w:cstheme="minorHAnsi"/>
                <w:sz w:val="18"/>
                <w:szCs w:val="18"/>
              </w:rPr>
            </w:pPr>
            <w:r>
              <w:rPr>
                <w:rFonts w:cstheme="minorHAnsi"/>
                <w:sz w:val="18"/>
                <w:szCs w:val="18"/>
              </w:rPr>
              <w:t>Flange side vent/drain valve on bottom</w:t>
            </w:r>
          </w:p>
        </w:tc>
        <w:tc>
          <w:tcPr>
            <w:tcW w:w="716" w:type="dxa"/>
            <w:tcBorders>
              <w:top w:val="nil"/>
              <w:left w:val="single" w:color="auto" w:sz="4" w:space="0"/>
              <w:bottom w:val="nil"/>
              <w:right w:val="single" w:color="auto" w:sz="4" w:space="0"/>
            </w:tcBorders>
            <w:vAlign w:val="center"/>
          </w:tcPr>
          <w:p w14:paraId="753879DC">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12A7DD18">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4CD9920C">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51C4B644">
            <w:pPr>
              <w:widowControl/>
              <w:spacing w:after="240"/>
              <w:jc w:val="center"/>
              <w:rPr>
                <w:rFonts w:cstheme="minorHAnsi"/>
                <w:sz w:val="18"/>
                <w:szCs w:val="18"/>
              </w:rPr>
            </w:pPr>
            <w:r>
              <w:rPr>
                <w:rFonts w:cstheme="minorHAnsi"/>
                <w:sz w:val="18"/>
                <w:szCs w:val="18"/>
              </w:rPr>
              <w:t>●</w:t>
            </w:r>
          </w:p>
        </w:tc>
      </w:tr>
      <w:tr w14:paraId="398E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single" w:color="auto" w:sz="4" w:space="0"/>
              <w:right w:val="single" w:color="auto" w:sz="4" w:space="0"/>
            </w:tcBorders>
            <w:vAlign w:val="center"/>
          </w:tcPr>
          <w:p w14:paraId="0590E93B">
            <w:pPr>
              <w:widowControl/>
              <w:spacing w:after="240"/>
              <w:jc w:val="center"/>
              <w:rPr>
                <w:rFonts w:cstheme="minorHAnsi"/>
                <w:sz w:val="18"/>
                <w:szCs w:val="18"/>
              </w:rPr>
            </w:pPr>
            <w:r>
              <w:rPr>
                <w:rFonts w:cstheme="minorHAnsi"/>
                <w:sz w:val="18"/>
                <w:szCs w:val="18"/>
              </w:rPr>
              <w:t>D</w:t>
            </w:r>
            <w:r>
              <w:rPr>
                <w:rFonts w:cstheme="minorHAnsi"/>
                <w:sz w:val="18"/>
                <w:szCs w:val="18"/>
                <w:vertAlign w:val="subscript"/>
              </w:rPr>
              <w:t>3</w:t>
            </w:r>
          </w:p>
        </w:tc>
        <w:tc>
          <w:tcPr>
            <w:tcW w:w="6491" w:type="dxa"/>
            <w:tcBorders>
              <w:top w:val="nil"/>
              <w:left w:val="single" w:color="auto" w:sz="4" w:space="0"/>
              <w:bottom w:val="single" w:color="auto" w:sz="4" w:space="0"/>
              <w:right w:val="single" w:color="auto" w:sz="4" w:space="0"/>
            </w:tcBorders>
          </w:tcPr>
          <w:p w14:paraId="23502BF1">
            <w:pPr>
              <w:widowControl/>
              <w:spacing w:after="240"/>
              <w:jc w:val="left"/>
              <w:rPr>
                <w:rFonts w:cstheme="minorHAnsi"/>
                <w:sz w:val="18"/>
                <w:szCs w:val="18"/>
              </w:rPr>
            </w:pPr>
            <w:r>
              <w:rPr>
                <w:rFonts w:cstheme="minorHAnsi"/>
                <w:sz w:val="18"/>
                <w:szCs w:val="18"/>
              </w:rPr>
              <w:t>Vent/drain valve at the rear end of the flange</w:t>
            </w:r>
          </w:p>
        </w:tc>
        <w:tc>
          <w:tcPr>
            <w:tcW w:w="716" w:type="dxa"/>
            <w:tcBorders>
              <w:top w:val="nil"/>
              <w:left w:val="single" w:color="auto" w:sz="4" w:space="0"/>
              <w:bottom w:val="single" w:color="auto" w:sz="4" w:space="0"/>
              <w:right w:val="single" w:color="auto" w:sz="4" w:space="0"/>
            </w:tcBorders>
            <w:vAlign w:val="center"/>
          </w:tcPr>
          <w:p w14:paraId="55B2762B">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single" w:color="auto" w:sz="4" w:space="0"/>
              <w:right w:val="single" w:color="auto" w:sz="4" w:space="0"/>
            </w:tcBorders>
            <w:vAlign w:val="center"/>
          </w:tcPr>
          <w:p w14:paraId="3A6C439C">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single" w:color="auto" w:sz="4" w:space="0"/>
              <w:right w:val="single" w:color="auto" w:sz="4" w:space="0"/>
            </w:tcBorders>
            <w:vAlign w:val="center"/>
          </w:tcPr>
          <w:p w14:paraId="666A9867">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single" w:color="auto" w:sz="4" w:space="0"/>
              <w:right w:val="single" w:color="auto" w:sz="4" w:space="0"/>
            </w:tcBorders>
            <w:vAlign w:val="center"/>
          </w:tcPr>
          <w:p w14:paraId="2265945E">
            <w:pPr>
              <w:widowControl/>
              <w:spacing w:after="240"/>
              <w:jc w:val="center"/>
              <w:rPr>
                <w:rFonts w:cstheme="minorHAnsi"/>
                <w:sz w:val="18"/>
                <w:szCs w:val="18"/>
              </w:rPr>
            </w:pPr>
            <w:r>
              <w:rPr>
                <w:rFonts w:cstheme="minorHAnsi"/>
                <w:sz w:val="18"/>
                <w:szCs w:val="18"/>
              </w:rPr>
              <w:t>●</w:t>
            </w:r>
          </w:p>
        </w:tc>
      </w:tr>
      <w:tr w14:paraId="67CA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single" w:color="auto" w:sz="4" w:space="0"/>
              <w:right w:val="single" w:color="auto" w:sz="4" w:space="0"/>
            </w:tcBorders>
            <w:shd w:val="clear" w:color="auto" w:fill="F2F2F3"/>
            <w:vAlign w:val="center"/>
          </w:tcPr>
          <w:p w14:paraId="1FAAEAAD">
            <w:pPr>
              <w:widowControl/>
              <w:spacing w:after="240"/>
              <w:jc w:val="center"/>
              <w:rPr>
                <w:rFonts w:cstheme="minorHAnsi"/>
                <w:sz w:val="18"/>
                <w:szCs w:val="18"/>
              </w:rPr>
            </w:pPr>
            <w:r>
              <w:rPr>
                <w:rFonts w:cstheme="minorHAnsi"/>
                <w:sz w:val="18"/>
                <w:szCs w:val="18"/>
              </w:rPr>
              <w:t>Code</w:t>
            </w:r>
          </w:p>
        </w:tc>
        <w:tc>
          <w:tcPr>
            <w:tcW w:w="6491" w:type="dxa"/>
            <w:tcBorders>
              <w:top w:val="nil"/>
              <w:left w:val="single" w:color="auto" w:sz="4" w:space="0"/>
              <w:bottom w:val="single" w:color="auto" w:sz="4" w:space="0"/>
              <w:right w:val="single" w:color="auto" w:sz="4" w:space="0"/>
            </w:tcBorders>
            <w:shd w:val="clear" w:color="auto" w:fill="F2F2F3"/>
            <w:vAlign w:val="center"/>
          </w:tcPr>
          <w:p w14:paraId="7AF9BC3F">
            <w:pPr>
              <w:widowControl/>
              <w:spacing w:after="240"/>
              <w:jc w:val="left"/>
              <w:rPr>
                <w:rFonts w:cstheme="minorHAnsi"/>
                <w:sz w:val="18"/>
                <w:szCs w:val="18"/>
              </w:rPr>
            </w:pPr>
            <w:r>
              <w:rPr>
                <w:rFonts w:hint="eastAsia" w:cstheme="minorHAnsi"/>
                <w:sz w:val="18"/>
                <w:szCs w:val="18"/>
              </w:rPr>
              <w:t>E</w:t>
            </w:r>
            <w:r>
              <w:rPr>
                <w:rFonts w:cstheme="minorHAnsi"/>
                <w:sz w:val="18"/>
                <w:szCs w:val="18"/>
              </w:rPr>
              <w:t xml:space="preserve">lectrical </w:t>
            </w:r>
            <w:r>
              <w:rPr>
                <w:rFonts w:hint="eastAsia" w:cstheme="minorHAnsi"/>
                <w:sz w:val="18"/>
                <w:szCs w:val="18"/>
              </w:rPr>
              <w:t>conne</w:t>
            </w:r>
            <w:r>
              <w:rPr>
                <w:rFonts w:cstheme="minorHAnsi"/>
                <w:sz w:val="18"/>
                <w:szCs w:val="18"/>
              </w:rPr>
              <w:t xml:space="preserve">ction </w:t>
            </w:r>
          </w:p>
        </w:tc>
        <w:tc>
          <w:tcPr>
            <w:tcW w:w="716" w:type="dxa"/>
            <w:tcBorders>
              <w:top w:val="nil"/>
              <w:left w:val="single" w:color="auto" w:sz="4" w:space="0"/>
              <w:bottom w:val="single" w:color="auto" w:sz="4" w:space="0"/>
              <w:right w:val="single" w:color="auto" w:sz="4" w:space="0"/>
            </w:tcBorders>
            <w:shd w:val="clear" w:color="auto" w:fill="F2F2F3"/>
            <w:vAlign w:val="center"/>
          </w:tcPr>
          <w:p w14:paraId="59B7AF14">
            <w:pPr>
              <w:widowControl/>
              <w:spacing w:after="240"/>
              <w:jc w:val="center"/>
              <w:rPr>
                <w:rFonts w:cstheme="minorHAnsi"/>
                <w:sz w:val="18"/>
                <w:szCs w:val="18"/>
              </w:rPr>
            </w:pPr>
            <w:r>
              <w:rPr>
                <w:rFonts w:cstheme="minorHAnsi"/>
                <w:sz w:val="18"/>
                <w:szCs w:val="18"/>
              </w:rPr>
              <w:t>SG</w:t>
            </w:r>
          </w:p>
        </w:tc>
        <w:tc>
          <w:tcPr>
            <w:tcW w:w="560" w:type="dxa"/>
            <w:tcBorders>
              <w:top w:val="nil"/>
              <w:left w:val="single" w:color="auto" w:sz="4" w:space="0"/>
              <w:bottom w:val="single" w:color="auto" w:sz="4" w:space="0"/>
              <w:right w:val="single" w:color="auto" w:sz="4" w:space="0"/>
            </w:tcBorders>
            <w:shd w:val="clear" w:color="auto" w:fill="F2F2F3"/>
            <w:vAlign w:val="center"/>
          </w:tcPr>
          <w:p w14:paraId="76C46535">
            <w:pPr>
              <w:widowControl/>
              <w:spacing w:after="240"/>
              <w:jc w:val="center"/>
              <w:rPr>
                <w:rFonts w:cstheme="minorHAnsi"/>
                <w:sz w:val="18"/>
                <w:szCs w:val="18"/>
              </w:rPr>
            </w:pPr>
            <w:r>
              <w:rPr>
                <w:rFonts w:cstheme="minorHAnsi"/>
                <w:sz w:val="18"/>
                <w:szCs w:val="18"/>
              </w:rPr>
              <w:t>SA</w:t>
            </w:r>
          </w:p>
        </w:tc>
        <w:tc>
          <w:tcPr>
            <w:tcW w:w="708" w:type="dxa"/>
            <w:tcBorders>
              <w:top w:val="nil"/>
              <w:left w:val="single" w:color="auto" w:sz="4" w:space="0"/>
              <w:bottom w:val="single" w:color="auto" w:sz="4" w:space="0"/>
              <w:right w:val="single" w:color="auto" w:sz="4" w:space="0"/>
            </w:tcBorders>
            <w:shd w:val="clear" w:color="auto" w:fill="F2F2F3"/>
            <w:vAlign w:val="center"/>
          </w:tcPr>
          <w:p w14:paraId="676BA560">
            <w:pPr>
              <w:widowControl/>
              <w:spacing w:after="240"/>
              <w:jc w:val="center"/>
              <w:rPr>
                <w:rFonts w:cstheme="minorHAnsi"/>
                <w:sz w:val="18"/>
                <w:szCs w:val="18"/>
              </w:rPr>
            </w:pPr>
            <w:r>
              <w:rPr>
                <w:rFonts w:cstheme="minorHAnsi"/>
                <w:sz w:val="18"/>
                <w:szCs w:val="18"/>
              </w:rPr>
              <w:t>SD</w:t>
            </w:r>
          </w:p>
        </w:tc>
        <w:tc>
          <w:tcPr>
            <w:tcW w:w="675" w:type="dxa"/>
            <w:tcBorders>
              <w:top w:val="nil"/>
              <w:left w:val="single" w:color="auto" w:sz="4" w:space="0"/>
              <w:bottom w:val="single" w:color="auto" w:sz="4" w:space="0"/>
              <w:right w:val="single" w:color="auto" w:sz="4" w:space="0"/>
            </w:tcBorders>
            <w:shd w:val="clear" w:color="auto" w:fill="F2F2F3"/>
            <w:vAlign w:val="center"/>
          </w:tcPr>
          <w:p w14:paraId="27B44F49">
            <w:pPr>
              <w:widowControl/>
              <w:spacing w:after="240"/>
              <w:jc w:val="center"/>
              <w:rPr>
                <w:rFonts w:cstheme="minorHAnsi"/>
                <w:sz w:val="18"/>
                <w:szCs w:val="18"/>
              </w:rPr>
            </w:pPr>
            <w:r>
              <w:rPr>
                <w:rFonts w:cstheme="minorHAnsi"/>
                <w:sz w:val="18"/>
                <w:szCs w:val="18"/>
              </w:rPr>
              <w:t>S</w:t>
            </w:r>
            <w:r>
              <w:rPr>
                <w:rFonts w:hint="eastAsia" w:cstheme="minorHAnsi"/>
                <w:sz w:val="18"/>
                <w:szCs w:val="18"/>
              </w:rPr>
              <w:t>H</w:t>
            </w:r>
          </w:p>
        </w:tc>
      </w:tr>
      <w:tr w14:paraId="0C8A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single" w:color="auto" w:sz="4" w:space="0"/>
              <w:right w:val="single" w:color="auto" w:sz="4" w:space="0"/>
            </w:tcBorders>
            <w:vAlign w:val="center"/>
          </w:tcPr>
          <w:p w14:paraId="5CAB2769">
            <w:pPr>
              <w:widowControl/>
              <w:spacing w:after="240" w:line="240" w:lineRule="atLeast"/>
              <w:jc w:val="center"/>
              <w:rPr>
                <w:rFonts w:ascii="Calibri" w:hAnsi="Calibri" w:cs="Calibri"/>
                <w:sz w:val="18"/>
                <w:szCs w:val="18"/>
              </w:rPr>
            </w:pPr>
            <w:r>
              <w:rPr>
                <w:rFonts w:hint="eastAsia" w:ascii="Calibri" w:hAnsi="Calibri" w:cs="Calibri"/>
                <w:sz w:val="18"/>
                <w:szCs w:val="18"/>
              </w:rPr>
              <w:t>E</w:t>
            </w:r>
            <w:r>
              <w:rPr>
                <w:rFonts w:ascii="Calibri" w:hAnsi="Calibri" w:cs="Calibri"/>
                <w:sz w:val="18"/>
                <w:szCs w:val="18"/>
                <w:vertAlign w:val="subscript"/>
              </w:rPr>
              <w:t>1</w:t>
            </w:r>
          </w:p>
        </w:tc>
        <w:tc>
          <w:tcPr>
            <w:tcW w:w="6491" w:type="dxa"/>
            <w:tcBorders>
              <w:top w:val="nil"/>
              <w:left w:val="single" w:color="auto" w:sz="4" w:space="0"/>
              <w:bottom w:val="single" w:color="auto" w:sz="4" w:space="0"/>
              <w:right w:val="single" w:color="auto" w:sz="4" w:space="0"/>
            </w:tcBorders>
            <w:vAlign w:val="center"/>
          </w:tcPr>
          <w:p w14:paraId="2D13C182">
            <w:pPr>
              <w:widowControl/>
              <w:spacing w:after="240" w:line="240" w:lineRule="atLeast"/>
              <w:jc w:val="left"/>
              <w:rPr>
                <w:rFonts w:ascii="Calibri" w:hAnsi="Calibri" w:cs="Calibri"/>
                <w:sz w:val="18"/>
                <w:szCs w:val="18"/>
              </w:rPr>
            </w:pPr>
            <w:r>
              <w:rPr>
                <w:rFonts w:hint="eastAsia" w:ascii="Calibri" w:hAnsi="Calibri" w:cs="Calibri"/>
                <w:sz w:val="18"/>
                <w:szCs w:val="18"/>
              </w:rPr>
              <w:t>1/2 NPT</w:t>
            </w:r>
          </w:p>
        </w:tc>
        <w:tc>
          <w:tcPr>
            <w:tcW w:w="716" w:type="dxa"/>
            <w:tcBorders>
              <w:top w:val="nil"/>
              <w:left w:val="single" w:color="auto" w:sz="4" w:space="0"/>
              <w:bottom w:val="single" w:color="auto" w:sz="4" w:space="0"/>
              <w:right w:val="single" w:color="auto" w:sz="4" w:space="0"/>
            </w:tcBorders>
            <w:vAlign w:val="center"/>
          </w:tcPr>
          <w:p w14:paraId="69F3745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60" w:type="dxa"/>
            <w:tcBorders>
              <w:top w:val="nil"/>
              <w:left w:val="single" w:color="auto" w:sz="4" w:space="0"/>
              <w:bottom w:val="single" w:color="auto" w:sz="4" w:space="0"/>
              <w:right w:val="single" w:color="auto" w:sz="4" w:space="0"/>
            </w:tcBorders>
            <w:vAlign w:val="center"/>
          </w:tcPr>
          <w:p w14:paraId="3BC203F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708" w:type="dxa"/>
            <w:tcBorders>
              <w:top w:val="nil"/>
              <w:left w:val="single" w:color="auto" w:sz="4" w:space="0"/>
              <w:bottom w:val="single" w:color="auto" w:sz="4" w:space="0"/>
              <w:right w:val="single" w:color="auto" w:sz="4" w:space="0"/>
            </w:tcBorders>
            <w:vAlign w:val="center"/>
          </w:tcPr>
          <w:p w14:paraId="1D1F11F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675" w:type="dxa"/>
            <w:tcBorders>
              <w:top w:val="nil"/>
              <w:left w:val="single" w:color="auto" w:sz="4" w:space="0"/>
              <w:bottom w:val="single" w:color="auto" w:sz="4" w:space="0"/>
              <w:right w:val="single" w:color="auto" w:sz="4" w:space="0"/>
            </w:tcBorders>
            <w:vAlign w:val="center"/>
          </w:tcPr>
          <w:p w14:paraId="4C002404">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0A1B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single" w:color="auto" w:sz="4" w:space="0"/>
              <w:right w:val="single" w:color="auto" w:sz="4" w:space="0"/>
            </w:tcBorders>
            <w:vAlign w:val="center"/>
          </w:tcPr>
          <w:p w14:paraId="38720B7F">
            <w:pPr>
              <w:widowControl/>
              <w:spacing w:after="240" w:line="240" w:lineRule="atLeast"/>
              <w:jc w:val="center"/>
              <w:rPr>
                <w:rFonts w:ascii="Calibri" w:hAnsi="Calibri" w:cs="Calibri"/>
                <w:sz w:val="18"/>
                <w:szCs w:val="18"/>
              </w:rPr>
            </w:pPr>
            <w:r>
              <w:rPr>
                <w:rFonts w:hint="eastAsia" w:ascii="Calibri" w:hAnsi="Calibri" w:cs="Calibri"/>
                <w:sz w:val="18"/>
                <w:szCs w:val="18"/>
              </w:rPr>
              <w:t>E</w:t>
            </w:r>
            <w:r>
              <w:rPr>
                <w:rFonts w:ascii="Calibri" w:hAnsi="Calibri" w:cs="Calibri"/>
                <w:sz w:val="18"/>
                <w:szCs w:val="18"/>
                <w:vertAlign w:val="subscript"/>
              </w:rPr>
              <w:t>2</w:t>
            </w:r>
          </w:p>
        </w:tc>
        <w:tc>
          <w:tcPr>
            <w:tcW w:w="6491" w:type="dxa"/>
            <w:tcBorders>
              <w:top w:val="nil"/>
              <w:left w:val="single" w:color="auto" w:sz="4" w:space="0"/>
              <w:bottom w:val="single" w:color="auto" w:sz="4" w:space="0"/>
              <w:right w:val="single" w:color="auto" w:sz="4" w:space="0"/>
            </w:tcBorders>
            <w:vAlign w:val="center"/>
          </w:tcPr>
          <w:p w14:paraId="0A2FC70E">
            <w:pPr>
              <w:widowControl/>
              <w:spacing w:after="240" w:line="240" w:lineRule="atLeast"/>
              <w:jc w:val="left"/>
              <w:rPr>
                <w:rFonts w:ascii="Calibri" w:hAnsi="Calibri" w:cs="Calibri"/>
                <w:sz w:val="18"/>
                <w:szCs w:val="18"/>
              </w:rPr>
            </w:pPr>
            <w:r>
              <w:rPr>
                <w:rFonts w:hint="eastAsia" w:ascii="Calibri" w:hAnsi="Calibri" w:cs="Calibri"/>
                <w:sz w:val="18"/>
                <w:szCs w:val="18"/>
              </w:rPr>
              <w:t>M20*1.5</w:t>
            </w:r>
          </w:p>
        </w:tc>
        <w:tc>
          <w:tcPr>
            <w:tcW w:w="716" w:type="dxa"/>
            <w:tcBorders>
              <w:top w:val="nil"/>
              <w:left w:val="single" w:color="auto" w:sz="4" w:space="0"/>
              <w:bottom w:val="single" w:color="auto" w:sz="4" w:space="0"/>
              <w:right w:val="single" w:color="auto" w:sz="4" w:space="0"/>
            </w:tcBorders>
            <w:vAlign w:val="center"/>
          </w:tcPr>
          <w:p w14:paraId="65F4153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60" w:type="dxa"/>
            <w:tcBorders>
              <w:top w:val="nil"/>
              <w:left w:val="single" w:color="auto" w:sz="4" w:space="0"/>
              <w:bottom w:val="single" w:color="auto" w:sz="4" w:space="0"/>
              <w:right w:val="single" w:color="auto" w:sz="4" w:space="0"/>
            </w:tcBorders>
            <w:vAlign w:val="center"/>
          </w:tcPr>
          <w:p w14:paraId="5FDFA4F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708" w:type="dxa"/>
            <w:tcBorders>
              <w:top w:val="nil"/>
              <w:left w:val="single" w:color="auto" w:sz="4" w:space="0"/>
              <w:bottom w:val="single" w:color="auto" w:sz="4" w:space="0"/>
              <w:right w:val="single" w:color="auto" w:sz="4" w:space="0"/>
            </w:tcBorders>
            <w:vAlign w:val="center"/>
          </w:tcPr>
          <w:p w14:paraId="21C98A5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675" w:type="dxa"/>
            <w:tcBorders>
              <w:top w:val="nil"/>
              <w:left w:val="single" w:color="auto" w:sz="4" w:space="0"/>
              <w:bottom w:val="single" w:color="auto" w:sz="4" w:space="0"/>
              <w:right w:val="single" w:color="auto" w:sz="4" w:space="0"/>
            </w:tcBorders>
            <w:vAlign w:val="center"/>
          </w:tcPr>
          <w:p w14:paraId="4BCC7B20">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9B6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2F2F2"/>
            <w:vAlign w:val="center"/>
          </w:tcPr>
          <w:p w14:paraId="4B587B79">
            <w:pPr>
              <w:widowControl/>
              <w:spacing w:after="240"/>
              <w:jc w:val="center"/>
              <w:rPr>
                <w:rFonts w:cstheme="minorHAnsi"/>
                <w:sz w:val="18"/>
                <w:szCs w:val="18"/>
              </w:rPr>
            </w:pPr>
            <w:r>
              <w:rPr>
                <w:rFonts w:cstheme="minorHAnsi"/>
                <w:sz w:val="18"/>
                <w:szCs w:val="18"/>
              </w:rPr>
              <w:t>Code</w:t>
            </w:r>
          </w:p>
        </w:tc>
        <w:tc>
          <w:tcPr>
            <w:tcW w:w="6491" w:type="dxa"/>
            <w:tcBorders>
              <w:top w:val="single" w:color="auto" w:sz="4" w:space="0"/>
              <w:left w:val="single" w:color="auto" w:sz="4" w:space="0"/>
              <w:bottom w:val="single" w:color="auto" w:sz="4" w:space="0"/>
              <w:right w:val="single" w:color="auto" w:sz="4" w:space="0"/>
            </w:tcBorders>
            <w:shd w:val="clear" w:color="auto" w:fill="F2F2F2"/>
            <w:vAlign w:val="center"/>
          </w:tcPr>
          <w:p w14:paraId="1C85AC26">
            <w:pPr>
              <w:widowControl/>
              <w:spacing w:after="240"/>
              <w:jc w:val="left"/>
              <w:rPr>
                <w:rFonts w:cstheme="minorHAnsi"/>
                <w:sz w:val="18"/>
                <w:szCs w:val="18"/>
              </w:rPr>
            </w:pPr>
            <w:r>
              <w:rPr>
                <w:rFonts w:cstheme="minorHAnsi"/>
                <w:sz w:val="18"/>
                <w:szCs w:val="18"/>
              </w:rPr>
              <w:t xml:space="preserve">Housing material </w:t>
            </w:r>
          </w:p>
        </w:tc>
        <w:tc>
          <w:tcPr>
            <w:tcW w:w="716" w:type="dxa"/>
            <w:tcBorders>
              <w:top w:val="single" w:color="auto" w:sz="4" w:space="0"/>
              <w:left w:val="single" w:color="auto" w:sz="4" w:space="0"/>
              <w:bottom w:val="single" w:color="auto" w:sz="4" w:space="0"/>
              <w:right w:val="single" w:color="auto" w:sz="4" w:space="0"/>
            </w:tcBorders>
            <w:shd w:val="clear" w:color="auto" w:fill="F2F2F2"/>
            <w:vAlign w:val="center"/>
          </w:tcPr>
          <w:p w14:paraId="4F29E374">
            <w:pPr>
              <w:widowControl/>
              <w:spacing w:after="240"/>
              <w:jc w:val="center"/>
              <w:rPr>
                <w:rFonts w:cstheme="minorHAnsi"/>
                <w:sz w:val="18"/>
                <w:szCs w:val="18"/>
              </w:rPr>
            </w:pPr>
            <w:r>
              <w:rPr>
                <w:rFonts w:cstheme="minorHAnsi"/>
                <w:sz w:val="18"/>
                <w:szCs w:val="18"/>
              </w:rPr>
              <w:t>SG</w:t>
            </w:r>
          </w:p>
        </w:tc>
        <w:tc>
          <w:tcPr>
            <w:tcW w:w="560" w:type="dxa"/>
            <w:tcBorders>
              <w:top w:val="single" w:color="auto" w:sz="4" w:space="0"/>
              <w:left w:val="single" w:color="auto" w:sz="4" w:space="0"/>
              <w:bottom w:val="single" w:color="auto" w:sz="4" w:space="0"/>
              <w:right w:val="single" w:color="auto" w:sz="4" w:space="0"/>
            </w:tcBorders>
            <w:shd w:val="clear" w:color="auto" w:fill="F2F2F2"/>
            <w:vAlign w:val="center"/>
          </w:tcPr>
          <w:p w14:paraId="1507B515">
            <w:pPr>
              <w:widowControl/>
              <w:spacing w:after="240"/>
              <w:jc w:val="center"/>
              <w:rPr>
                <w:rFonts w:cstheme="minorHAnsi"/>
                <w:sz w:val="18"/>
                <w:szCs w:val="18"/>
              </w:rPr>
            </w:pPr>
            <w:r>
              <w:rPr>
                <w:rFonts w:cstheme="minorHAnsi"/>
                <w:sz w:val="18"/>
                <w:szCs w:val="18"/>
              </w:rPr>
              <w:t>SA</w:t>
            </w:r>
          </w:p>
        </w:tc>
        <w:tc>
          <w:tcPr>
            <w:tcW w:w="708" w:type="dxa"/>
            <w:tcBorders>
              <w:top w:val="single" w:color="auto" w:sz="4" w:space="0"/>
              <w:left w:val="single" w:color="auto" w:sz="4" w:space="0"/>
              <w:bottom w:val="single" w:color="auto" w:sz="4" w:space="0"/>
              <w:right w:val="single" w:color="auto" w:sz="4" w:space="0"/>
            </w:tcBorders>
            <w:shd w:val="clear" w:color="auto" w:fill="F2F2F2"/>
            <w:vAlign w:val="center"/>
          </w:tcPr>
          <w:p w14:paraId="63BA953C">
            <w:pPr>
              <w:widowControl/>
              <w:spacing w:after="240"/>
              <w:jc w:val="center"/>
              <w:rPr>
                <w:rFonts w:cstheme="minorHAnsi"/>
                <w:sz w:val="18"/>
                <w:szCs w:val="18"/>
              </w:rPr>
            </w:pPr>
            <w:r>
              <w:rPr>
                <w:rFonts w:cstheme="minorHAnsi"/>
                <w:sz w:val="18"/>
                <w:szCs w:val="18"/>
              </w:rPr>
              <w:t>SD</w:t>
            </w:r>
          </w:p>
        </w:tc>
        <w:tc>
          <w:tcPr>
            <w:tcW w:w="675" w:type="dxa"/>
            <w:tcBorders>
              <w:top w:val="single" w:color="auto" w:sz="4" w:space="0"/>
              <w:left w:val="single" w:color="auto" w:sz="4" w:space="0"/>
              <w:bottom w:val="single" w:color="auto" w:sz="4" w:space="0"/>
              <w:right w:val="single" w:color="auto" w:sz="4" w:space="0"/>
            </w:tcBorders>
            <w:shd w:val="clear" w:color="auto" w:fill="F2F2F2"/>
            <w:vAlign w:val="center"/>
          </w:tcPr>
          <w:p w14:paraId="07FBF7E4">
            <w:pPr>
              <w:widowControl/>
              <w:spacing w:after="240"/>
              <w:jc w:val="center"/>
              <w:rPr>
                <w:rFonts w:cstheme="minorHAnsi"/>
                <w:sz w:val="18"/>
                <w:szCs w:val="18"/>
              </w:rPr>
            </w:pPr>
            <w:r>
              <w:rPr>
                <w:rFonts w:cstheme="minorHAnsi"/>
                <w:sz w:val="18"/>
                <w:szCs w:val="18"/>
              </w:rPr>
              <w:t>S</w:t>
            </w:r>
            <w:r>
              <w:rPr>
                <w:rFonts w:hint="eastAsia" w:cstheme="minorHAnsi"/>
                <w:sz w:val="18"/>
                <w:szCs w:val="18"/>
              </w:rPr>
              <w:t>H</w:t>
            </w:r>
          </w:p>
        </w:tc>
      </w:tr>
      <w:tr w14:paraId="0511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auto"/>
            <w:vAlign w:val="center"/>
          </w:tcPr>
          <w:p w14:paraId="71AB7715">
            <w:pPr>
              <w:widowControl/>
              <w:spacing w:after="240"/>
              <w:jc w:val="center"/>
              <w:rPr>
                <w:rFonts w:cstheme="minorHAnsi"/>
                <w:sz w:val="18"/>
                <w:szCs w:val="18"/>
              </w:rPr>
            </w:pPr>
            <w:r>
              <w:rPr>
                <w:rFonts w:cstheme="minorHAnsi"/>
                <w:sz w:val="18"/>
                <w:szCs w:val="18"/>
              </w:rPr>
              <w:t>K</w:t>
            </w:r>
            <w:r>
              <w:rPr>
                <w:rFonts w:cstheme="minorHAnsi"/>
                <w:sz w:val="18"/>
                <w:szCs w:val="18"/>
                <w:vertAlign w:val="subscript"/>
              </w:rPr>
              <w:t>1</w:t>
            </w:r>
          </w:p>
        </w:tc>
        <w:tc>
          <w:tcPr>
            <w:tcW w:w="6491" w:type="dxa"/>
            <w:tcBorders>
              <w:top w:val="single" w:color="auto" w:sz="4" w:space="0"/>
              <w:left w:val="single" w:color="auto" w:sz="4" w:space="0"/>
              <w:bottom w:val="single" w:color="auto" w:sz="4" w:space="0"/>
              <w:right w:val="single" w:color="auto" w:sz="4" w:space="0"/>
            </w:tcBorders>
            <w:shd w:val="clear" w:color="auto" w:fill="auto"/>
            <w:vAlign w:val="center"/>
          </w:tcPr>
          <w:p w14:paraId="5A0451D8">
            <w:pPr>
              <w:widowControl/>
              <w:spacing w:after="240"/>
              <w:jc w:val="left"/>
              <w:rPr>
                <w:rFonts w:cstheme="minorHAnsi"/>
                <w:sz w:val="18"/>
                <w:szCs w:val="18"/>
              </w:rPr>
            </w:pPr>
            <w:r>
              <w:rPr>
                <w:rFonts w:cstheme="minorHAnsi"/>
                <w:sz w:val="18"/>
                <w:szCs w:val="18"/>
              </w:rPr>
              <w:t xml:space="preserve">Aluminum </w:t>
            </w:r>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72C4B6FD">
            <w:pPr>
              <w:widowControl/>
              <w:spacing w:after="240"/>
              <w:jc w:val="center"/>
              <w:rPr>
                <w:rFonts w:cstheme="minorHAnsi"/>
                <w:sz w:val="18"/>
                <w:szCs w:val="18"/>
              </w:rPr>
            </w:pPr>
            <w:r>
              <w:rPr>
                <w:rFonts w:cstheme="minorHAnsi"/>
                <w:sz w:val="18"/>
                <w:szCs w:val="18"/>
              </w:rPr>
              <w:t>●</w:t>
            </w:r>
          </w:p>
        </w:tc>
        <w:tc>
          <w:tcPr>
            <w:tcW w:w="560" w:type="dxa"/>
            <w:tcBorders>
              <w:top w:val="single" w:color="auto" w:sz="4" w:space="0"/>
              <w:left w:val="single" w:color="auto" w:sz="4" w:space="0"/>
              <w:bottom w:val="single" w:color="auto" w:sz="4" w:space="0"/>
              <w:right w:val="single" w:color="auto" w:sz="4" w:space="0"/>
            </w:tcBorders>
            <w:shd w:val="clear" w:color="auto" w:fill="auto"/>
            <w:vAlign w:val="center"/>
          </w:tcPr>
          <w:p w14:paraId="7FACFAD9">
            <w:pPr>
              <w:widowControl/>
              <w:spacing w:after="240"/>
              <w:jc w:val="center"/>
              <w:rPr>
                <w:rFonts w:cstheme="minorHAnsi"/>
                <w:sz w:val="18"/>
                <w:szCs w:val="18"/>
              </w:rPr>
            </w:pPr>
            <w:r>
              <w:rPr>
                <w:rFonts w:cstheme="minorHAnsi"/>
                <w:sz w:val="18"/>
                <w:szCs w:val="18"/>
              </w:rPr>
              <w:t>●</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A204940">
            <w:pPr>
              <w:widowControl/>
              <w:spacing w:after="240"/>
              <w:jc w:val="center"/>
              <w:rPr>
                <w:rFonts w:cstheme="minorHAnsi"/>
                <w:sz w:val="18"/>
                <w:szCs w:val="18"/>
              </w:rPr>
            </w:pPr>
            <w:r>
              <w:rPr>
                <w:rFonts w:cstheme="minorHAnsi"/>
                <w:sz w:val="18"/>
                <w:szCs w:val="18"/>
              </w:rPr>
              <w:t>●</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33A6DDD0">
            <w:pPr>
              <w:widowControl/>
              <w:spacing w:after="240"/>
              <w:jc w:val="center"/>
              <w:rPr>
                <w:rFonts w:cstheme="minorHAnsi"/>
                <w:sz w:val="18"/>
                <w:szCs w:val="18"/>
              </w:rPr>
            </w:pPr>
            <w:r>
              <w:rPr>
                <w:rFonts w:cstheme="minorHAnsi"/>
                <w:sz w:val="18"/>
                <w:szCs w:val="18"/>
              </w:rPr>
              <w:t>●</w:t>
            </w:r>
          </w:p>
        </w:tc>
      </w:tr>
      <w:tr w14:paraId="0277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auto"/>
            <w:vAlign w:val="center"/>
          </w:tcPr>
          <w:p w14:paraId="0B75E4ED">
            <w:pPr>
              <w:widowControl/>
              <w:spacing w:after="240"/>
              <w:jc w:val="center"/>
              <w:rPr>
                <w:rFonts w:cstheme="minorHAnsi"/>
                <w:sz w:val="18"/>
                <w:szCs w:val="18"/>
              </w:rPr>
            </w:pPr>
            <w:r>
              <w:rPr>
                <w:rFonts w:cstheme="minorHAnsi"/>
                <w:sz w:val="18"/>
                <w:szCs w:val="18"/>
              </w:rPr>
              <w:t>K</w:t>
            </w:r>
            <w:r>
              <w:rPr>
                <w:rFonts w:cstheme="minorHAnsi"/>
                <w:sz w:val="18"/>
                <w:szCs w:val="18"/>
                <w:vertAlign w:val="subscript"/>
              </w:rPr>
              <w:t>2</w:t>
            </w:r>
          </w:p>
        </w:tc>
        <w:tc>
          <w:tcPr>
            <w:tcW w:w="6491" w:type="dxa"/>
            <w:tcBorders>
              <w:top w:val="single" w:color="auto" w:sz="4" w:space="0"/>
              <w:left w:val="single" w:color="auto" w:sz="4" w:space="0"/>
              <w:bottom w:val="single" w:color="auto" w:sz="4" w:space="0"/>
              <w:right w:val="single" w:color="auto" w:sz="4" w:space="0"/>
            </w:tcBorders>
            <w:shd w:val="clear" w:color="auto" w:fill="auto"/>
            <w:vAlign w:val="center"/>
          </w:tcPr>
          <w:p w14:paraId="44DBFE9C">
            <w:pPr>
              <w:widowControl/>
              <w:spacing w:after="240"/>
              <w:jc w:val="left"/>
              <w:rPr>
                <w:rFonts w:cstheme="minorHAnsi"/>
                <w:sz w:val="18"/>
                <w:szCs w:val="18"/>
              </w:rPr>
            </w:pPr>
            <w:r>
              <w:rPr>
                <w:rFonts w:cstheme="minorHAnsi"/>
                <w:sz w:val="18"/>
                <w:szCs w:val="18"/>
              </w:rPr>
              <w:t>SS304</w:t>
            </w:r>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46C38E73">
            <w:pPr>
              <w:widowControl/>
              <w:spacing w:after="240"/>
              <w:jc w:val="center"/>
              <w:rPr>
                <w:rFonts w:cstheme="minorHAnsi"/>
                <w:sz w:val="18"/>
                <w:szCs w:val="18"/>
              </w:rPr>
            </w:pPr>
            <w:r>
              <w:rPr>
                <w:rFonts w:cstheme="minorHAnsi"/>
                <w:sz w:val="18"/>
                <w:szCs w:val="18"/>
              </w:rPr>
              <w:t>●</w:t>
            </w:r>
          </w:p>
        </w:tc>
        <w:tc>
          <w:tcPr>
            <w:tcW w:w="560" w:type="dxa"/>
            <w:tcBorders>
              <w:top w:val="single" w:color="auto" w:sz="4" w:space="0"/>
              <w:left w:val="single" w:color="auto" w:sz="4" w:space="0"/>
              <w:bottom w:val="single" w:color="auto" w:sz="4" w:space="0"/>
              <w:right w:val="single" w:color="auto" w:sz="4" w:space="0"/>
            </w:tcBorders>
            <w:shd w:val="clear" w:color="auto" w:fill="auto"/>
            <w:vAlign w:val="center"/>
          </w:tcPr>
          <w:p w14:paraId="573C9B35">
            <w:pPr>
              <w:widowControl/>
              <w:spacing w:after="240"/>
              <w:jc w:val="center"/>
              <w:rPr>
                <w:rFonts w:cstheme="minorHAnsi"/>
                <w:sz w:val="18"/>
                <w:szCs w:val="18"/>
              </w:rPr>
            </w:pPr>
            <w:r>
              <w:rPr>
                <w:rFonts w:cstheme="minorHAnsi"/>
                <w:sz w:val="18"/>
                <w:szCs w:val="18"/>
              </w:rPr>
              <w:t>●</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B1B1A64">
            <w:pPr>
              <w:widowControl/>
              <w:spacing w:after="240"/>
              <w:jc w:val="center"/>
              <w:rPr>
                <w:rFonts w:cstheme="minorHAnsi"/>
                <w:sz w:val="18"/>
                <w:szCs w:val="18"/>
              </w:rPr>
            </w:pPr>
            <w:r>
              <w:rPr>
                <w:rFonts w:cstheme="minorHAnsi"/>
                <w:sz w:val="18"/>
                <w:szCs w:val="18"/>
              </w:rPr>
              <w:t>●</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69D05BDF">
            <w:pPr>
              <w:widowControl/>
              <w:spacing w:after="240"/>
              <w:jc w:val="center"/>
              <w:rPr>
                <w:rFonts w:cstheme="minorHAnsi"/>
                <w:sz w:val="18"/>
                <w:szCs w:val="18"/>
              </w:rPr>
            </w:pPr>
            <w:r>
              <w:rPr>
                <w:rFonts w:cstheme="minorHAnsi"/>
                <w:sz w:val="18"/>
                <w:szCs w:val="18"/>
              </w:rPr>
              <w:t>●</w:t>
            </w:r>
          </w:p>
        </w:tc>
      </w:tr>
      <w:tr w14:paraId="1150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auto"/>
            <w:vAlign w:val="center"/>
          </w:tcPr>
          <w:p w14:paraId="49CF91FB">
            <w:pPr>
              <w:widowControl/>
              <w:spacing w:after="240"/>
              <w:jc w:val="center"/>
              <w:rPr>
                <w:rFonts w:cstheme="minorHAnsi"/>
                <w:sz w:val="18"/>
                <w:szCs w:val="18"/>
                <w:vertAlign w:val="subscript"/>
              </w:rPr>
            </w:pPr>
            <w:r>
              <w:rPr>
                <w:rFonts w:hint="eastAsia" w:cstheme="minorHAnsi"/>
                <w:sz w:val="18"/>
                <w:szCs w:val="18"/>
              </w:rPr>
              <w:t>K</w:t>
            </w:r>
            <w:r>
              <w:rPr>
                <w:rFonts w:cstheme="minorHAnsi"/>
                <w:sz w:val="18"/>
                <w:szCs w:val="18"/>
                <w:vertAlign w:val="subscript"/>
              </w:rPr>
              <w:t>3</w:t>
            </w:r>
          </w:p>
        </w:tc>
        <w:tc>
          <w:tcPr>
            <w:tcW w:w="6491" w:type="dxa"/>
            <w:tcBorders>
              <w:top w:val="single" w:color="auto" w:sz="4" w:space="0"/>
              <w:left w:val="single" w:color="auto" w:sz="4" w:space="0"/>
              <w:bottom w:val="single" w:color="auto" w:sz="4" w:space="0"/>
              <w:right w:val="single" w:color="auto" w:sz="4" w:space="0"/>
            </w:tcBorders>
            <w:shd w:val="clear" w:color="auto" w:fill="auto"/>
            <w:vAlign w:val="center"/>
          </w:tcPr>
          <w:p w14:paraId="3B203688">
            <w:pPr>
              <w:widowControl/>
              <w:spacing w:after="240"/>
              <w:jc w:val="left"/>
              <w:rPr>
                <w:rFonts w:cstheme="minorHAnsi"/>
                <w:sz w:val="18"/>
                <w:szCs w:val="18"/>
              </w:rPr>
            </w:pPr>
            <w:r>
              <w:rPr>
                <w:rFonts w:cstheme="minorHAnsi"/>
                <w:sz w:val="18"/>
                <w:szCs w:val="18"/>
              </w:rPr>
              <w:t>SS316</w:t>
            </w:r>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5DD8CBE8">
            <w:pPr>
              <w:widowControl/>
              <w:spacing w:after="240"/>
              <w:jc w:val="center"/>
              <w:rPr>
                <w:rFonts w:cstheme="minorHAnsi"/>
                <w:sz w:val="18"/>
                <w:szCs w:val="18"/>
              </w:rPr>
            </w:pPr>
            <w:r>
              <w:rPr>
                <w:rFonts w:cstheme="minorHAnsi"/>
                <w:sz w:val="18"/>
                <w:szCs w:val="18"/>
              </w:rPr>
              <w:t>●</w:t>
            </w:r>
          </w:p>
        </w:tc>
        <w:tc>
          <w:tcPr>
            <w:tcW w:w="560" w:type="dxa"/>
            <w:tcBorders>
              <w:top w:val="single" w:color="auto" w:sz="4" w:space="0"/>
              <w:left w:val="single" w:color="auto" w:sz="4" w:space="0"/>
              <w:bottom w:val="single" w:color="auto" w:sz="4" w:space="0"/>
              <w:right w:val="single" w:color="auto" w:sz="4" w:space="0"/>
            </w:tcBorders>
            <w:shd w:val="clear" w:color="auto" w:fill="auto"/>
            <w:vAlign w:val="center"/>
          </w:tcPr>
          <w:p w14:paraId="61136E94">
            <w:pPr>
              <w:widowControl/>
              <w:spacing w:after="240"/>
              <w:jc w:val="center"/>
              <w:rPr>
                <w:rFonts w:cstheme="minorHAnsi"/>
                <w:sz w:val="18"/>
                <w:szCs w:val="18"/>
              </w:rPr>
            </w:pPr>
            <w:r>
              <w:rPr>
                <w:rFonts w:cstheme="minorHAnsi"/>
                <w:sz w:val="18"/>
                <w:szCs w:val="18"/>
              </w:rPr>
              <w:t>●</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18601CD">
            <w:pPr>
              <w:widowControl/>
              <w:spacing w:after="240"/>
              <w:jc w:val="center"/>
              <w:rPr>
                <w:rFonts w:cstheme="minorHAnsi"/>
                <w:sz w:val="18"/>
                <w:szCs w:val="18"/>
              </w:rPr>
            </w:pPr>
            <w:r>
              <w:rPr>
                <w:rFonts w:cstheme="minorHAnsi"/>
                <w:sz w:val="18"/>
                <w:szCs w:val="18"/>
              </w:rPr>
              <w:t>●</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4CFFEDBD">
            <w:pPr>
              <w:widowControl/>
              <w:spacing w:after="240"/>
              <w:jc w:val="center"/>
              <w:rPr>
                <w:rFonts w:cstheme="minorHAnsi"/>
                <w:sz w:val="18"/>
                <w:szCs w:val="18"/>
              </w:rPr>
            </w:pPr>
            <w:r>
              <w:rPr>
                <w:rFonts w:cstheme="minorHAnsi"/>
                <w:sz w:val="18"/>
                <w:szCs w:val="18"/>
              </w:rPr>
              <w:t>●</w:t>
            </w:r>
          </w:p>
        </w:tc>
      </w:tr>
      <w:tr w14:paraId="3EC7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2F2F2"/>
            <w:vAlign w:val="center"/>
          </w:tcPr>
          <w:p w14:paraId="4285C8D9">
            <w:pPr>
              <w:widowControl/>
              <w:spacing w:after="240"/>
              <w:jc w:val="center"/>
              <w:rPr>
                <w:rFonts w:cstheme="minorHAnsi"/>
                <w:sz w:val="18"/>
                <w:szCs w:val="18"/>
              </w:rPr>
            </w:pPr>
            <w:r>
              <w:rPr>
                <w:rFonts w:cstheme="minorHAnsi"/>
                <w:sz w:val="18"/>
                <w:szCs w:val="18"/>
              </w:rPr>
              <w:t>Code</w:t>
            </w:r>
          </w:p>
        </w:tc>
        <w:tc>
          <w:tcPr>
            <w:tcW w:w="6491" w:type="dxa"/>
            <w:tcBorders>
              <w:top w:val="single" w:color="auto" w:sz="4" w:space="0"/>
              <w:left w:val="single" w:color="auto" w:sz="4" w:space="0"/>
              <w:bottom w:val="single" w:color="auto" w:sz="4" w:space="0"/>
              <w:right w:val="single" w:color="auto" w:sz="4" w:space="0"/>
            </w:tcBorders>
            <w:shd w:val="clear" w:color="auto" w:fill="F2F2F2"/>
            <w:vAlign w:val="center"/>
          </w:tcPr>
          <w:p w14:paraId="21771536">
            <w:pPr>
              <w:widowControl/>
              <w:spacing w:after="240"/>
              <w:jc w:val="left"/>
              <w:rPr>
                <w:rFonts w:cstheme="minorHAnsi"/>
                <w:sz w:val="18"/>
                <w:szCs w:val="18"/>
              </w:rPr>
            </w:pPr>
            <w:r>
              <w:rPr>
                <w:rFonts w:cstheme="minorHAnsi"/>
                <w:sz w:val="18"/>
                <w:szCs w:val="18"/>
              </w:rPr>
              <w:t>Process connector</w:t>
            </w:r>
          </w:p>
        </w:tc>
        <w:tc>
          <w:tcPr>
            <w:tcW w:w="716" w:type="dxa"/>
            <w:tcBorders>
              <w:top w:val="single" w:color="auto" w:sz="4" w:space="0"/>
              <w:left w:val="single" w:color="auto" w:sz="4" w:space="0"/>
              <w:bottom w:val="single" w:color="auto" w:sz="4" w:space="0"/>
              <w:right w:val="single" w:color="auto" w:sz="4" w:space="0"/>
            </w:tcBorders>
            <w:shd w:val="clear" w:color="auto" w:fill="F2F2F2"/>
            <w:vAlign w:val="center"/>
          </w:tcPr>
          <w:p w14:paraId="70758411">
            <w:pPr>
              <w:widowControl/>
              <w:spacing w:after="240"/>
              <w:jc w:val="center"/>
              <w:rPr>
                <w:rFonts w:cstheme="minorHAnsi"/>
                <w:sz w:val="18"/>
                <w:szCs w:val="18"/>
              </w:rPr>
            </w:pPr>
            <w:r>
              <w:rPr>
                <w:rFonts w:cstheme="minorHAnsi"/>
                <w:sz w:val="18"/>
                <w:szCs w:val="18"/>
              </w:rPr>
              <w:t>SG</w:t>
            </w:r>
          </w:p>
        </w:tc>
        <w:tc>
          <w:tcPr>
            <w:tcW w:w="560" w:type="dxa"/>
            <w:tcBorders>
              <w:top w:val="single" w:color="auto" w:sz="4" w:space="0"/>
              <w:left w:val="single" w:color="auto" w:sz="4" w:space="0"/>
              <w:bottom w:val="single" w:color="auto" w:sz="4" w:space="0"/>
              <w:right w:val="single" w:color="auto" w:sz="4" w:space="0"/>
            </w:tcBorders>
            <w:shd w:val="clear" w:color="auto" w:fill="F2F2F2"/>
            <w:vAlign w:val="center"/>
          </w:tcPr>
          <w:p w14:paraId="67587D01">
            <w:pPr>
              <w:widowControl/>
              <w:spacing w:after="240"/>
              <w:jc w:val="center"/>
              <w:rPr>
                <w:rFonts w:cstheme="minorHAnsi"/>
                <w:sz w:val="18"/>
                <w:szCs w:val="18"/>
              </w:rPr>
            </w:pPr>
            <w:r>
              <w:rPr>
                <w:rFonts w:cstheme="minorHAnsi"/>
                <w:sz w:val="18"/>
                <w:szCs w:val="18"/>
              </w:rPr>
              <w:t>SA</w:t>
            </w:r>
          </w:p>
        </w:tc>
        <w:tc>
          <w:tcPr>
            <w:tcW w:w="708" w:type="dxa"/>
            <w:tcBorders>
              <w:top w:val="single" w:color="auto" w:sz="4" w:space="0"/>
              <w:left w:val="single" w:color="auto" w:sz="4" w:space="0"/>
              <w:bottom w:val="single" w:color="auto" w:sz="4" w:space="0"/>
              <w:right w:val="single" w:color="auto" w:sz="4" w:space="0"/>
            </w:tcBorders>
            <w:shd w:val="clear" w:color="auto" w:fill="F2F2F2"/>
            <w:vAlign w:val="center"/>
          </w:tcPr>
          <w:p w14:paraId="48C080E1">
            <w:pPr>
              <w:widowControl/>
              <w:spacing w:after="240"/>
              <w:jc w:val="center"/>
              <w:rPr>
                <w:rFonts w:cstheme="minorHAnsi"/>
                <w:sz w:val="18"/>
                <w:szCs w:val="18"/>
              </w:rPr>
            </w:pPr>
            <w:r>
              <w:rPr>
                <w:rFonts w:cstheme="minorHAnsi"/>
                <w:sz w:val="18"/>
                <w:szCs w:val="18"/>
              </w:rPr>
              <w:t>SD</w:t>
            </w:r>
          </w:p>
        </w:tc>
        <w:tc>
          <w:tcPr>
            <w:tcW w:w="675" w:type="dxa"/>
            <w:tcBorders>
              <w:top w:val="single" w:color="auto" w:sz="4" w:space="0"/>
              <w:left w:val="single" w:color="auto" w:sz="4" w:space="0"/>
              <w:bottom w:val="single" w:color="auto" w:sz="4" w:space="0"/>
              <w:right w:val="single" w:color="auto" w:sz="4" w:space="0"/>
            </w:tcBorders>
            <w:shd w:val="clear" w:color="auto" w:fill="F2F2F2"/>
            <w:vAlign w:val="center"/>
          </w:tcPr>
          <w:p w14:paraId="1C1D18B3">
            <w:pPr>
              <w:widowControl/>
              <w:spacing w:after="240"/>
              <w:jc w:val="center"/>
              <w:rPr>
                <w:rFonts w:cstheme="minorHAnsi"/>
                <w:sz w:val="18"/>
                <w:szCs w:val="18"/>
              </w:rPr>
            </w:pPr>
            <w:r>
              <w:rPr>
                <w:rFonts w:cstheme="minorHAnsi"/>
                <w:sz w:val="18"/>
                <w:szCs w:val="18"/>
              </w:rPr>
              <w:t>S</w:t>
            </w:r>
            <w:r>
              <w:rPr>
                <w:rFonts w:hint="eastAsia" w:cstheme="minorHAnsi"/>
                <w:sz w:val="18"/>
                <w:szCs w:val="18"/>
              </w:rPr>
              <w:t>H</w:t>
            </w:r>
          </w:p>
        </w:tc>
      </w:tr>
      <w:tr w14:paraId="5221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nil"/>
              <w:right w:val="single" w:color="auto" w:sz="4" w:space="0"/>
            </w:tcBorders>
            <w:vAlign w:val="center"/>
          </w:tcPr>
          <w:p w14:paraId="18522095">
            <w:pPr>
              <w:widowControl/>
              <w:spacing w:after="240"/>
              <w:jc w:val="center"/>
              <w:rPr>
                <w:rFonts w:cstheme="minorHAnsi"/>
                <w:sz w:val="18"/>
                <w:szCs w:val="18"/>
              </w:rPr>
            </w:pPr>
            <w:bookmarkStart w:id="242" w:name="OLE_LINK8"/>
            <w:bookmarkStart w:id="243" w:name="OLE_LINK7"/>
            <w:r>
              <w:rPr>
                <w:rFonts w:cstheme="minorHAnsi"/>
                <w:sz w:val="18"/>
                <w:szCs w:val="18"/>
              </w:rPr>
              <w:t>D</w:t>
            </w:r>
            <w:r>
              <w:rPr>
                <w:rFonts w:cstheme="minorHAnsi"/>
                <w:sz w:val="18"/>
                <w:szCs w:val="18"/>
                <w:vertAlign w:val="subscript"/>
              </w:rPr>
              <w:t>42</w:t>
            </w:r>
            <w:bookmarkEnd w:id="242"/>
            <w:bookmarkEnd w:id="243"/>
          </w:p>
        </w:tc>
        <w:tc>
          <w:tcPr>
            <w:tcW w:w="6491" w:type="dxa"/>
            <w:tcBorders>
              <w:top w:val="single" w:color="auto" w:sz="4" w:space="0"/>
              <w:left w:val="single" w:color="auto" w:sz="4" w:space="0"/>
              <w:bottom w:val="nil"/>
              <w:right w:val="single" w:color="auto" w:sz="4" w:space="0"/>
            </w:tcBorders>
            <w:vAlign w:val="center"/>
          </w:tcPr>
          <w:p w14:paraId="21B8BF22">
            <w:pPr>
              <w:widowControl/>
              <w:spacing w:after="240"/>
              <w:jc w:val="left"/>
              <w:rPr>
                <w:rFonts w:cstheme="minorHAnsi"/>
                <w:sz w:val="18"/>
                <w:szCs w:val="18"/>
              </w:rPr>
            </w:pPr>
            <w:r>
              <w:rPr>
                <w:rFonts w:cstheme="minorHAnsi"/>
                <w:sz w:val="18"/>
                <w:szCs w:val="18"/>
              </w:rPr>
              <w:t xml:space="preserve">SS316 </w:t>
            </w:r>
          </w:p>
        </w:tc>
        <w:tc>
          <w:tcPr>
            <w:tcW w:w="716" w:type="dxa"/>
            <w:tcBorders>
              <w:top w:val="single" w:color="auto" w:sz="4" w:space="0"/>
              <w:left w:val="single" w:color="auto" w:sz="4" w:space="0"/>
              <w:bottom w:val="nil"/>
              <w:right w:val="single" w:color="auto" w:sz="4" w:space="0"/>
            </w:tcBorders>
            <w:vAlign w:val="center"/>
          </w:tcPr>
          <w:p w14:paraId="47894E5F">
            <w:pPr>
              <w:widowControl/>
              <w:spacing w:after="240"/>
              <w:jc w:val="center"/>
              <w:rPr>
                <w:rFonts w:cstheme="minorHAnsi"/>
                <w:sz w:val="18"/>
                <w:szCs w:val="18"/>
              </w:rPr>
            </w:pPr>
            <w:r>
              <w:rPr>
                <w:rFonts w:cstheme="minorHAnsi"/>
                <w:sz w:val="18"/>
                <w:szCs w:val="18"/>
              </w:rPr>
              <w:t>●</w:t>
            </w:r>
          </w:p>
        </w:tc>
        <w:tc>
          <w:tcPr>
            <w:tcW w:w="560" w:type="dxa"/>
            <w:tcBorders>
              <w:top w:val="single" w:color="auto" w:sz="4" w:space="0"/>
              <w:left w:val="single" w:color="auto" w:sz="4" w:space="0"/>
              <w:bottom w:val="nil"/>
              <w:right w:val="single" w:color="auto" w:sz="4" w:space="0"/>
            </w:tcBorders>
            <w:vAlign w:val="center"/>
          </w:tcPr>
          <w:p w14:paraId="7990763D">
            <w:pPr>
              <w:widowControl/>
              <w:spacing w:after="240"/>
              <w:jc w:val="center"/>
              <w:rPr>
                <w:rFonts w:cstheme="minorHAnsi"/>
                <w:sz w:val="18"/>
                <w:szCs w:val="18"/>
              </w:rPr>
            </w:pPr>
            <w:r>
              <w:rPr>
                <w:rFonts w:cstheme="minorHAnsi"/>
                <w:sz w:val="18"/>
                <w:szCs w:val="18"/>
              </w:rPr>
              <w:t>●</w:t>
            </w:r>
          </w:p>
        </w:tc>
        <w:tc>
          <w:tcPr>
            <w:tcW w:w="708" w:type="dxa"/>
            <w:tcBorders>
              <w:top w:val="single" w:color="auto" w:sz="4" w:space="0"/>
              <w:left w:val="single" w:color="auto" w:sz="4" w:space="0"/>
              <w:bottom w:val="nil"/>
              <w:right w:val="single" w:color="auto" w:sz="4" w:space="0"/>
            </w:tcBorders>
            <w:vAlign w:val="center"/>
          </w:tcPr>
          <w:p w14:paraId="3614F94C">
            <w:pPr>
              <w:widowControl/>
              <w:spacing w:after="240"/>
              <w:jc w:val="center"/>
              <w:rPr>
                <w:rFonts w:cstheme="minorHAnsi"/>
                <w:sz w:val="18"/>
                <w:szCs w:val="18"/>
              </w:rPr>
            </w:pPr>
            <w:r>
              <w:rPr>
                <w:rFonts w:cstheme="minorHAnsi"/>
                <w:sz w:val="18"/>
                <w:szCs w:val="18"/>
              </w:rPr>
              <w:t>●</w:t>
            </w:r>
          </w:p>
        </w:tc>
        <w:tc>
          <w:tcPr>
            <w:tcW w:w="675" w:type="dxa"/>
            <w:tcBorders>
              <w:top w:val="single" w:color="auto" w:sz="4" w:space="0"/>
              <w:left w:val="single" w:color="auto" w:sz="4" w:space="0"/>
              <w:bottom w:val="nil"/>
              <w:right w:val="single" w:color="auto" w:sz="4" w:space="0"/>
            </w:tcBorders>
            <w:vAlign w:val="center"/>
          </w:tcPr>
          <w:p w14:paraId="5DACAB41">
            <w:pPr>
              <w:widowControl/>
              <w:spacing w:after="240"/>
              <w:jc w:val="center"/>
              <w:rPr>
                <w:rFonts w:cstheme="minorHAnsi"/>
                <w:sz w:val="18"/>
                <w:szCs w:val="18"/>
              </w:rPr>
            </w:pPr>
            <w:r>
              <w:rPr>
                <w:rFonts w:cstheme="minorHAnsi"/>
                <w:sz w:val="18"/>
                <w:szCs w:val="18"/>
              </w:rPr>
              <w:t>●</w:t>
            </w:r>
          </w:p>
        </w:tc>
      </w:tr>
      <w:tr w14:paraId="7687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nil"/>
              <w:right w:val="single" w:color="auto" w:sz="4" w:space="0"/>
            </w:tcBorders>
            <w:vAlign w:val="center"/>
          </w:tcPr>
          <w:p w14:paraId="69AD8029">
            <w:pPr>
              <w:widowControl/>
              <w:spacing w:after="240"/>
              <w:jc w:val="center"/>
              <w:rPr>
                <w:rFonts w:cstheme="minorHAnsi"/>
                <w:sz w:val="18"/>
                <w:szCs w:val="18"/>
              </w:rPr>
            </w:pPr>
            <w:r>
              <w:rPr>
                <w:rFonts w:cstheme="minorHAnsi"/>
                <w:sz w:val="18"/>
                <w:szCs w:val="18"/>
              </w:rPr>
              <w:t>D</w:t>
            </w:r>
            <w:r>
              <w:rPr>
                <w:rFonts w:cstheme="minorHAnsi"/>
                <w:sz w:val="18"/>
                <w:szCs w:val="18"/>
                <w:vertAlign w:val="subscript"/>
              </w:rPr>
              <w:t>44</w:t>
            </w:r>
          </w:p>
        </w:tc>
        <w:tc>
          <w:tcPr>
            <w:tcW w:w="6491" w:type="dxa"/>
            <w:tcBorders>
              <w:top w:val="single" w:color="auto" w:sz="4" w:space="0"/>
              <w:left w:val="single" w:color="auto" w:sz="4" w:space="0"/>
              <w:bottom w:val="nil"/>
              <w:right w:val="single" w:color="auto" w:sz="4" w:space="0"/>
            </w:tcBorders>
            <w:vAlign w:val="center"/>
          </w:tcPr>
          <w:p w14:paraId="401A8674">
            <w:pPr>
              <w:widowControl/>
              <w:spacing w:after="240"/>
              <w:jc w:val="left"/>
              <w:rPr>
                <w:rFonts w:cstheme="minorHAnsi"/>
                <w:sz w:val="18"/>
                <w:szCs w:val="18"/>
              </w:rPr>
            </w:pPr>
            <w:r>
              <w:rPr>
                <w:rFonts w:cstheme="minorHAnsi"/>
                <w:sz w:val="18"/>
                <w:szCs w:val="18"/>
              </w:rPr>
              <w:t>SS304</w:t>
            </w:r>
          </w:p>
        </w:tc>
        <w:tc>
          <w:tcPr>
            <w:tcW w:w="716" w:type="dxa"/>
            <w:tcBorders>
              <w:top w:val="single" w:color="auto" w:sz="4" w:space="0"/>
              <w:left w:val="single" w:color="auto" w:sz="4" w:space="0"/>
              <w:bottom w:val="nil"/>
              <w:right w:val="single" w:color="auto" w:sz="4" w:space="0"/>
            </w:tcBorders>
            <w:vAlign w:val="center"/>
          </w:tcPr>
          <w:p w14:paraId="54A4D6A6">
            <w:pPr>
              <w:widowControl/>
              <w:spacing w:after="240"/>
              <w:jc w:val="center"/>
              <w:rPr>
                <w:rFonts w:cstheme="minorHAnsi"/>
                <w:sz w:val="18"/>
                <w:szCs w:val="18"/>
              </w:rPr>
            </w:pPr>
            <w:r>
              <w:rPr>
                <w:rFonts w:cstheme="minorHAnsi"/>
                <w:sz w:val="18"/>
                <w:szCs w:val="18"/>
              </w:rPr>
              <w:t>●</w:t>
            </w:r>
          </w:p>
        </w:tc>
        <w:tc>
          <w:tcPr>
            <w:tcW w:w="560" w:type="dxa"/>
            <w:tcBorders>
              <w:top w:val="single" w:color="auto" w:sz="4" w:space="0"/>
              <w:left w:val="single" w:color="auto" w:sz="4" w:space="0"/>
              <w:bottom w:val="nil"/>
              <w:right w:val="single" w:color="auto" w:sz="4" w:space="0"/>
            </w:tcBorders>
            <w:vAlign w:val="center"/>
          </w:tcPr>
          <w:p w14:paraId="52CB7538">
            <w:pPr>
              <w:widowControl/>
              <w:spacing w:after="240"/>
              <w:jc w:val="center"/>
              <w:rPr>
                <w:rFonts w:cstheme="minorHAnsi"/>
                <w:sz w:val="18"/>
                <w:szCs w:val="18"/>
              </w:rPr>
            </w:pPr>
            <w:r>
              <w:rPr>
                <w:rFonts w:cstheme="minorHAnsi"/>
                <w:sz w:val="18"/>
                <w:szCs w:val="18"/>
              </w:rPr>
              <w:t>●</w:t>
            </w:r>
          </w:p>
        </w:tc>
        <w:tc>
          <w:tcPr>
            <w:tcW w:w="708" w:type="dxa"/>
            <w:tcBorders>
              <w:top w:val="single" w:color="auto" w:sz="4" w:space="0"/>
              <w:left w:val="single" w:color="auto" w:sz="4" w:space="0"/>
              <w:bottom w:val="nil"/>
              <w:right w:val="single" w:color="auto" w:sz="4" w:space="0"/>
            </w:tcBorders>
            <w:vAlign w:val="center"/>
          </w:tcPr>
          <w:p w14:paraId="625CDA28">
            <w:pPr>
              <w:widowControl/>
              <w:spacing w:after="240"/>
              <w:jc w:val="center"/>
              <w:rPr>
                <w:rFonts w:cstheme="minorHAnsi"/>
                <w:sz w:val="18"/>
                <w:szCs w:val="18"/>
              </w:rPr>
            </w:pPr>
            <w:r>
              <w:rPr>
                <w:rFonts w:cstheme="minorHAnsi"/>
                <w:sz w:val="18"/>
                <w:szCs w:val="18"/>
              </w:rPr>
              <w:t>●</w:t>
            </w:r>
          </w:p>
        </w:tc>
        <w:tc>
          <w:tcPr>
            <w:tcW w:w="675" w:type="dxa"/>
            <w:tcBorders>
              <w:top w:val="single" w:color="auto" w:sz="4" w:space="0"/>
              <w:left w:val="single" w:color="auto" w:sz="4" w:space="0"/>
              <w:bottom w:val="nil"/>
              <w:right w:val="single" w:color="auto" w:sz="4" w:space="0"/>
            </w:tcBorders>
            <w:vAlign w:val="center"/>
          </w:tcPr>
          <w:p w14:paraId="1F2A1131">
            <w:pPr>
              <w:widowControl/>
              <w:spacing w:after="240"/>
              <w:jc w:val="center"/>
              <w:rPr>
                <w:rFonts w:cstheme="minorHAnsi"/>
                <w:sz w:val="18"/>
                <w:szCs w:val="18"/>
              </w:rPr>
            </w:pPr>
            <w:r>
              <w:rPr>
                <w:rFonts w:cstheme="minorHAnsi"/>
                <w:sz w:val="18"/>
                <w:szCs w:val="18"/>
              </w:rPr>
              <w:t>●</w:t>
            </w:r>
          </w:p>
        </w:tc>
      </w:tr>
      <w:tr w14:paraId="5455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2F2F2"/>
            <w:vAlign w:val="center"/>
          </w:tcPr>
          <w:p w14:paraId="3A5F8DD6">
            <w:pPr>
              <w:widowControl/>
              <w:spacing w:after="240"/>
              <w:jc w:val="center"/>
              <w:rPr>
                <w:rFonts w:cstheme="minorHAnsi"/>
                <w:sz w:val="18"/>
                <w:szCs w:val="18"/>
              </w:rPr>
            </w:pPr>
            <w:r>
              <w:rPr>
                <w:rFonts w:cstheme="minorHAnsi"/>
                <w:sz w:val="18"/>
                <w:szCs w:val="18"/>
              </w:rPr>
              <w:t>Code</w:t>
            </w:r>
          </w:p>
        </w:tc>
        <w:tc>
          <w:tcPr>
            <w:tcW w:w="6491" w:type="dxa"/>
            <w:tcBorders>
              <w:top w:val="single" w:color="auto" w:sz="4" w:space="0"/>
              <w:left w:val="single" w:color="auto" w:sz="4" w:space="0"/>
              <w:bottom w:val="single" w:color="auto" w:sz="4" w:space="0"/>
              <w:right w:val="single" w:color="auto" w:sz="4" w:space="0"/>
            </w:tcBorders>
            <w:shd w:val="clear" w:color="auto" w:fill="F2F2F2"/>
            <w:vAlign w:val="center"/>
          </w:tcPr>
          <w:p w14:paraId="7ED11B96">
            <w:pPr>
              <w:widowControl/>
              <w:spacing w:after="240"/>
              <w:jc w:val="left"/>
              <w:rPr>
                <w:rFonts w:cstheme="minorHAnsi"/>
                <w:sz w:val="18"/>
                <w:szCs w:val="18"/>
              </w:rPr>
            </w:pPr>
            <w:r>
              <w:rPr>
                <w:rFonts w:cstheme="minorHAnsi"/>
                <w:sz w:val="18"/>
                <w:szCs w:val="18"/>
              </w:rPr>
              <w:t xml:space="preserve">Pressure joint </w:t>
            </w:r>
          </w:p>
        </w:tc>
        <w:tc>
          <w:tcPr>
            <w:tcW w:w="716" w:type="dxa"/>
            <w:tcBorders>
              <w:top w:val="single" w:color="auto" w:sz="4" w:space="0"/>
              <w:left w:val="single" w:color="auto" w:sz="4" w:space="0"/>
              <w:bottom w:val="single" w:color="auto" w:sz="4" w:space="0"/>
              <w:right w:val="single" w:color="auto" w:sz="4" w:space="0"/>
            </w:tcBorders>
            <w:shd w:val="clear" w:color="auto" w:fill="F2F2F2"/>
            <w:vAlign w:val="center"/>
          </w:tcPr>
          <w:p w14:paraId="371C4952">
            <w:pPr>
              <w:widowControl/>
              <w:spacing w:after="240"/>
              <w:jc w:val="center"/>
              <w:rPr>
                <w:rFonts w:cstheme="minorHAnsi"/>
                <w:sz w:val="18"/>
                <w:szCs w:val="18"/>
              </w:rPr>
            </w:pPr>
            <w:r>
              <w:rPr>
                <w:rFonts w:cstheme="minorHAnsi"/>
                <w:sz w:val="18"/>
                <w:szCs w:val="18"/>
              </w:rPr>
              <w:t>SG</w:t>
            </w:r>
          </w:p>
        </w:tc>
        <w:tc>
          <w:tcPr>
            <w:tcW w:w="560" w:type="dxa"/>
            <w:tcBorders>
              <w:top w:val="single" w:color="auto" w:sz="4" w:space="0"/>
              <w:left w:val="single" w:color="auto" w:sz="4" w:space="0"/>
              <w:bottom w:val="single" w:color="auto" w:sz="4" w:space="0"/>
              <w:right w:val="single" w:color="auto" w:sz="4" w:space="0"/>
            </w:tcBorders>
            <w:shd w:val="clear" w:color="auto" w:fill="F2F2F2"/>
            <w:vAlign w:val="center"/>
          </w:tcPr>
          <w:p w14:paraId="5335A422">
            <w:pPr>
              <w:widowControl/>
              <w:spacing w:after="240"/>
              <w:jc w:val="center"/>
              <w:rPr>
                <w:rFonts w:cstheme="minorHAnsi"/>
                <w:sz w:val="18"/>
                <w:szCs w:val="18"/>
              </w:rPr>
            </w:pPr>
            <w:r>
              <w:rPr>
                <w:rFonts w:cstheme="minorHAnsi"/>
                <w:sz w:val="18"/>
                <w:szCs w:val="18"/>
              </w:rPr>
              <w:t>SA</w:t>
            </w:r>
          </w:p>
        </w:tc>
        <w:tc>
          <w:tcPr>
            <w:tcW w:w="708" w:type="dxa"/>
            <w:tcBorders>
              <w:top w:val="single" w:color="auto" w:sz="4" w:space="0"/>
              <w:left w:val="single" w:color="auto" w:sz="4" w:space="0"/>
              <w:bottom w:val="single" w:color="auto" w:sz="4" w:space="0"/>
              <w:right w:val="single" w:color="auto" w:sz="4" w:space="0"/>
            </w:tcBorders>
            <w:shd w:val="clear" w:color="auto" w:fill="F2F2F2"/>
            <w:vAlign w:val="center"/>
          </w:tcPr>
          <w:p w14:paraId="4BE681EB">
            <w:pPr>
              <w:widowControl/>
              <w:spacing w:after="240"/>
              <w:jc w:val="center"/>
              <w:rPr>
                <w:rFonts w:cstheme="minorHAnsi"/>
                <w:sz w:val="18"/>
                <w:szCs w:val="18"/>
              </w:rPr>
            </w:pPr>
            <w:r>
              <w:rPr>
                <w:rFonts w:cstheme="minorHAnsi"/>
                <w:sz w:val="18"/>
                <w:szCs w:val="18"/>
              </w:rPr>
              <w:t>SD</w:t>
            </w:r>
          </w:p>
        </w:tc>
        <w:tc>
          <w:tcPr>
            <w:tcW w:w="675" w:type="dxa"/>
            <w:tcBorders>
              <w:top w:val="single" w:color="auto" w:sz="4" w:space="0"/>
              <w:left w:val="single" w:color="auto" w:sz="4" w:space="0"/>
              <w:bottom w:val="single" w:color="auto" w:sz="4" w:space="0"/>
              <w:right w:val="single" w:color="auto" w:sz="4" w:space="0"/>
            </w:tcBorders>
            <w:shd w:val="clear" w:color="auto" w:fill="F2F2F2"/>
            <w:vAlign w:val="center"/>
          </w:tcPr>
          <w:p w14:paraId="6512FED8">
            <w:pPr>
              <w:widowControl/>
              <w:spacing w:after="240"/>
              <w:jc w:val="center"/>
              <w:rPr>
                <w:rFonts w:cstheme="minorHAnsi"/>
                <w:sz w:val="18"/>
                <w:szCs w:val="18"/>
              </w:rPr>
            </w:pPr>
            <w:r>
              <w:rPr>
                <w:rFonts w:cstheme="minorHAnsi"/>
                <w:sz w:val="18"/>
                <w:szCs w:val="18"/>
              </w:rPr>
              <w:t>S</w:t>
            </w:r>
            <w:r>
              <w:rPr>
                <w:rFonts w:hint="eastAsia" w:cstheme="minorHAnsi"/>
                <w:sz w:val="18"/>
                <w:szCs w:val="18"/>
              </w:rPr>
              <w:t>H</w:t>
            </w:r>
          </w:p>
        </w:tc>
      </w:tr>
      <w:tr w14:paraId="0ADC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73DB46B3">
            <w:pPr>
              <w:widowControl/>
              <w:spacing w:after="240"/>
              <w:jc w:val="center"/>
              <w:rPr>
                <w:rFonts w:cstheme="minorHAnsi"/>
                <w:sz w:val="18"/>
                <w:szCs w:val="18"/>
              </w:rPr>
            </w:pPr>
            <w:r>
              <w:rPr>
                <w:rFonts w:cstheme="minorHAnsi"/>
                <w:sz w:val="18"/>
                <w:szCs w:val="18"/>
              </w:rPr>
              <w:t>C</w:t>
            </w:r>
            <w:r>
              <w:rPr>
                <w:rFonts w:cstheme="minorHAnsi"/>
                <w:sz w:val="18"/>
                <w:szCs w:val="18"/>
                <w:vertAlign w:val="subscript"/>
              </w:rPr>
              <w:t>10</w:t>
            </w:r>
          </w:p>
        </w:tc>
        <w:tc>
          <w:tcPr>
            <w:tcW w:w="6491" w:type="dxa"/>
            <w:tcBorders>
              <w:top w:val="nil"/>
              <w:left w:val="single" w:color="auto" w:sz="4" w:space="0"/>
              <w:bottom w:val="nil"/>
              <w:right w:val="single" w:color="auto" w:sz="4" w:space="0"/>
            </w:tcBorders>
            <w:vAlign w:val="center"/>
          </w:tcPr>
          <w:p w14:paraId="3E342A3A">
            <w:pPr>
              <w:widowControl/>
              <w:spacing w:after="240"/>
              <w:jc w:val="left"/>
              <w:rPr>
                <w:rFonts w:cstheme="minorHAnsi"/>
                <w:sz w:val="18"/>
                <w:szCs w:val="18"/>
              </w:rPr>
            </w:pPr>
            <w:r>
              <w:rPr>
                <w:rFonts w:cstheme="minorHAnsi"/>
                <w:sz w:val="18"/>
                <w:szCs w:val="18"/>
              </w:rPr>
              <w:t>1/4—18NPT, OD ferrule joint</w:t>
            </w:r>
          </w:p>
        </w:tc>
        <w:tc>
          <w:tcPr>
            <w:tcW w:w="716" w:type="dxa"/>
            <w:tcBorders>
              <w:top w:val="nil"/>
              <w:left w:val="single" w:color="auto" w:sz="4" w:space="0"/>
              <w:bottom w:val="nil"/>
              <w:right w:val="single" w:color="auto" w:sz="4" w:space="0"/>
            </w:tcBorders>
            <w:vAlign w:val="center"/>
          </w:tcPr>
          <w:p w14:paraId="7244CDCE">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549856C3">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73456BA6">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493FC653">
            <w:pPr>
              <w:widowControl/>
              <w:spacing w:after="240"/>
              <w:jc w:val="center"/>
              <w:rPr>
                <w:rFonts w:cstheme="minorHAnsi"/>
                <w:sz w:val="18"/>
                <w:szCs w:val="18"/>
              </w:rPr>
            </w:pPr>
            <w:r>
              <w:rPr>
                <w:rFonts w:cstheme="minorHAnsi"/>
                <w:sz w:val="18"/>
                <w:szCs w:val="18"/>
              </w:rPr>
              <w:t>●</w:t>
            </w:r>
          </w:p>
        </w:tc>
      </w:tr>
      <w:tr w14:paraId="67CC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567224D0">
            <w:pPr>
              <w:widowControl/>
              <w:spacing w:after="240"/>
              <w:jc w:val="center"/>
              <w:rPr>
                <w:rFonts w:cstheme="minorHAnsi"/>
                <w:sz w:val="18"/>
                <w:szCs w:val="18"/>
              </w:rPr>
            </w:pPr>
            <w:r>
              <w:rPr>
                <w:rFonts w:cstheme="minorHAnsi"/>
                <w:sz w:val="18"/>
                <w:szCs w:val="18"/>
              </w:rPr>
              <w:t>C</w:t>
            </w:r>
            <w:r>
              <w:rPr>
                <w:rFonts w:cstheme="minorHAnsi"/>
                <w:sz w:val="18"/>
                <w:szCs w:val="18"/>
                <w:vertAlign w:val="subscript"/>
              </w:rPr>
              <w:t>11</w:t>
            </w:r>
          </w:p>
        </w:tc>
        <w:tc>
          <w:tcPr>
            <w:tcW w:w="6491" w:type="dxa"/>
            <w:tcBorders>
              <w:top w:val="nil"/>
              <w:left w:val="single" w:color="auto" w:sz="4" w:space="0"/>
              <w:bottom w:val="nil"/>
              <w:right w:val="single" w:color="auto" w:sz="4" w:space="0"/>
            </w:tcBorders>
            <w:vAlign w:val="center"/>
          </w:tcPr>
          <w:p w14:paraId="73FB2F94">
            <w:pPr>
              <w:widowControl/>
              <w:spacing w:after="240"/>
              <w:jc w:val="left"/>
              <w:rPr>
                <w:rFonts w:cstheme="minorHAnsi"/>
                <w:sz w:val="18"/>
                <w:szCs w:val="18"/>
              </w:rPr>
            </w:pPr>
            <w:r>
              <w:rPr>
                <w:rFonts w:cstheme="minorHAnsi"/>
                <w:sz w:val="18"/>
                <w:szCs w:val="18"/>
              </w:rPr>
              <w:t>External thread transfer welding union, φ14*2/φ14*2 welded short tube (06Cr19Ni10)</w:t>
            </w:r>
          </w:p>
        </w:tc>
        <w:tc>
          <w:tcPr>
            <w:tcW w:w="716" w:type="dxa"/>
            <w:tcBorders>
              <w:top w:val="nil"/>
              <w:left w:val="single" w:color="auto" w:sz="4" w:space="0"/>
              <w:bottom w:val="nil"/>
              <w:right w:val="single" w:color="auto" w:sz="4" w:space="0"/>
            </w:tcBorders>
            <w:vAlign w:val="center"/>
          </w:tcPr>
          <w:p w14:paraId="065D2FD0">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3FFFF988">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5A14AE5F">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667255CA">
            <w:pPr>
              <w:widowControl/>
              <w:spacing w:after="240"/>
              <w:jc w:val="center"/>
              <w:rPr>
                <w:rFonts w:cstheme="minorHAnsi"/>
                <w:sz w:val="18"/>
                <w:szCs w:val="18"/>
              </w:rPr>
            </w:pPr>
            <w:r>
              <w:rPr>
                <w:rFonts w:cstheme="minorHAnsi"/>
                <w:sz w:val="18"/>
                <w:szCs w:val="18"/>
              </w:rPr>
              <w:t>●</w:t>
            </w:r>
          </w:p>
        </w:tc>
      </w:tr>
      <w:tr w14:paraId="5114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2BC6DAAB">
            <w:pPr>
              <w:widowControl/>
              <w:spacing w:after="240"/>
              <w:jc w:val="center"/>
              <w:rPr>
                <w:rFonts w:cstheme="minorHAnsi"/>
                <w:sz w:val="18"/>
                <w:szCs w:val="18"/>
              </w:rPr>
            </w:pPr>
            <w:r>
              <w:rPr>
                <w:rFonts w:cstheme="minorHAnsi"/>
                <w:sz w:val="18"/>
                <w:szCs w:val="18"/>
              </w:rPr>
              <w:t>C</w:t>
            </w:r>
            <w:r>
              <w:rPr>
                <w:rFonts w:cstheme="minorHAnsi"/>
                <w:sz w:val="18"/>
                <w:szCs w:val="18"/>
                <w:vertAlign w:val="subscript"/>
              </w:rPr>
              <w:t>12</w:t>
            </w:r>
          </w:p>
        </w:tc>
        <w:tc>
          <w:tcPr>
            <w:tcW w:w="6491" w:type="dxa"/>
            <w:tcBorders>
              <w:top w:val="nil"/>
              <w:left w:val="single" w:color="auto" w:sz="4" w:space="0"/>
              <w:bottom w:val="nil"/>
              <w:right w:val="single" w:color="auto" w:sz="4" w:space="0"/>
            </w:tcBorders>
            <w:vAlign w:val="center"/>
          </w:tcPr>
          <w:p w14:paraId="06BFAA8A">
            <w:pPr>
              <w:widowControl/>
              <w:spacing w:after="240"/>
              <w:jc w:val="left"/>
              <w:rPr>
                <w:rFonts w:cstheme="minorHAnsi"/>
                <w:sz w:val="18"/>
                <w:szCs w:val="18"/>
              </w:rPr>
            </w:pPr>
            <w:r>
              <w:rPr>
                <w:rFonts w:cstheme="minorHAnsi"/>
                <w:sz w:val="18"/>
                <w:szCs w:val="18"/>
              </w:rPr>
              <w:t>With external thread transfer welding union and Ф14×2/Ф14×2 welded short pipe (SS2205 duplex stainless steel)</w:t>
            </w:r>
          </w:p>
        </w:tc>
        <w:tc>
          <w:tcPr>
            <w:tcW w:w="716" w:type="dxa"/>
            <w:tcBorders>
              <w:top w:val="nil"/>
              <w:left w:val="single" w:color="auto" w:sz="4" w:space="0"/>
              <w:bottom w:val="nil"/>
              <w:right w:val="single" w:color="auto" w:sz="4" w:space="0"/>
            </w:tcBorders>
            <w:vAlign w:val="center"/>
          </w:tcPr>
          <w:p w14:paraId="01FE3080">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0F97531A">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3B5BD38E">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4CCFC786">
            <w:pPr>
              <w:widowControl/>
              <w:spacing w:after="240"/>
              <w:jc w:val="center"/>
              <w:rPr>
                <w:rFonts w:cstheme="minorHAnsi"/>
                <w:sz w:val="18"/>
                <w:szCs w:val="18"/>
              </w:rPr>
            </w:pPr>
            <w:r>
              <w:rPr>
                <w:rFonts w:cstheme="minorHAnsi"/>
                <w:sz w:val="18"/>
                <w:szCs w:val="18"/>
              </w:rPr>
              <w:t>●</w:t>
            </w:r>
          </w:p>
        </w:tc>
      </w:tr>
      <w:tr w14:paraId="4A9F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1C30B243">
            <w:pPr>
              <w:widowControl/>
              <w:spacing w:after="240"/>
              <w:jc w:val="center"/>
              <w:rPr>
                <w:rFonts w:cstheme="minorHAnsi"/>
                <w:sz w:val="18"/>
                <w:szCs w:val="18"/>
              </w:rPr>
            </w:pPr>
            <w:r>
              <w:rPr>
                <w:rFonts w:cstheme="minorHAnsi"/>
                <w:sz w:val="18"/>
                <w:szCs w:val="18"/>
              </w:rPr>
              <w:t>C</w:t>
            </w:r>
            <w:r>
              <w:rPr>
                <w:rFonts w:cstheme="minorHAnsi"/>
                <w:sz w:val="18"/>
                <w:szCs w:val="18"/>
                <w:vertAlign w:val="subscript"/>
              </w:rPr>
              <w:t>22</w:t>
            </w:r>
          </w:p>
        </w:tc>
        <w:tc>
          <w:tcPr>
            <w:tcW w:w="6491" w:type="dxa"/>
            <w:tcBorders>
              <w:top w:val="nil"/>
              <w:left w:val="single" w:color="auto" w:sz="4" w:space="0"/>
              <w:bottom w:val="nil"/>
              <w:right w:val="single" w:color="auto" w:sz="4" w:space="0"/>
            </w:tcBorders>
            <w:vAlign w:val="center"/>
          </w:tcPr>
          <w:p w14:paraId="13336B0A">
            <w:pPr>
              <w:widowControl/>
              <w:spacing w:after="240"/>
              <w:jc w:val="left"/>
              <w:rPr>
                <w:rFonts w:cstheme="minorHAnsi"/>
                <w:sz w:val="18"/>
                <w:szCs w:val="18"/>
              </w:rPr>
            </w:pPr>
            <w:r>
              <w:rPr>
                <w:rFonts w:cstheme="minorHAnsi"/>
                <w:sz w:val="18"/>
                <w:szCs w:val="18"/>
              </w:rPr>
              <w:t>1/2—14NPT, gland seal, 316 stainless steel</w:t>
            </w:r>
          </w:p>
        </w:tc>
        <w:tc>
          <w:tcPr>
            <w:tcW w:w="716" w:type="dxa"/>
            <w:tcBorders>
              <w:top w:val="nil"/>
              <w:left w:val="single" w:color="auto" w:sz="4" w:space="0"/>
              <w:bottom w:val="nil"/>
              <w:right w:val="single" w:color="auto" w:sz="4" w:space="0"/>
            </w:tcBorders>
            <w:vAlign w:val="center"/>
          </w:tcPr>
          <w:p w14:paraId="369E290A">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6C992645">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4A5E0367">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13B55446">
            <w:pPr>
              <w:widowControl/>
              <w:spacing w:after="240"/>
              <w:jc w:val="center"/>
              <w:rPr>
                <w:rFonts w:cstheme="minorHAnsi"/>
                <w:sz w:val="18"/>
                <w:szCs w:val="18"/>
              </w:rPr>
            </w:pPr>
            <w:r>
              <w:rPr>
                <w:rFonts w:cstheme="minorHAnsi"/>
                <w:sz w:val="18"/>
                <w:szCs w:val="18"/>
              </w:rPr>
              <w:t>●</w:t>
            </w:r>
          </w:p>
        </w:tc>
      </w:tr>
      <w:tr w14:paraId="14E0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65DBD78A">
            <w:pPr>
              <w:widowControl/>
              <w:spacing w:after="240"/>
              <w:jc w:val="center"/>
              <w:rPr>
                <w:rFonts w:cstheme="minorHAnsi"/>
                <w:sz w:val="18"/>
                <w:szCs w:val="18"/>
              </w:rPr>
            </w:pPr>
            <w:r>
              <w:rPr>
                <w:rFonts w:cstheme="minorHAnsi"/>
                <w:sz w:val="18"/>
                <w:szCs w:val="18"/>
              </w:rPr>
              <w:t>C</w:t>
            </w:r>
            <w:r>
              <w:rPr>
                <w:rFonts w:cstheme="minorHAnsi"/>
                <w:sz w:val="18"/>
                <w:szCs w:val="18"/>
                <w:vertAlign w:val="subscript"/>
              </w:rPr>
              <w:t>23</w:t>
            </w:r>
          </w:p>
        </w:tc>
        <w:tc>
          <w:tcPr>
            <w:tcW w:w="6491" w:type="dxa"/>
            <w:tcBorders>
              <w:top w:val="nil"/>
              <w:left w:val="single" w:color="auto" w:sz="4" w:space="0"/>
              <w:bottom w:val="nil"/>
              <w:right w:val="single" w:color="auto" w:sz="4" w:space="0"/>
            </w:tcBorders>
          </w:tcPr>
          <w:p w14:paraId="3DE8B913">
            <w:pPr>
              <w:widowControl/>
              <w:spacing w:after="240"/>
              <w:jc w:val="left"/>
              <w:rPr>
                <w:rFonts w:cstheme="minorHAnsi"/>
                <w:sz w:val="18"/>
                <w:szCs w:val="18"/>
              </w:rPr>
            </w:pPr>
            <w:r>
              <w:rPr>
                <w:rFonts w:cstheme="minorHAnsi"/>
                <w:sz w:val="18"/>
                <w:szCs w:val="18"/>
              </w:rPr>
              <w:t>1/2—14NPT, gland seal, 304 stainless steel</w:t>
            </w:r>
          </w:p>
        </w:tc>
        <w:tc>
          <w:tcPr>
            <w:tcW w:w="716" w:type="dxa"/>
            <w:tcBorders>
              <w:top w:val="nil"/>
              <w:left w:val="single" w:color="auto" w:sz="4" w:space="0"/>
              <w:bottom w:val="nil"/>
              <w:right w:val="single" w:color="auto" w:sz="4" w:space="0"/>
            </w:tcBorders>
            <w:vAlign w:val="center"/>
          </w:tcPr>
          <w:p w14:paraId="2410F5FB">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39B95D20">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17365E48">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1BCBB8D7">
            <w:pPr>
              <w:widowControl/>
              <w:spacing w:after="240"/>
              <w:jc w:val="center"/>
              <w:rPr>
                <w:rFonts w:cstheme="minorHAnsi"/>
                <w:sz w:val="18"/>
                <w:szCs w:val="18"/>
              </w:rPr>
            </w:pPr>
            <w:r>
              <w:rPr>
                <w:rFonts w:cstheme="minorHAnsi"/>
                <w:sz w:val="18"/>
                <w:szCs w:val="18"/>
              </w:rPr>
              <w:t>●</w:t>
            </w:r>
          </w:p>
        </w:tc>
      </w:tr>
      <w:tr w14:paraId="4007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09792963">
            <w:pPr>
              <w:widowControl/>
              <w:spacing w:after="240"/>
              <w:jc w:val="center"/>
              <w:rPr>
                <w:rFonts w:cstheme="minorHAnsi"/>
                <w:sz w:val="18"/>
                <w:szCs w:val="18"/>
              </w:rPr>
            </w:pPr>
            <w:r>
              <w:rPr>
                <w:rFonts w:cstheme="minorHAnsi"/>
                <w:sz w:val="18"/>
                <w:szCs w:val="18"/>
              </w:rPr>
              <w:t>C</w:t>
            </w:r>
            <w:r>
              <w:rPr>
                <w:rFonts w:cstheme="minorHAnsi"/>
                <w:sz w:val="18"/>
                <w:szCs w:val="18"/>
                <w:vertAlign w:val="subscript"/>
              </w:rPr>
              <w:t>32</w:t>
            </w:r>
          </w:p>
        </w:tc>
        <w:tc>
          <w:tcPr>
            <w:tcW w:w="6491" w:type="dxa"/>
            <w:tcBorders>
              <w:top w:val="nil"/>
              <w:left w:val="single" w:color="auto" w:sz="4" w:space="0"/>
              <w:bottom w:val="nil"/>
              <w:right w:val="single" w:color="auto" w:sz="4" w:space="0"/>
            </w:tcBorders>
          </w:tcPr>
          <w:p w14:paraId="08356082">
            <w:pPr>
              <w:widowControl/>
              <w:spacing w:after="240"/>
              <w:jc w:val="left"/>
              <w:rPr>
                <w:rFonts w:cstheme="minorHAnsi"/>
                <w:sz w:val="18"/>
                <w:szCs w:val="18"/>
              </w:rPr>
            </w:pPr>
            <w:r>
              <w:rPr>
                <w:rFonts w:cstheme="minorHAnsi"/>
                <w:sz w:val="18"/>
                <w:szCs w:val="18"/>
              </w:rPr>
              <w:t>1/4—18NPT, gland seal, 316 stainless steel</w:t>
            </w:r>
          </w:p>
        </w:tc>
        <w:tc>
          <w:tcPr>
            <w:tcW w:w="716" w:type="dxa"/>
            <w:tcBorders>
              <w:top w:val="nil"/>
              <w:left w:val="single" w:color="auto" w:sz="4" w:space="0"/>
              <w:bottom w:val="nil"/>
              <w:right w:val="single" w:color="auto" w:sz="4" w:space="0"/>
            </w:tcBorders>
            <w:vAlign w:val="center"/>
          </w:tcPr>
          <w:p w14:paraId="02C40EC8">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3677C0EF">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2B316619">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21268C53">
            <w:pPr>
              <w:widowControl/>
              <w:spacing w:after="240"/>
              <w:jc w:val="center"/>
              <w:rPr>
                <w:rFonts w:cstheme="minorHAnsi"/>
                <w:sz w:val="18"/>
                <w:szCs w:val="18"/>
              </w:rPr>
            </w:pPr>
            <w:r>
              <w:rPr>
                <w:rFonts w:cstheme="minorHAnsi"/>
                <w:sz w:val="18"/>
                <w:szCs w:val="18"/>
              </w:rPr>
              <w:t>●</w:t>
            </w:r>
          </w:p>
        </w:tc>
      </w:tr>
      <w:tr w14:paraId="6B3F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0080E161">
            <w:pPr>
              <w:widowControl/>
              <w:spacing w:after="240"/>
              <w:jc w:val="center"/>
              <w:rPr>
                <w:rFonts w:cstheme="minorHAnsi"/>
                <w:sz w:val="18"/>
                <w:szCs w:val="18"/>
              </w:rPr>
            </w:pPr>
            <w:r>
              <w:rPr>
                <w:rFonts w:cstheme="minorHAnsi"/>
                <w:sz w:val="18"/>
                <w:szCs w:val="18"/>
              </w:rPr>
              <w:t>C</w:t>
            </w:r>
            <w:r>
              <w:rPr>
                <w:rFonts w:cstheme="minorHAnsi"/>
                <w:sz w:val="18"/>
                <w:szCs w:val="18"/>
                <w:vertAlign w:val="subscript"/>
              </w:rPr>
              <w:t>33</w:t>
            </w:r>
          </w:p>
        </w:tc>
        <w:tc>
          <w:tcPr>
            <w:tcW w:w="6491" w:type="dxa"/>
            <w:tcBorders>
              <w:top w:val="nil"/>
              <w:left w:val="single" w:color="auto" w:sz="4" w:space="0"/>
              <w:bottom w:val="nil"/>
              <w:right w:val="single" w:color="auto" w:sz="4" w:space="0"/>
            </w:tcBorders>
          </w:tcPr>
          <w:p w14:paraId="6B5305B3">
            <w:pPr>
              <w:widowControl/>
              <w:spacing w:after="240"/>
              <w:jc w:val="left"/>
              <w:rPr>
                <w:rFonts w:cstheme="minorHAnsi"/>
                <w:sz w:val="18"/>
                <w:szCs w:val="18"/>
              </w:rPr>
            </w:pPr>
            <w:r>
              <w:rPr>
                <w:rFonts w:cstheme="minorHAnsi"/>
                <w:sz w:val="18"/>
                <w:szCs w:val="18"/>
              </w:rPr>
              <w:t>1/4—18NPT, gland seal, 304 stainless steel</w:t>
            </w:r>
          </w:p>
        </w:tc>
        <w:tc>
          <w:tcPr>
            <w:tcW w:w="716" w:type="dxa"/>
            <w:tcBorders>
              <w:top w:val="nil"/>
              <w:left w:val="single" w:color="auto" w:sz="4" w:space="0"/>
              <w:bottom w:val="nil"/>
              <w:right w:val="single" w:color="auto" w:sz="4" w:space="0"/>
            </w:tcBorders>
            <w:vAlign w:val="center"/>
          </w:tcPr>
          <w:p w14:paraId="6B0E9E76">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2AE1F29B">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3924E0C7">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56CFFC2C">
            <w:pPr>
              <w:widowControl/>
              <w:spacing w:after="240"/>
              <w:jc w:val="center"/>
              <w:rPr>
                <w:rFonts w:cstheme="minorHAnsi"/>
                <w:sz w:val="18"/>
                <w:szCs w:val="18"/>
              </w:rPr>
            </w:pPr>
            <w:r>
              <w:rPr>
                <w:rFonts w:cstheme="minorHAnsi"/>
                <w:sz w:val="18"/>
                <w:szCs w:val="18"/>
              </w:rPr>
              <w:t>●</w:t>
            </w:r>
          </w:p>
        </w:tc>
      </w:tr>
      <w:tr w14:paraId="7616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767CB2DB">
            <w:pPr>
              <w:widowControl/>
              <w:spacing w:after="240"/>
              <w:jc w:val="center"/>
              <w:rPr>
                <w:rFonts w:cstheme="minorHAnsi"/>
                <w:sz w:val="18"/>
                <w:szCs w:val="18"/>
              </w:rPr>
            </w:pPr>
            <w:r>
              <w:rPr>
                <w:rFonts w:cstheme="minorHAnsi"/>
                <w:sz w:val="18"/>
                <w:szCs w:val="18"/>
              </w:rPr>
              <w:t>C</w:t>
            </w:r>
            <w:r>
              <w:rPr>
                <w:rFonts w:cstheme="minorHAnsi"/>
                <w:sz w:val="18"/>
                <w:szCs w:val="18"/>
                <w:vertAlign w:val="subscript"/>
              </w:rPr>
              <w:t>42</w:t>
            </w:r>
          </w:p>
        </w:tc>
        <w:tc>
          <w:tcPr>
            <w:tcW w:w="6491" w:type="dxa"/>
            <w:tcBorders>
              <w:top w:val="nil"/>
              <w:left w:val="single" w:color="auto" w:sz="4" w:space="0"/>
              <w:bottom w:val="nil"/>
              <w:right w:val="single" w:color="auto" w:sz="4" w:space="0"/>
            </w:tcBorders>
          </w:tcPr>
          <w:p w14:paraId="28E67D90">
            <w:pPr>
              <w:widowControl/>
              <w:spacing w:after="240"/>
              <w:jc w:val="left"/>
              <w:rPr>
                <w:rFonts w:cstheme="minorHAnsi"/>
                <w:sz w:val="18"/>
                <w:szCs w:val="18"/>
              </w:rPr>
            </w:pPr>
            <w:r>
              <w:rPr>
                <w:rFonts w:cstheme="minorHAnsi"/>
                <w:sz w:val="18"/>
                <w:szCs w:val="18"/>
              </w:rPr>
              <w:t>1/2—14NPT, welded seal, 316 stainless steel</w:t>
            </w:r>
          </w:p>
        </w:tc>
        <w:tc>
          <w:tcPr>
            <w:tcW w:w="716" w:type="dxa"/>
            <w:tcBorders>
              <w:top w:val="nil"/>
              <w:left w:val="single" w:color="auto" w:sz="4" w:space="0"/>
              <w:bottom w:val="nil"/>
              <w:right w:val="single" w:color="auto" w:sz="4" w:space="0"/>
            </w:tcBorders>
            <w:vAlign w:val="center"/>
          </w:tcPr>
          <w:p w14:paraId="2D6BB67C">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18447D3B">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1684ED2B">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048B4EF6">
            <w:pPr>
              <w:widowControl/>
              <w:spacing w:after="240"/>
              <w:jc w:val="center"/>
              <w:rPr>
                <w:rFonts w:cstheme="minorHAnsi"/>
                <w:sz w:val="18"/>
                <w:szCs w:val="18"/>
              </w:rPr>
            </w:pPr>
            <w:r>
              <w:rPr>
                <w:rFonts w:cstheme="minorHAnsi"/>
                <w:sz w:val="18"/>
                <w:szCs w:val="18"/>
              </w:rPr>
              <w:t>●</w:t>
            </w:r>
          </w:p>
        </w:tc>
      </w:tr>
      <w:tr w14:paraId="2030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570119F2">
            <w:pPr>
              <w:widowControl/>
              <w:spacing w:after="240"/>
              <w:jc w:val="center"/>
              <w:rPr>
                <w:rFonts w:cstheme="minorHAnsi"/>
                <w:sz w:val="18"/>
                <w:szCs w:val="18"/>
              </w:rPr>
            </w:pPr>
            <w:r>
              <w:rPr>
                <w:rFonts w:cstheme="minorHAnsi"/>
                <w:sz w:val="18"/>
                <w:szCs w:val="18"/>
              </w:rPr>
              <w:t>C</w:t>
            </w:r>
            <w:r>
              <w:rPr>
                <w:rFonts w:cstheme="minorHAnsi"/>
                <w:sz w:val="18"/>
                <w:szCs w:val="18"/>
                <w:vertAlign w:val="subscript"/>
              </w:rPr>
              <w:t>42</w:t>
            </w:r>
          </w:p>
        </w:tc>
        <w:tc>
          <w:tcPr>
            <w:tcW w:w="6491" w:type="dxa"/>
            <w:tcBorders>
              <w:top w:val="nil"/>
              <w:left w:val="single" w:color="auto" w:sz="4" w:space="0"/>
              <w:bottom w:val="nil"/>
              <w:right w:val="single" w:color="auto" w:sz="4" w:space="0"/>
            </w:tcBorders>
          </w:tcPr>
          <w:p w14:paraId="604D4FD3">
            <w:pPr>
              <w:widowControl/>
              <w:spacing w:after="240"/>
              <w:jc w:val="left"/>
              <w:rPr>
                <w:rFonts w:cstheme="minorHAnsi"/>
                <w:sz w:val="18"/>
                <w:szCs w:val="18"/>
              </w:rPr>
            </w:pPr>
            <w:r>
              <w:rPr>
                <w:rFonts w:cstheme="minorHAnsi"/>
                <w:sz w:val="18"/>
                <w:szCs w:val="18"/>
              </w:rPr>
              <w:t>1/2—14NPT, welded seal, 304 stainless steel</w:t>
            </w:r>
          </w:p>
        </w:tc>
        <w:tc>
          <w:tcPr>
            <w:tcW w:w="716" w:type="dxa"/>
            <w:tcBorders>
              <w:top w:val="nil"/>
              <w:left w:val="single" w:color="auto" w:sz="4" w:space="0"/>
              <w:bottom w:val="nil"/>
              <w:right w:val="single" w:color="auto" w:sz="4" w:space="0"/>
            </w:tcBorders>
            <w:vAlign w:val="center"/>
          </w:tcPr>
          <w:p w14:paraId="10FC359C">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36A160FD">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6812900A">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2B2CD070">
            <w:pPr>
              <w:widowControl/>
              <w:spacing w:after="240"/>
              <w:jc w:val="center"/>
              <w:rPr>
                <w:rFonts w:cstheme="minorHAnsi"/>
                <w:sz w:val="18"/>
                <w:szCs w:val="18"/>
              </w:rPr>
            </w:pPr>
            <w:r>
              <w:rPr>
                <w:rFonts w:cstheme="minorHAnsi"/>
                <w:sz w:val="18"/>
                <w:szCs w:val="18"/>
              </w:rPr>
              <w:t>●</w:t>
            </w:r>
          </w:p>
        </w:tc>
      </w:tr>
      <w:tr w14:paraId="24EB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1252B13D">
            <w:pPr>
              <w:spacing w:after="240"/>
              <w:jc w:val="center"/>
              <w:rPr>
                <w:rFonts w:cstheme="minorHAnsi"/>
                <w:sz w:val="18"/>
                <w:szCs w:val="18"/>
                <w:vertAlign w:val="subscript"/>
              </w:rPr>
            </w:pPr>
            <w:r>
              <w:rPr>
                <w:rFonts w:cstheme="minorHAnsi"/>
                <w:sz w:val="18"/>
                <w:szCs w:val="18"/>
              </w:rPr>
              <w:t>C</w:t>
            </w:r>
            <w:r>
              <w:rPr>
                <w:rFonts w:cstheme="minorHAnsi"/>
                <w:sz w:val="18"/>
                <w:szCs w:val="18"/>
                <w:vertAlign w:val="subscript"/>
              </w:rPr>
              <w:t>52</w:t>
            </w:r>
          </w:p>
        </w:tc>
        <w:tc>
          <w:tcPr>
            <w:tcW w:w="6491" w:type="dxa"/>
            <w:tcBorders>
              <w:top w:val="nil"/>
              <w:left w:val="single" w:color="auto" w:sz="4" w:space="0"/>
              <w:bottom w:val="nil"/>
              <w:right w:val="single" w:color="auto" w:sz="4" w:space="0"/>
            </w:tcBorders>
          </w:tcPr>
          <w:p w14:paraId="09661E45">
            <w:pPr>
              <w:widowControl/>
              <w:spacing w:after="240"/>
              <w:jc w:val="left"/>
              <w:rPr>
                <w:rFonts w:cstheme="minorHAnsi"/>
                <w:sz w:val="18"/>
                <w:szCs w:val="18"/>
              </w:rPr>
            </w:pPr>
            <w:r>
              <w:rPr>
                <w:rFonts w:cstheme="minorHAnsi"/>
                <w:sz w:val="18"/>
                <w:szCs w:val="18"/>
              </w:rPr>
              <w:t>1/4—18NPT, welded seal, 316 stainless steel</w:t>
            </w:r>
          </w:p>
        </w:tc>
        <w:tc>
          <w:tcPr>
            <w:tcW w:w="716" w:type="dxa"/>
            <w:tcBorders>
              <w:top w:val="nil"/>
              <w:left w:val="single" w:color="auto" w:sz="4" w:space="0"/>
              <w:bottom w:val="nil"/>
              <w:right w:val="single" w:color="auto" w:sz="4" w:space="0"/>
            </w:tcBorders>
            <w:vAlign w:val="center"/>
          </w:tcPr>
          <w:p w14:paraId="2DA3FDE1">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074F7F27">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0FCDA98D">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5FEE4A68">
            <w:pPr>
              <w:widowControl/>
              <w:spacing w:after="240"/>
              <w:jc w:val="center"/>
              <w:rPr>
                <w:rFonts w:cstheme="minorHAnsi"/>
                <w:sz w:val="18"/>
                <w:szCs w:val="18"/>
              </w:rPr>
            </w:pPr>
            <w:r>
              <w:rPr>
                <w:rFonts w:cstheme="minorHAnsi"/>
                <w:sz w:val="18"/>
                <w:szCs w:val="18"/>
              </w:rPr>
              <w:t>●</w:t>
            </w:r>
          </w:p>
        </w:tc>
      </w:tr>
      <w:tr w14:paraId="1DEA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69040A1E">
            <w:pPr>
              <w:spacing w:after="240"/>
              <w:jc w:val="center"/>
              <w:rPr>
                <w:rFonts w:cstheme="minorHAnsi"/>
                <w:sz w:val="18"/>
                <w:szCs w:val="18"/>
                <w:vertAlign w:val="subscript"/>
              </w:rPr>
            </w:pPr>
            <w:r>
              <w:rPr>
                <w:rFonts w:cstheme="minorHAnsi"/>
                <w:sz w:val="18"/>
                <w:szCs w:val="18"/>
              </w:rPr>
              <w:t>C</w:t>
            </w:r>
            <w:r>
              <w:rPr>
                <w:rFonts w:cstheme="minorHAnsi"/>
                <w:sz w:val="18"/>
                <w:szCs w:val="18"/>
                <w:vertAlign w:val="subscript"/>
              </w:rPr>
              <w:t>53</w:t>
            </w:r>
          </w:p>
        </w:tc>
        <w:tc>
          <w:tcPr>
            <w:tcW w:w="6491" w:type="dxa"/>
            <w:tcBorders>
              <w:top w:val="nil"/>
              <w:left w:val="single" w:color="auto" w:sz="4" w:space="0"/>
              <w:bottom w:val="nil"/>
              <w:right w:val="single" w:color="auto" w:sz="4" w:space="0"/>
            </w:tcBorders>
          </w:tcPr>
          <w:p w14:paraId="5B051BDB">
            <w:pPr>
              <w:widowControl/>
              <w:spacing w:after="240"/>
              <w:jc w:val="left"/>
              <w:rPr>
                <w:rFonts w:cstheme="minorHAnsi"/>
                <w:sz w:val="18"/>
                <w:szCs w:val="18"/>
              </w:rPr>
            </w:pPr>
            <w:r>
              <w:rPr>
                <w:rFonts w:cstheme="minorHAnsi"/>
                <w:sz w:val="18"/>
                <w:szCs w:val="18"/>
              </w:rPr>
              <w:t>1/4—18NPT, welded seal, 304 stainless steel</w:t>
            </w:r>
          </w:p>
        </w:tc>
        <w:tc>
          <w:tcPr>
            <w:tcW w:w="716" w:type="dxa"/>
            <w:tcBorders>
              <w:top w:val="nil"/>
              <w:left w:val="single" w:color="auto" w:sz="4" w:space="0"/>
              <w:bottom w:val="nil"/>
              <w:right w:val="single" w:color="auto" w:sz="4" w:space="0"/>
            </w:tcBorders>
            <w:vAlign w:val="center"/>
          </w:tcPr>
          <w:p w14:paraId="6E0A7D2B">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2370C7F2">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38B342FD">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501DC6F7">
            <w:pPr>
              <w:widowControl/>
              <w:spacing w:after="240"/>
              <w:jc w:val="center"/>
              <w:rPr>
                <w:rFonts w:cstheme="minorHAnsi"/>
                <w:sz w:val="18"/>
                <w:szCs w:val="18"/>
              </w:rPr>
            </w:pPr>
            <w:r>
              <w:rPr>
                <w:rFonts w:cstheme="minorHAnsi"/>
                <w:sz w:val="18"/>
                <w:szCs w:val="18"/>
              </w:rPr>
              <w:t>●</w:t>
            </w:r>
          </w:p>
        </w:tc>
      </w:tr>
      <w:tr w14:paraId="02B6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473BF2D6">
            <w:pPr>
              <w:spacing w:after="240"/>
              <w:jc w:val="center"/>
              <w:rPr>
                <w:rFonts w:cstheme="minorHAnsi"/>
                <w:sz w:val="18"/>
                <w:szCs w:val="18"/>
              </w:rPr>
            </w:pPr>
            <w:r>
              <w:rPr>
                <w:rFonts w:cstheme="minorHAnsi"/>
                <w:sz w:val="18"/>
                <w:szCs w:val="18"/>
              </w:rPr>
              <w:t>C</w:t>
            </w:r>
            <w:r>
              <w:rPr>
                <w:rFonts w:cstheme="minorHAnsi"/>
                <w:sz w:val="18"/>
                <w:szCs w:val="18"/>
                <w:vertAlign w:val="subscript"/>
              </w:rPr>
              <w:t>62</w:t>
            </w:r>
          </w:p>
        </w:tc>
        <w:tc>
          <w:tcPr>
            <w:tcW w:w="6491" w:type="dxa"/>
            <w:tcBorders>
              <w:top w:val="nil"/>
              <w:left w:val="single" w:color="auto" w:sz="4" w:space="0"/>
              <w:bottom w:val="nil"/>
              <w:right w:val="single" w:color="auto" w:sz="4" w:space="0"/>
            </w:tcBorders>
          </w:tcPr>
          <w:p w14:paraId="61DFD3A2">
            <w:pPr>
              <w:widowControl/>
              <w:spacing w:after="240"/>
              <w:jc w:val="left"/>
              <w:rPr>
                <w:rFonts w:cstheme="minorHAnsi"/>
                <w:sz w:val="18"/>
                <w:szCs w:val="18"/>
              </w:rPr>
            </w:pPr>
            <w:r>
              <w:rPr>
                <w:rFonts w:cstheme="minorHAnsi"/>
                <w:sz w:val="18"/>
                <w:szCs w:val="18"/>
              </w:rPr>
              <w:t>Type T, M20, Weld Seal, 316 Stainless Steel</w:t>
            </w:r>
          </w:p>
        </w:tc>
        <w:tc>
          <w:tcPr>
            <w:tcW w:w="716" w:type="dxa"/>
            <w:tcBorders>
              <w:top w:val="nil"/>
              <w:left w:val="single" w:color="auto" w:sz="4" w:space="0"/>
              <w:bottom w:val="nil"/>
              <w:right w:val="single" w:color="auto" w:sz="4" w:space="0"/>
            </w:tcBorders>
            <w:vAlign w:val="center"/>
          </w:tcPr>
          <w:p w14:paraId="62C6CA29">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7F467EB4">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4E77AA3D">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5FCAC0E6">
            <w:pPr>
              <w:widowControl/>
              <w:spacing w:after="240"/>
              <w:jc w:val="center"/>
              <w:rPr>
                <w:rFonts w:cstheme="minorHAnsi"/>
                <w:sz w:val="18"/>
                <w:szCs w:val="18"/>
              </w:rPr>
            </w:pPr>
            <w:r>
              <w:rPr>
                <w:rFonts w:cstheme="minorHAnsi"/>
                <w:sz w:val="18"/>
                <w:szCs w:val="18"/>
              </w:rPr>
              <w:t>●</w:t>
            </w:r>
          </w:p>
        </w:tc>
      </w:tr>
      <w:tr w14:paraId="22F7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single" w:color="auto" w:sz="4" w:space="0"/>
              <w:right w:val="single" w:color="auto" w:sz="4" w:space="0"/>
            </w:tcBorders>
            <w:vAlign w:val="center"/>
          </w:tcPr>
          <w:p w14:paraId="37A53583">
            <w:pPr>
              <w:spacing w:after="240"/>
              <w:jc w:val="center"/>
              <w:rPr>
                <w:rFonts w:cstheme="minorHAnsi"/>
                <w:sz w:val="18"/>
                <w:szCs w:val="18"/>
              </w:rPr>
            </w:pPr>
            <w:r>
              <w:rPr>
                <w:rFonts w:cstheme="minorHAnsi"/>
                <w:sz w:val="18"/>
                <w:szCs w:val="18"/>
              </w:rPr>
              <w:t>C</w:t>
            </w:r>
            <w:r>
              <w:rPr>
                <w:rFonts w:cstheme="minorHAnsi"/>
                <w:sz w:val="18"/>
                <w:szCs w:val="18"/>
                <w:vertAlign w:val="subscript"/>
              </w:rPr>
              <w:t>63</w:t>
            </w:r>
          </w:p>
        </w:tc>
        <w:tc>
          <w:tcPr>
            <w:tcW w:w="6491" w:type="dxa"/>
            <w:tcBorders>
              <w:top w:val="nil"/>
              <w:left w:val="single" w:color="auto" w:sz="4" w:space="0"/>
              <w:bottom w:val="single" w:color="auto" w:sz="4" w:space="0"/>
              <w:right w:val="single" w:color="auto" w:sz="4" w:space="0"/>
            </w:tcBorders>
          </w:tcPr>
          <w:p w14:paraId="5802BF0D">
            <w:pPr>
              <w:widowControl/>
              <w:spacing w:after="240"/>
              <w:jc w:val="left"/>
              <w:rPr>
                <w:rFonts w:cstheme="minorHAnsi"/>
                <w:sz w:val="18"/>
                <w:szCs w:val="18"/>
              </w:rPr>
            </w:pPr>
            <w:r>
              <w:rPr>
                <w:rFonts w:cstheme="minorHAnsi"/>
                <w:sz w:val="18"/>
                <w:szCs w:val="18"/>
              </w:rPr>
              <w:t>Type T, M20, Weld Seal, 304 Stainless Steel</w:t>
            </w:r>
          </w:p>
        </w:tc>
        <w:tc>
          <w:tcPr>
            <w:tcW w:w="716" w:type="dxa"/>
            <w:tcBorders>
              <w:top w:val="nil"/>
              <w:left w:val="single" w:color="auto" w:sz="4" w:space="0"/>
              <w:bottom w:val="single" w:color="auto" w:sz="4" w:space="0"/>
              <w:right w:val="single" w:color="auto" w:sz="4" w:space="0"/>
            </w:tcBorders>
            <w:vAlign w:val="center"/>
          </w:tcPr>
          <w:p w14:paraId="7C684C1B">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single" w:color="auto" w:sz="4" w:space="0"/>
              <w:right w:val="single" w:color="auto" w:sz="4" w:space="0"/>
            </w:tcBorders>
            <w:vAlign w:val="center"/>
          </w:tcPr>
          <w:p w14:paraId="483CA7B6">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single" w:color="auto" w:sz="4" w:space="0"/>
              <w:right w:val="single" w:color="auto" w:sz="4" w:space="0"/>
            </w:tcBorders>
            <w:vAlign w:val="center"/>
          </w:tcPr>
          <w:p w14:paraId="59FACD5A">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single" w:color="auto" w:sz="4" w:space="0"/>
              <w:right w:val="single" w:color="auto" w:sz="4" w:space="0"/>
            </w:tcBorders>
            <w:vAlign w:val="center"/>
          </w:tcPr>
          <w:p w14:paraId="05A4E68B">
            <w:pPr>
              <w:widowControl/>
              <w:spacing w:after="240"/>
              <w:jc w:val="center"/>
              <w:rPr>
                <w:rFonts w:cstheme="minorHAnsi"/>
                <w:sz w:val="18"/>
                <w:szCs w:val="18"/>
              </w:rPr>
            </w:pPr>
            <w:r>
              <w:rPr>
                <w:rFonts w:cstheme="minorHAnsi"/>
                <w:sz w:val="18"/>
                <w:szCs w:val="18"/>
              </w:rPr>
              <w:t>●</w:t>
            </w:r>
          </w:p>
        </w:tc>
      </w:tr>
      <w:tr w14:paraId="7398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2F2F2"/>
            <w:vAlign w:val="center"/>
          </w:tcPr>
          <w:p w14:paraId="0BE422D5">
            <w:pPr>
              <w:widowControl/>
              <w:spacing w:after="240"/>
              <w:jc w:val="center"/>
              <w:rPr>
                <w:rFonts w:cstheme="minorHAnsi"/>
                <w:sz w:val="18"/>
                <w:szCs w:val="18"/>
              </w:rPr>
            </w:pPr>
            <w:r>
              <w:rPr>
                <w:rFonts w:cstheme="minorHAnsi"/>
                <w:sz w:val="18"/>
                <w:szCs w:val="18"/>
              </w:rPr>
              <w:t>Code</w:t>
            </w:r>
          </w:p>
        </w:tc>
        <w:tc>
          <w:tcPr>
            <w:tcW w:w="6491" w:type="dxa"/>
            <w:tcBorders>
              <w:top w:val="single" w:color="auto" w:sz="4" w:space="0"/>
              <w:left w:val="single" w:color="auto" w:sz="4" w:space="0"/>
              <w:bottom w:val="single" w:color="auto" w:sz="4" w:space="0"/>
              <w:right w:val="single" w:color="auto" w:sz="4" w:space="0"/>
            </w:tcBorders>
            <w:shd w:val="clear" w:color="auto" w:fill="F2F2F2"/>
            <w:vAlign w:val="center"/>
          </w:tcPr>
          <w:p w14:paraId="4A18EF1D">
            <w:pPr>
              <w:widowControl/>
              <w:spacing w:after="240"/>
              <w:jc w:val="left"/>
              <w:rPr>
                <w:rFonts w:cstheme="minorHAnsi"/>
                <w:sz w:val="18"/>
                <w:szCs w:val="18"/>
              </w:rPr>
            </w:pPr>
            <w:r>
              <w:rPr>
                <w:rFonts w:cstheme="minorHAnsi"/>
                <w:sz w:val="18"/>
                <w:szCs w:val="18"/>
              </w:rPr>
              <w:t xml:space="preserve">Display </w:t>
            </w:r>
          </w:p>
        </w:tc>
        <w:tc>
          <w:tcPr>
            <w:tcW w:w="716" w:type="dxa"/>
            <w:tcBorders>
              <w:top w:val="single" w:color="auto" w:sz="4" w:space="0"/>
              <w:left w:val="single" w:color="auto" w:sz="4" w:space="0"/>
              <w:bottom w:val="single" w:color="auto" w:sz="4" w:space="0"/>
              <w:right w:val="single" w:color="auto" w:sz="4" w:space="0"/>
            </w:tcBorders>
            <w:shd w:val="clear" w:color="auto" w:fill="F2F2F2"/>
            <w:vAlign w:val="center"/>
          </w:tcPr>
          <w:p w14:paraId="399A0C0B">
            <w:pPr>
              <w:widowControl/>
              <w:spacing w:after="240"/>
              <w:jc w:val="center"/>
              <w:rPr>
                <w:rFonts w:cstheme="minorHAnsi"/>
                <w:sz w:val="18"/>
                <w:szCs w:val="18"/>
              </w:rPr>
            </w:pPr>
            <w:r>
              <w:rPr>
                <w:rFonts w:cstheme="minorHAnsi"/>
                <w:sz w:val="18"/>
                <w:szCs w:val="18"/>
              </w:rPr>
              <w:t>SG</w:t>
            </w:r>
          </w:p>
        </w:tc>
        <w:tc>
          <w:tcPr>
            <w:tcW w:w="560" w:type="dxa"/>
            <w:tcBorders>
              <w:top w:val="single" w:color="auto" w:sz="4" w:space="0"/>
              <w:left w:val="single" w:color="auto" w:sz="4" w:space="0"/>
              <w:bottom w:val="single" w:color="auto" w:sz="4" w:space="0"/>
              <w:right w:val="single" w:color="auto" w:sz="4" w:space="0"/>
            </w:tcBorders>
            <w:shd w:val="clear" w:color="auto" w:fill="F2F2F2"/>
            <w:vAlign w:val="center"/>
          </w:tcPr>
          <w:p w14:paraId="65CCDA09">
            <w:pPr>
              <w:widowControl/>
              <w:spacing w:after="240"/>
              <w:jc w:val="center"/>
              <w:rPr>
                <w:rFonts w:cstheme="minorHAnsi"/>
                <w:sz w:val="18"/>
                <w:szCs w:val="18"/>
              </w:rPr>
            </w:pPr>
            <w:r>
              <w:rPr>
                <w:rFonts w:cstheme="minorHAnsi"/>
                <w:sz w:val="18"/>
                <w:szCs w:val="18"/>
              </w:rPr>
              <w:t>SA</w:t>
            </w:r>
          </w:p>
        </w:tc>
        <w:tc>
          <w:tcPr>
            <w:tcW w:w="708" w:type="dxa"/>
            <w:tcBorders>
              <w:top w:val="single" w:color="auto" w:sz="4" w:space="0"/>
              <w:left w:val="single" w:color="auto" w:sz="4" w:space="0"/>
              <w:bottom w:val="single" w:color="auto" w:sz="4" w:space="0"/>
              <w:right w:val="single" w:color="auto" w:sz="4" w:space="0"/>
            </w:tcBorders>
            <w:shd w:val="clear" w:color="auto" w:fill="F2F2F2"/>
            <w:vAlign w:val="center"/>
          </w:tcPr>
          <w:p w14:paraId="7ED57584">
            <w:pPr>
              <w:widowControl/>
              <w:spacing w:after="240"/>
              <w:jc w:val="center"/>
              <w:rPr>
                <w:rFonts w:cstheme="minorHAnsi"/>
                <w:sz w:val="18"/>
                <w:szCs w:val="18"/>
              </w:rPr>
            </w:pPr>
            <w:r>
              <w:rPr>
                <w:rFonts w:cstheme="minorHAnsi"/>
                <w:sz w:val="18"/>
                <w:szCs w:val="18"/>
              </w:rPr>
              <w:t>SD</w:t>
            </w:r>
          </w:p>
        </w:tc>
        <w:tc>
          <w:tcPr>
            <w:tcW w:w="675" w:type="dxa"/>
            <w:tcBorders>
              <w:top w:val="single" w:color="auto" w:sz="4" w:space="0"/>
              <w:left w:val="single" w:color="auto" w:sz="4" w:space="0"/>
              <w:bottom w:val="single" w:color="auto" w:sz="4" w:space="0"/>
              <w:right w:val="single" w:color="auto" w:sz="4" w:space="0"/>
            </w:tcBorders>
            <w:shd w:val="clear" w:color="auto" w:fill="F2F2F2"/>
            <w:vAlign w:val="center"/>
          </w:tcPr>
          <w:p w14:paraId="5E0A3885">
            <w:pPr>
              <w:widowControl/>
              <w:spacing w:after="240"/>
              <w:jc w:val="center"/>
              <w:rPr>
                <w:rFonts w:cstheme="minorHAnsi"/>
                <w:sz w:val="18"/>
                <w:szCs w:val="18"/>
              </w:rPr>
            </w:pPr>
            <w:r>
              <w:rPr>
                <w:rFonts w:cstheme="minorHAnsi"/>
                <w:sz w:val="18"/>
                <w:szCs w:val="18"/>
              </w:rPr>
              <w:t>S</w:t>
            </w:r>
            <w:r>
              <w:rPr>
                <w:rFonts w:hint="eastAsia" w:cstheme="minorHAnsi"/>
                <w:sz w:val="18"/>
                <w:szCs w:val="18"/>
              </w:rPr>
              <w:t>H</w:t>
            </w:r>
          </w:p>
        </w:tc>
      </w:tr>
      <w:tr w14:paraId="0CC2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14:paraId="46FAACB7">
            <w:pPr>
              <w:widowControl/>
              <w:spacing w:after="240"/>
              <w:jc w:val="center"/>
              <w:rPr>
                <w:rFonts w:cstheme="minorHAnsi"/>
                <w:sz w:val="18"/>
                <w:szCs w:val="18"/>
              </w:rPr>
            </w:pPr>
            <w:r>
              <w:rPr>
                <w:rFonts w:cstheme="minorHAnsi"/>
                <w:sz w:val="18"/>
                <w:szCs w:val="18"/>
              </w:rPr>
              <w:t>M</w:t>
            </w:r>
            <w:r>
              <w:rPr>
                <w:rFonts w:cstheme="minorHAnsi"/>
                <w:sz w:val="18"/>
                <w:szCs w:val="18"/>
                <w:vertAlign w:val="subscript"/>
              </w:rPr>
              <w:t>5</w:t>
            </w:r>
          </w:p>
        </w:tc>
        <w:tc>
          <w:tcPr>
            <w:tcW w:w="6491" w:type="dxa"/>
            <w:tcBorders>
              <w:top w:val="single" w:color="auto" w:sz="4" w:space="0"/>
              <w:left w:val="single" w:color="auto" w:sz="4" w:space="0"/>
              <w:bottom w:val="single" w:color="auto" w:sz="4" w:space="0"/>
              <w:right w:val="single" w:color="auto" w:sz="4" w:space="0"/>
            </w:tcBorders>
            <w:vAlign w:val="center"/>
          </w:tcPr>
          <w:p w14:paraId="19C0C120">
            <w:pPr>
              <w:widowControl/>
              <w:spacing w:after="240"/>
              <w:jc w:val="left"/>
              <w:rPr>
                <w:rFonts w:cstheme="minorHAnsi"/>
                <w:sz w:val="18"/>
                <w:szCs w:val="18"/>
              </w:rPr>
            </w:pPr>
            <w:r>
              <w:rPr>
                <w:rFonts w:cstheme="minorHAnsi"/>
                <w:sz w:val="18"/>
                <w:szCs w:val="18"/>
              </w:rPr>
              <w:t>LCD display</w:t>
            </w:r>
          </w:p>
        </w:tc>
        <w:tc>
          <w:tcPr>
            <w:tcW w:w="716" w:type="dxa"/>
            <w:tcBorders>
              <w:top w:val="single" w:color="auto" w:sz="4" w:space="0"/>
              <w:left w:val="single" w:color="auto" w:sz="4" w:space="0"/>
              <w:bottom w:val="single" w:color="auto" w:sz="4" w:space="0"/>
              <w:right w:val="single" w:color="auto" w:sz="4" w:space="0"/>
            </w:tcBorders>
            <w:vAlign w:val="center"/>
          </w:tcPr>
          <w:p w14:paraId="12BD9789">
            <w:pPr>
              <w:widowControl/>
              <w:spacing w:after="240"/>
              <w:jc w:val="center"/>
              <w:rPr>
                <w:rFonts w:cstheme="minorHAnsi"/>
                <w:sz w:val="18"/>
                <w:szCs w:val="18"/>
              </w:rPr>
            </w:pPr>
            <w:r>
              <w:rPr>
                <w:rFonts w:cstheme="minorHAnsi"/>
                <w:sz w:val="18"/>
                <w:szCs w:val="18"/>
              </w:rPr>
              <w:t>●</w:t>
            </w:r>
          </w:p>
        </w:tc>
        <w:tc>
          <w:tcPr>
            <w:tcW w:w="560" w:type="dxa"/>
            <w:tcBorders>
              <w:top w:val="single" w:color="auto" w:sz="4" w:space="0"/>
              <w:left w:val="single" w:color="auto" w:sz="4" w:space="0"/>
              <w:bottom w:val="single" w:color="auto" w:sz="4" w:space="0"/>
              <w:right w:val="single" w:color="auto" w:sz="4" w:space="0"/>
            </w:tcBorders>
            <w:vAlign w:val="center"/>
          </w:tcPr>
          <w:p w14:paraId="0E6B0B02">
            <w:pPr>
              <w:widowControl/>
              <w:spacing w:after="240"/>
              <w:jc w:val="center"/>
              <w:rPr>
                <w:rFonts w:cstheme="minorHAnsi"/>
                <w:sz w:val="18"/>
                <w:szCs w:val="18"/>
              </w:rPr>
            </w:pPr>
            <w:r>
              <w:rPr>
                <w:rFonts w:cstheme="minorHAnsi"/>
                <w:sz w:val="18"/>
                <w:szCs w:val="18"/>
              </w:rPr>
              <w:t>●</w:t>
            </w:r>
          </w:p>
        </w:tc>
        <w:tc>
          <w:tcPr>
            <w:tcW w:w="708" w:type="dxa"/>
            <w:tcBorders>
              <w:top w:val="single" w:color="auto" w:sz="4" w:space="0"/>
              <w:left w:val="single" w:color="auto" w:sz="4" w:space="0"/>
              <w:bottom w:val="single" w:color="auto" w:sz="4" w:space="0"/>
              <w:right w:val="single" w:color="auto" w:sz="4" w:space="0"/>
            </w:tcBorders>
            <w:vAlign w:val="center"/>
          </w:tcPr>
          <w:p w14:paraId="3B9213F5">
            <w:pPr>
              <w:widowControl/>
              <w:spacing w:after="240"/>
              <w:jc w:val="center"/>
              <w:rPr>
                <w:rFonts w:cstheme="minorHAnsi"/>
                <w:sz w:val="18"/>
                <w:szCs w:val="18"/>
              </w:rPr>
            </w:pPr>
            <w:r>
              <w:rPr>
                <w:rFonts w:cstheme="minorHAnsi"/>
                <w:sz w:val="18"/>
                <w:szCs w:val="18"/>
              </w:rPr>
              <w:t>●</w:t>
            </w:r>
          </w:p>
        </w:tc>
        <w:tc>
          <w:tcPr>
            <w:tcW w:w="675" w:type="dxa"/>
            <w:tcBorders>
              <w:top w:val="single" w:color="auto" w:sz="4" w:space="0"/>
              <w:left w:val="single" w:color="auto" w:sz="4" w:space="0"/>
              <w:bottom w:val="single" w:color="auto" w:sz="4" w:space="0"/>
              <w:right w:val="single" w:color="auto" w:sz="4" w:space="0"/>
            </w:tcBorders>
            <w:vAlign w:val="center"/>
          </w:tcPr>
          <w:p w14:paraId="6E147BBD">
            <w:pPr>
              <w:widowControl/>
              <w:spacing w:after="240"/>
              <w:jc w:val="center"/>
              <w:rPr>
                <w:rFonts w:cstheme="minorHAnsi"/>
                <w:sz w:val="18"/>
                <w:szCs w:val="18"/>
              </w:rPr>
            </w:pPr>
            <w:r>
              <w:rPr>
                <w:rFonts w:cstheme="minorHAnsi"/>
                <w:sz w:val="18"/>
                <w:szCs w:val="18"/>
              </w:rPr>
              <w:t>●</w:t>
            </w:r>
          </w:p>
        </w:tc>
      </w:tr>
      <w:tr w14:paraId="427A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2F2F2"/>
            <w:vAlign w:val="center"/>
          </w:tcPr>
          <w:p w14:paraId="177AA103">
            <w:pPr>
              <w:widowControl/>
              <w:spacing w:after="240"/>
              <w:jc w:val="center"/>
              <w:rPr>
                <w:rFonts w:cstheme="minorHAnsi"/>
                <w:sz w:val="18"/>
                <w:szCs w:val="18"/>
              </w:rPr>
            </w:pPr>
            <w:r>
              <w:rPr>
                <w:rFonts w:cstheme="minorHAnsi"/>
                <w:sz w:val="18"/>
                <w:szCs w:val="18"/>
              </w:rPr>
              <w:t>Code</w:t>
            </w:r>
          </w:p>
        </w:tc>
        <w:tc>
          <w:tcPr>
            <w:tcW w:w="6491" w:type="dxa"/>
            <w:tcBorders>
              <w:top w:val="single" w:color="auto" w:sz="4" w:space="0"/>
              <w:left w:val="single" w:color="auto" w:sz="4" w:space="0"/>
              <w:bottom w:val="single" w:color="auto" w:sz="4" w:space="0"/>
              <w:right w:val="single" w:color="auto" w:sz="4" w:space="0"/>
            </w:tcBorders>
            <w:shd w:val="clear" w:color="auto" w:fill="F2F2F2"/>
            <w:vAlign w:val="center"/>
          </w:tcPr>
          <w:p w14:paraId="567FBF83">
            <w:pPr>
              <w:widowControl/>
              <w:spacing w:after="240"/>
              <w:jc w:val="left"/>
              <w:rPr>
                <w:rFonts w:cstheme="minorHAnsi"/>
                <w:sz w:val="18"/>
                <w:szCs w:val="18"/>
              </w:rPr>
            </w:pPr>
            <w:r>
              <w:rPr>
                <w:rFonts w:cstheme="minorHAnsi"/>
                <w:sz w:val="18"/>
                <w:szCs w:val="18"/>
              </w:rPr>
              <w:t>Ex grade</w:t>
            </w:r>
          </w:p>
        </w:tc>
        <w:tc>
          <w:tcPr>
            <w:tcW w:w="716" w:type="dxa"/>
            <w:tcBorders>
              <w:top w:val="single" w:color="auto" w:sz="4" w:space="0"/>
              <w:left w:val="single" w:color="auto" w:sz="4" w:space="0"/>
              <w:bottom w:val="single" w:color="auto" w:sz="4" w:space="0"/>
              <w:right w:val="single" w:color="auto" w:sz="4" w:space="0"/>
            </w:tcBorders>
            <w:shd w:val="clear" w:color="auto" w:fill="F2F2F2"/>
            <w:vAlign w:val="center"/>
          </w:tcPr>
          <w:p w14:paraId="7DE2F31B">
            <w:pPr>
              <w:widowControl/>
              <w:spacing w:after="240"/>
              <w:jc w:val="center"/>
              <w:rPr>
                <w:rFonts w:cstheme="minorHAnsi"/>
                <w:sz w:val="18"/>
                <w:szCs w:val="18"/>
              </w:rPr>
            </w:pPr>
            <w:r>
              <w:rPr>
                <w:rFonts w:cstheme="minorHAnsi"/>
                <w:sz w:val="18"/>
                <w:szCs w:val="18"/>
              </w:rPr>
              <w:t>SG</w:t>
            </w:r>
          </w:p>
        </w:tc>
        <w:tc>
          <w:tcPr>
            <w:tcW w:w="560" w:type="dxa"/>
            <w:tcBorders>
              <w:top w:val="single" w:color="auto" w:sz="4" w:space="0"/>
              <w:left w:val="single" w:color="auto" w:sz="4" w:space="0"/>
              <w:bottom w:val="single" w:color="auto" w:sz="4" w:space="0"/>
              <w:right w:val="single" w:color="auto" w:sz="4" w:space="0"/>
            </w:tcBorders>
            <w:shd w:val="clear" w:color="auto" w:fill="F2F2F2"/>
            <w:vAlign w:val="center"/>
          </w:tcPr>
          <w:p w14:paraId="06954FF1">
            <w:pPr>
              <w:widowControl/>
              <w:spacing w:after="240"/>
              <w:jc w:val="center"/>
              <w:rPr>
                <w:rFonts w:cstheme="minorHAnsi"/>
                <w:sz w:val="18"/>
                <w:szCs w:val="18"/>
              </w:rPr>
            </w:pPr>
            <w:r>
              <w:rPr>
                <w:rFonts w:cstheme="minorHAnsi"/>
                <w:sz w:val="18"/>
                <w:szCs w:val="18"/>
              </w:rPr>
              <w:t>SA</w:t>
            </w:r>
          </w:p>
        </w:tc>
        <w:tc>
          <w:tcPr>
            <w:tcW w:w="708" w:type="dxa"/>
            <w:tcBorders>
              <w:top w:val="single" w:color="auto" w:sz="4" w:space="0"/>
              <w:left w:val="single" w:color="auto" w:sz="4" w:space="0"/>
              <w:bottom w:val="single" w:color="auto" w:sz="4" w:space="0"/>
              <w:right w:val="single" w:color="auto" w:sz="4" w:space="0"/>
            </w:tcBorders>
            <w:shd w:val="clear" w:color="auto" w:fill="F2F2F2"/>
            <w:vAlign w:val="center"/>
          </w:tcPr>
          <w:p w14:paraId="29289137">
            <w:pPr>
              <w:widowControl/>
              <w:spacing w:after="240"/>
              <w:jc w:val="center"/>
              <w:rPr>
                <w:rFonts w:cstheme="minorHAnsi"/>
                <w:sz w:val="18"/>
                <w:szCs w:val="18"/>
              </w:rPr>
            </w:pPr>
            <w:r>
              <w:rPr>
                <w:rFonts w:cstheme="minorHAnsi"/>
                <w:sz w:val="18"/>
                <w:szCs w:val="18"/>
              </w:rPr>
              <w:t>SD</w:t>
            </w:r>
          </w:p>
        </w:tc>
        <w:tc>
          <w:tcPr>
            <w:tcW w:w="675" w:type="dxa"/>
            <w:tcBorders>
              <w:top w:val="single" w:color="auto" w:sz="4" w:space="0"/>
              <w:left w:val="single" w:color="auto" w:sz="4" w:space="0"/>
              <w:bottom w:val="single" w:color="auto" w:sz="4" w:space="0"/>
              <w:right w:val="single" w:color="auto" w:sz="4" w:space="0"/>
            </w:tcBorders>
            <w:shd w:val="clear" w:color="auto" w:fill="F2F2F2"/>
            <w:vAlign w:val="center"/>
          </w:tcPr>
          <w:p w14:paraId="1457BB75">
            <w:pPr>
              <w:widowControl/>
              <w:spacing w:after="240"/>
              <w:jc w:val="center"/>
              <w:rPr>
                <w:rFonts w:cstheme="minorHAnsi"/>
                <w:sz w:val="18"/>
                <w:szCs w:val="18"/>
              </w:rPr>
            </w:pPr>
            <w:r>
              <w:rPr>
                <w:rFonts w:cstheme="minorHAnsi"/>
                <w:sz w:val="18"/>
                <w:szCs w:val="18"/>
              </w:rPr>
              <w:t>S</w:t>
            </w:r>
            <w:r>
              <w:rPr>
                <w:rFonts w:hint="eastAsia" w:cstheme="minorHAnsi"/>
                <w:sz w:val="18"/>
                <w:szCs w:val="18"/>
              </w:rPr>
              <w:t>H</w:t>
            </w:r>
          </w:p>
        </w:tc>
      </w:tr>
      <w:tr w14:paraId="70AD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nil"/>
              <w:right w:val="single" w:color="auto" w:sz="4" w:space="0"/>
            </w:tcBorders>
            <w:vAlign w:val="center"/>
          </w:tcPr>
          <w:p w14:paraId="02E35306">
            <w:pPr>
              <w:widowControl/>
              <w:spacing w:after="240"/>
              <w:jc w:val="center"/>
              <w:rPr>
                <w:rFonts w:cstheme="minorHAnsi"/>
                <w:sz w:val="18"/>
                <w:szCs w:val="18"/>
              </w:rPr>
            </w:pPr>
            <w:r>
              <w:rPr>
                <w:rFonts w:cstheme="minorHAnsi"/>
                <w:sz w:val="18"/>
                <w:szCs w:val="18"/>
              </w:rPr>
              <w:t>IC</w:t>
            </w:r>
          </w:p>
        </w:tc>
        <w:tc>
          <w:tcPr>
            <w:tcW w:w="6491" w:type="dxa"/>
            <w:tcBorders>
              <w:top w:val="single" w:color="auto" w:sz="4" w:space="0"/>
              <w:left w:val="single" w:color="auto" w:sz="4" w:space="0"/>
              <w:bottom w:val="nil"/>
              <w:right w:val="single" w:color="auto" w:sz="4" w:space="0"/>
            </w:tcBorders>
            <w:vAlign w:val="center"/>
          </w:tcPr>
          <w:p w14:paraId="65F4B81D">
            <w:pPr>
              <w:widowControl/>
              <w:spacing w:after="240"/>
              <w:jc w:val="left"/>
              <w:rPr>
                <w:rFonts w:cstheme="minorHAnsi"/>
                <w:sz w:val="18"/>
                <w:szCs w:val="18"/>
                <w:lang w:val="pt-BR"/>
              </w:rPr>
            </w:pPr>
            <w:r>
              <w:rPr>
                <w:rFonts w:cstheme="minorHAnsi"/>
                <w:sz w:val="18"/>
                <w:szCs w:val="18"/>
                <w:lang w:val="pt-BR"/>
              </w:rPr>
              <w:t>Ex ia IIC T4 Ga</w:t>
            </w:r>
          </w:p>
        </w:tc>
        <w:tc>
          <w:tcPr>
            <w:tcW w:w="716" w:type="dxa"/>
            <w:tcBorders>
              <w:top w:val="single" w:color="auto" w:sz="4" w:space="0"/>
              <w:left w:val="single" w:color="auto" w:sz="4" w:space="0"/>
              <w:bottom w:val="nil"/>
              <w:right w:val="single" w:color="auto" w:sz="4" w:space="0"/>
            </w:tcBorders>
            <w:vAlign w:val="center"/>
          </w:tcPr>
          <w:p w14:paraId="78480D72">
            <w:pPr>
              <w:widowControl/>
              <w:spacing w:after="240"/>
              <w:jc w:val="center"/>
              <w:rPr>
                <w:rFonts w:cstheme="minorHAnsi"/>
                <w:sz w:val="18"/>
                <w:szCs w:val="18"/>
              </w:rPr>
            </w:pPr>
            <w:r>
              <w:rPr>
                <w:rFonts w:cstheme="minorHAnsi"/>
                <w:sz w:val="18"/>
                <w:szCs w:val="18"/>
              </w:rPr>
              <w:t>●</w:t>
            </w:r>
          </w:p>
        </w:tc>
        <w:tc>
          <w:tcPr>
            <w:tcW w:w="560" w:type="dxa"/>
            <w:tcBorders>
              <w:top w:val="single" w:color="auto" w:sz="4" w:space="0"/>
              <w:left w:val="single" w:color="auto" w:sz="4" w:space="0"/>
              <w:bottom w:val="nil"/>
              <w:right w:val="single" w:color="auto" w:sz="4" w:space="0"/>
            </w:tcBorders>
            <w:vAlign w:val="center"/>
          </w:tcPr>
          <w:p w14:paraId="7F38C83E">
            <w:pPr>
              <w:widowControl/>
              <w:spacing w:after="240"/>
              <w:jc w:val="center"/>
              <w:rPr>
                <w:rFonts w:cstheme="minorHAnsi"/>
                <w:sz w:val="18"/>
                <w:szCs w:val="18"/>
              </w:rPr>
            </w:pPr>
            <w:r>
              <w:rPr>
                <w:rFonts w:cstheme="minorHAnsi"/>
                <w:sz w:val="18"/>
                <w:szCs w:val="18"/>
              </w:rPr>
              <w:t>●</w:t>
            </w:r>
          </w:p>
        </w:tc>
        <w:tc>
          <w:tcPr>
            <w:tcW w:w="708" w:type="dxa"/>
            <w:tcBorders>
              <w:top w:val="single" w:color="auto" w:sz="4" w:space="0"/>
              <w:left w:val="single" w:color="auto" w:sz="4" w:space="0"/>
              <w:bottom w:val="nil"/>
              <w:right w:val="single" w:color="auto" w:sz="4" w:space="0"/>
            </w:tcBorders>
            <w:vAlign w:val="center"/>
          </w:tcPr>
          <w:p w14:paraId="40670037">
            <w:pPr>
              <w:widowControl/>
              <w:spacing w:after="240"/>
              <w:jc w:val="center"/>
              <w:rPr>
                <w:rFonts w:cstheme="minorHAnsi"/>
                <w:sz w:val="18"/>
                <w:szCs w:val="18"/>
              </w:rPr>
            </w:pPr>
            <w:r>
              <w:rPr>
                <w:rFonts w:cstheme="minorHAnsi"/>
                <w:sz w:val="18"/>
                <w:szCs w:val="18"/>
              </w:rPr>
              <w:t>●</w:t>
            </w:r>
          </w:p>
        </w:tc>
        <w:tc>
          <w:tcPr>
            <w:tcW w:w="675" w:type="dxa"/>
            <w:tcBorders>
              <w:top w:val="single" w:color="auto" w:sz="4" w:space="0"/>
              <w:left w:val="single" w:color="auto" w:sz="4" w:space="0"/>
              <w:bottom w:val="nil"/>
              <w:right w:val="single" w:color="auto" w:sz="4" w:space="0"/>
            </w:tcBorders>
            <w:vAlign w:val="center"/>
          </w:tcPr>
          <w:p w14:paraId="4A80040A">
            <w:pPr>
              <w:widowControl/>
              <w:spacing w:after="240"/>
              <w:jc w:val="center"/>
              <w:rPr>
                <w:rFonts w:cstheme="minorHAnsi"/>
                <w:sz w:val="18"/>
                <w:szCs w:val="18"/>
              </w:rPr>
            </w:pPr>
            <w:r>
              <w:rPr>
                <w:rFonts w:cstheme="minorHAnsi"/>
                <w:sz w:val="18"/>
                <w:szCs w:val="18"/>
              </w:rPr>
              <w:t>●</w:t>
            </w:r>
          </w:p>
        </w:tc>
      </w:tr>
      <w:tr w14:paraId="508A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39DF25BB">
            <w:pPr>
              <w:widowControl/>
              <w:spacing w:after="240"/>
              <w:jc w:val="center"/>
              <w:rPr>
                <w:rFonts w:cstheme="minorHAnsi"/>
                <w:sz w:val="18"/>
                <w:szCs w:val="18"/>
              </w:rPr>
            </w:pPr>
            <w:r>
              <w:rPr>
                <w:rFonts w:cstheme="minorHAnsi"/>
                <w:sz w:val="18"/>
                <w:szCs w:val="18"/>
              </w:rPr>
              <w:t>IA</w:t>
            </w:r>
          </w:p>
        </w:tc>
        <w:tc>
          <w:tcPr>
            <w:tcW w:w="6491" w:type="dxa"/>
            <w:tcBorders>
              <w:top w:val="nil"/>
              <w:left w:val="single" w:color="auto" w:sz="4" w:space="0"/>
              <w:bottom w:val="nil"/>
              <w:right w:val="single" w:color="auto" w:sz="4" w:space="0"/>
            </w:tcBorders>
            <w:vAlign w:val="center"/>
          </w:tcPr>
          <w:p w14:paraId="40B73B32">
            <w:pPr>
              <w:spacing w:after="240"/>
              <w:jc w:val="left"/>
              <w:rPr>
                <w:rFonts w:cstheme="minorHAnsi"/>
                <w:sz w:val="18"/>
                <w:szCs w:val="18"/>
                <w:lang w:val="pt-BR"/>
              </w:rPr>
            </w:pPr>
            <w:r>
              <w:rPr>
                <w:rFonts w:cstheme="minorHAnsi"/>
                <w:sz w:val="18"/>
                <w:szCs w:val="18"/>
                <w:lang w:val="pt-BR"/>
              </w:rPr>
              <w:t>Ex ia IIC T6 Ga</w:t>
            </w:r>
          </w:p>
        </w:tc>
        <w:tc>
          <w:tcPr>
            <w:tcW w:w="716" w:type="dxa"/>
            <w:tcBorders>
              <w:top w:val="nil"/>
              <w:left w:val="single" w:color="auto" w:sz="4" w:space="0"/>
              <w:bottom w:val="nil"/>
              <w:right w:val="single" w:color="auto" w:sz="4" w:space="0"/>
            </w:tcBorders>
            <w:vAlign w:val="center"/>
          </w:tcPr>
          <w:p w14:paraId="5066B2D9">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0EE805D4">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76344511">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4E4AA013">
            <w:pPr>
              <w:widowControl/>
              <w:spacing w:after="240"/>
              <w:jc w:val="center"/>
              <w:rPr>
                <w:rFonts w:cstheme="minorHAnsi"/>
                <w:sz w:val="18"/>
                <w:szCs w:val="18"/>
              </w:rPr>
            </w:pPr>
            <w:r>
              <w:rPr>
                <w:rFonts w:cstheme="minorHAnsi"/>
                <w:sz w:val="18"/>
                <w:szCs w:val="18"/>
              </w:rPr>
              <w:t>●</w:t>
            </w:r>
          </w:p>
        </w:tc>
      </w:tr>
      <w:tr w14:paraId="5106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nil"/>
              <w:right w:val="single" w:color="auto" w:sz="4" w:space="0"/>
            </w:tcBorders>
            <w:vAlign w:val="center"/>
          </w:tcPr>
          <w:p w14:paraId="771B6B5F">
            <w:pPr>
              <w:widowControl/>
              <w:spacing w:after="240"/>
              <w:jc w:val="center"/>
              <w:rPr>
                <w:rFonts w:cstheme="minorHAnsi"/>
                <w:sz w:val="18"/>
                <w:szCs w:val="18"/>
              </w:rPr>
            </w:pPr>
            <w:r>
              <w:rPr>
                <w:rFonts w:cstheme="minorHAnsi"/>
                <w:sz w:val="18"/>
                <w:szCs w:val="18"/>
              </w:rPr>
              <w:t>DC</w:t>
            </w:r>
          </w:p>
        </w:tc>
        <w:tc>
          <w:tcPr>
            <w:tcW w:w="6491" w:type="dxa"/>
            <w:tcBorders>
              <w:top w:val="nil"/>
              <w:left w:val="single" w:color="auto" w:sz="4" w:space="0"/>
              <w:bottom w:val="nil"/>
              <w:right w:val="single" w:color="auto" w:sz="4" w:space="0"/>
            </w:tcBorders>
            <w:vAlign w:val="center"/>
          </w:tcPr>
          <w:p w14:paraId="71F323CE">
            <w:pPr>
              <w:widowControl/>
              <w:spacing w:after="240"/>
              <w:jc w:val="left"/>
              <w:rPr>
                <w:rFonts w:cstheme="minorHAnsi"/>
                <w:sz w:val="18"/>
                <w:szCs w:val="18"/>
                <w:lang w:val="pt-BR"/>
              </w:rPr>
            </w:pPr>
            <w:r>
              <w:rPr>
                <w:rFonts w:cstheme="minorHAnsi"/>
                <w:sz w:val="18"/>
                <w:szCs w:val="18"/>
                <w:lang w:val="pt-BR"/>
              </w:rPr>
              <w:t>Ex d IIC T4 Gb</w:t>
            </w:r>
          </w:p>
        </w:tc>
        <w:tc>
          <w:tcPr>
            <w:tcW w:w="716" w:type="dxa"/>
            <w:tcBorders>
              <w:top w:val="nil"/>
              <w:left w:val="single" w:color="auto" w:sz="4" w:space="0"/>
              <w:bottom w:val="nil"/>
              <w:right w:val="single" w:color="auto" w:sz="4" w:space="0"/>
            </w:tcBorders>
            <w:vAlign w:val="center"/>
          </w:tcPr>
          <w:p w14:paraId="17B17F43">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nil"/>
              <w:right w:val="single" w:color="auto" w:sz="4" w:space="0"/>
            </w:tcBorders>
            <w:vAlign w:val="center"/>
          </w:tcPr>
          <w:p w14:paraId="0F6BF6B3">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nil"/>
              <w:right w:val="single" w:color="auto" w:sz="4" w:space="0"/>
            </w:tcBorders>
            <w:vAlign w:val="center"/>
          </w:tcPr>
          <w:p w14:paraId="3BE3DDD6">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nil"/>
              <w:right w:val="single" w:color="auto" w:sz="4" w:space="0"/>
            </w:tcBorders>
            <w:vAlign w:val="center"/>
          </w:tcPr>
          <w:p w14:paraId="2FC2260C">
            <w:pPr>
              <w:widowControl/>
              <w:spacing w:after="240"/>
              <w:jc w:val="center"/>
              <w:rPr>
                <w:rFonts w:cstheme="minorHAnsi"/>
                <w:sz w:val="18"/>
                <w:szCs w:val="18"/>
              </w:rPr>
            </w:pPr>
            <w:r>
              <w:rPr>
                <w:rFonts w:cstheme="minorHAnsi"/>
                <w:sz w:val="18"/>
                <w:szCs w:val="18"/>
              </w:rPr>
              <w:t>●</w:t>
            </w:r>
          </w:p>
        </w:tc>
      </w:tr>
      <w:tr w14:paraId="2A1E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single" w:color="auto" w:sz="4" w:space="0"/>
              <w:right w:val="single" w:color="auto" w:sz="4" w:space="0"/>
            </w:tcBorders>
            <w:vAlign w:val="center"/>
          </w:tcPr>
          <w:p w14:paraId="1045F9C3">
            <w:pPr>
              <w:spacing w:after="240"/>
              <w:jc w:val="center"/>
              <w:rPr>
                <w:rFonts w:cstheme="minorHAnsi"/>
                <w:sz w:val="18"/>
                <w:szCs w:val="18"/>
              </w:rPr>
            </w:pPr>
            <w:r>
              <w:rPr>
                <w:rFonts w:cstheme="minorHAnsi"/>
                <w:sz w:val="18"/>
                <w:szCs w:val="18"/>
              </w:rPr>
              <w:t>DA</w:t>
            </w:r>
          </w:p>
        </w:tc>
        <w:tc>
          <w:tcPr>
            <w:tcW w:w="6491" w:type="dxa"/>
            <w:tcBorders>
              <w:top w:val="nil"/>
              <w:left w:val="single" w:color="auto" w:sz="4" w:space="0"/>
              <w:bottom w:val="single" w:color="auto" w:sz="4" w:space="0"/>
              <w:right w:val="single" w:color="auto" w:sz="4" w:space="0"/>
            </w:tcBorders>
            <w:vAlign w:val="center"/>
          </w:tcPr>
          <w:p w14:paraId="678B5B18">
            <w:pPr>
              <w:spacing w:after="240"/>
              <w:jc w:val="left"/>
              <w:rPr>
                <w:rFonts w:cstheme="minorHAnsi"/>
                <w:sz w:val="18"/>
                <w:szCs w:val="18"/>
                <w:lang w:val="pt-BR"/>
              </w:rPr>
            </w:pPr>
            <w:r>
              <w:rPr>
                <w:rFonts w:cstheme="minorHAnsi"/>
                <w:sz w:val="18"/>
                <w:szCs w:val="18"/>
                <w:lang w:val="pt-BR"/>
              </w:rPr>
              <w:t>Ex d IIC T6 Gb</w:t>
            </w:r>
          </w:p>
        </w:tc>
        <w:tc>
          <w:tcPr>
            <w:tcW w:w="716" w:type="dxa"/>
            <w:tcBorders>
              <w:top w:val="nil"/>
              <w:left w:val="single" w:color="auto" w:sz="4" w:space="0"/>
              <w:bottom w:val="single" w:color="auto" w:sz="4" w:space="0"/>
              <w:right w:val="single" w:color="auto" w:sz="4" w:space="0"/>
            </w:tcBorders>
            <w:vAlign w:val="center"/>
          </w:tcPr>
          <w:p w14:paraId="68329CD4">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single" w:color="auto" w:sz="4" w:space="0"/>
              <w:right w:val="single" w:color="auto" w:sz="4" w:space="0"/>
            </w:tcBorders>
            <w:vAlign w:val="center"/>
          </w:tcPr>
          <w:p w14:paraId="78B76D8B">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single" w:color="auto" w:sz="4" w:space="0"/>
              <w:right w:val="single" w:color="auto" w:sz="4" w:space="0"/>
            </w:tcBorders>
            <w:vAlign w:val="center"/>
          </w:tcPr>
          <w:p w14:paraId="2FF2695B">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single" w:color="auto" w:sz="4" w:space="0"/>
              <w:right w:val="single" w:color="auto" w:sz="4" w:space="0"/>
            </w:tcBorders>
            <w:vAlign w:val="center"/>
          </w:tcPr>
          <w:p w14:paraId="01C08547">
            <w:pPr>
              <w:widowControl/>
              <w:spacing w:after="240"/>
              <w:jc w:val="center"/>
              <w:rPr>
                <w:rFonts w:cstheme="minorHAnsi"/>
                <w:sz w:val="18"/>
                <w:szCs w:val="18"/>
              </w:rPr>
            </w:pPr>
            <w:r>
              <w:rPr>
                <w:rFonts w:cstheme="minorHAnsi"/>
                <w:sz w:val="18"/>
                <w:szCs w:val="18"/>
              </w:rPr>
              <w:t>●</w:t>
            </w:r>
          </w:p>
        </w:tc>
      </w:tr>
      <w:tr w14:paraId="7917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2F2F2"/>
            <w:vAlign w:val="center"/>
          </w:tcPr>
          <w:p w14:paraId="6EED1ECF">
            <w:pPr>
              <w:widowControl/>
              <w:spacing w:after="240"/>
              <w:jc w:val="center"/>
              <w:rPr>
                <w:rFonts w:cstheme="minorHAnsi"/>
                <w:sz w:val="18"/>
                <w:szCs w:val="18"/>
              </w:rPr>
            </w:pPr>
            <w:r>
              <w:rPr>
                <w:rFonts w:cstheme="minorHAnsi"/>
                <w:sz w:val="18"/>
                <w:szCs w:val="18"/>
              </w:rPr>
              <w:t>Code</w:t>
            </w:r>
          </w:p>
        </w:tc>
        <w:tc>
          <w:tcPr>
            <w:tcW w:w="6491" w:type="dxa"/>
            <w:tcBorders>
              <w:top w:val="single" w:color="auto" w:sz="4" w:space="0"/>
              <w:left w:val="single" w:color="auto" w:sz="4" w:space="0"/>
              <w:bottom w:val="single" w:color="auto" w:sz="4" w:space="0"/>
              <w:right w:val="single" w:color="auto" w:sz="4" w:space="0"/>
            </w:tcBorders>
            <w:shd w:val="clear" w:color="auto" w:fill="F2F2F2"/>
            <w:vAlign w:val="center"/>
          </w:tcPr>
          <w:p w14:paraId="19C3E51C">
            <w:pPr>
              <w:widowControl/>
              <w:spacing w:after="240"/>
              <w:jc w:val="left"/>
              <w:rPr>
                <w:rFonts w:cstheme="minorHAnsi"/>
                <w:sz w:val="18"/>
                <w:szCs w:val="18"/>
              </w:rPr>
            </w:pPr>
            <w:r>
              <w:rPr>
                <w:rFonts w:cstheme="minorHAnsi"/>
                <w:sz w:val="18"/>
                <w:szCs w:val="18"/>
              </w:rPr>
              <w:t>O-ring material of connection with the medium</w:t>
            </w:r>
          </w:p>
        </w:tc>
        <w:tc>
          <w:tcPr>
            <w:tcW w:w="716" w:type="dxa"/>
            <w:tcBorders>
              <w:top w:val="single" w:color="auto" w:sz="4" w:space="0"/>
              <w:left w:val="single" w:color="auto" w:sz="4" w:space="0"/>
              <w:bottom w:val="single" w:color="auto" w:sz="4" w:space="0"/>
              <w:right w:val="single" w:color="auto" w:sz="4" w:space="0"/>
            </w:tcBorders>
            <w:shd w:val="clear" w:color="auto" w:fill="F2F2F2"/>
            <w:vAlign w:val="center"/>
          </w:tcPr>
          <w:p w14:paraId="0B392B08">
            <w:pPr>
              <w:widowControl/>
              <w:spacing w:after="240" w:line="240" w:lineRule="atLeast"/>
              <w:jc w:val="center"/>
              <w:rPr>
                <w:rFonts w:ascii="Calibri" w:hAnsi="Calibri" w:cs="Calibri"/>
                <w:sz w:val="18"/>
                <w:szCs w:val="18"/>
              </w:rPr>
            </w:pPr>
            <w:r>
              <w:rPr>
                <w:rFonts w:cstheme="minorHAnsi"/>
                <w:sz w:val="18"/>
                <w:szCs w:val="18"/>
              </w:rPr>
              <w:t>SG</w:t>
            </w:r>
          </w:p>
        </w:tc>
        <w:tc>
          <w:tcPr>
            <w:tcW w:w="560" w:type="dxa"/>
            <w:tcBorders>
              <w:top w:val="single" w:color="auto" w:sz="4" w:space="0"/>
              <w:left w:val="single" w:color="auto" w:sz="4" w:space="0"/>
              <w:bottom w:val="single" w:color="auto" w:sz="4" w:space="0"/>
              <w:right w:val="single" w:color="auto" w:sz="4" w:space="0"/>
            </w:tcBorders>
            <w:shd w:val="clear" w:color="auto" w:fill="F2F2F2"/>
            <w:vAlign w:val="center"/>
          </w:tcPr>
          <w:p w14:paraId="2B348CCD">
            <w:pPr>
              <w:widowControl/>
              <w:spacing w:after="240" w:line="240" w:lineRule="atLeast"/>
              <w:jc w:val="center"/>
              <w:rPr>
                <w:rFonts w:ascii="Calibri" w:hAnsi="Calibri" w:cs="Calibri"/>
                <w:sz w:val="18"/>
                <w:szCs w:val="18"/>
              </w:rPr>
            </w:pPr>
            <w:r>
              <w:rPr>
                <w:rFonts w:cstheme="minorHAnsi"/>
                <w:sz w:val="18"/>
                <w:szCs w:val="18"/>
              </w:rPr>
              <w:t>SA</w:t>
            </w:r>
          </w:p>
        </w:tc>
        <w:tc>
          <w:tcPr>
            <w:tcW w:w="708" w:type="dxa"/>
            <w:tcBorders>
              <w:top w:val="single" w:color="auto" w:sz="4" w:space="0"/>
              <w:left w:val="single" w:color="auto" w:sz="4" w:space="0"/>
              <w:bottom w:val="single" w:color="auto" w:sz="4" w:space="0"/>
              <w:right w:val="single" w:color="auto" w:sz="4" w:space="0"/>
            </w:tcBorders>
            <w:shd w:val="clear" w:color="auto" w:fill="F2F2F2"/>
            <w:vAlign w:val="center"/>
          </w:tcPr>
          <w:p w14:paraId="1A0A6579">
            <w:pPr>
              <w:widowControl/>
              <w:spacing w:after="240" w:line="240" w:lineRule="atLeast"/>
              <w:jc w:val="center"/>
              <w:rPr>
                <w:rFonts w:ascii="Calibri" w:hAnsi="Calibri" w:cs="Calibri"/>
                <w:sz w:val="18"/>
                <w:szCs w:val="18"/>
              </w:rPr>
            </w:pPr>
            <w:r>
              <w:rPr>
                <w:rFonts w:cstheme="minorHAnsi"/>
                <w:sz w:val="18"/>
                <w:szCs w:val="18"/>
              </w:rPr>
              <w:t>SD</w:t>
            </w:r>
          </w:p>
        </w:tc>
        <w:tc>
          <w:tcPr>
            <w:tcW w:w="675" w:type="dxa"/>
            <w:tcBorders>
              <w:top w:val="single" w:color="auto" w:sz="4" w:space="0"/>
              <w:left w:val="single" w:color="auto" w:sz="4" w:space="0"/>
              <w:bottom w:val="single" w:color="auto" w:sz="4" w:space="0"/>
              <w:right w:val="single" w:color="auto" w:sz="4" w:space="0"/>
            </w:tcBorders>
            <w:shd w:val="clear" w:color="auto" w:fill="F2F2F2"/>
            <w:vAlign w:val="center"/>
          </w:tcPr>
          <w:p w14:paraId="1BE393FF">
            <w:pPr>
              <w:widowControl/>
              <w:spacing w:after="240" w:line="240" w:lineRule="atLeast"/>
              <w:jc w:val="center"/>
              <w:rPr>
                <w:rFonts w:ascii="Calibri" w:hAnsi="Calibri" w:cs="Calibri"/>
                <w:sz w:val="18"/>
                <w:szCs w:val="18"/>
              </w:rPr>
            </w:pPr>
            <w:r>
              <w:rPr>
                <w:rFonts w:cstheme="minorHAnsi"/>
                <w:sz w:val="18"/>
                <w:szCs w:val="18"/>
              </w:rPr>
              <w:t>S</w:t>
            </w:r>
            <w:r>
              <w:rPr>
                <w:rFonts w:hint="eastAsia" w:cstheme="minorHAnsi"/>
                <w:sz w:val="18"/>
                <w:szCs w:val="18"/>
              </w:rPr>
              <w:t>H</w:t>
            </w:r>
          </w:p>
        </w:tc>
      </w:tr>
      <w:tr w14:paraId="0B7D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auto"/>
            <w:vAlign w:val="center"/>
          </w:tcPr>
          <w:p w14:paraId="0D43FE1C">
            <w:pPr>
              <w:widowControl/>
              <w:spacing w:after="240"/>
              <w:jc w:val="center"/>
              <w:rPr>
                <w:rFonts w:ascii="Calibri" w:hAnsi="Calibri" w:cs="Calibri"/>
                <w:sz w:val="18"/>
                <w:szCs w:val="18"/>
              </w:rPr>
            </w:pPr>
            <w:r>
              <w:rPr>
                <w:sz w:val="18"/>
                <w:szCs w:val="18"/>
              </w:rPr>
              <w:t>W</w:t>
            </w:r>
            <w:r>
              <w:rPr>
                <w:sz w:val="18"/>
                <w:szCs w:val="18"/>
                <w:vertAlign w:val="subscript"/>
              </w:rPr>
              <w:t>2</w:t>
            </w:r>
          </w:p>
        </w:tc>
        <w:tc>
          <w:tcPr>
            <w:tcW w:w="6491" w:type="dxa"/>
            <w:tcBorders>
              <w:top w:val="single" w:color="auto" w:sz="4" w:space="0"/>
              <w:left w:val="single" w:color="auto" w:sz="4" w:space="0"/>
              <w:bottom w:val="single" w:color="auto" w:sz="4" w:space="0"/>
              <w:right w:val="single" w:color="auto" w:sz="4" w:space="0"/>
            </w:tcBorders>
            <w:shd w:val="clear" w:color="auto" w:fill="auto"/>
            <w:vAlign w:val="center"/>
          </w:tcPr>
          <w:p w14:paraId="04783BD6">
            <w:pPr>
              <w:widowControl/>
              <w:spacing w:after="240"/>
              <w:jc w:val="left"/>
              <w:rPr>
                <w:rFonts w:cstheme="minorHAnsi"/>
                <w:sz w:val="18"/>
                <w:szCs w:val="18"/>
              </w:rPr>
            </w:pPr>
            <w:r>
              <w:rPr>
                <w:rFonts w:cstheme="minorHAnsi"/>
                <w:sz w:val="18"/>
                <w:szCs w:val="18"/>
              </w:rPr>
              <w:t>Nitrile rubber</w:t>
            </w:r>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139C350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60" w:type="dxa"/>
            <w:tcBorders>
              <w:top w:val="single" w:color="auto" w:sz="4" w:space="0"/>
              <w:left w:val="single" w:color="auto" w:sz="4" w:space="0"/>
              <w:bottom w:val="single" w:color="auto" w:sz="4" w:space="0"/>
              <w:right w:val="single" w:color="auto" w:sz="4" w:space="0"/>
            </w:tcBorders>
            <w:shd w:val="clear" w:color="auto" w:fill="auto"/>
            <w:vAlign w:val="center"/>
          </w:tcPr>
          <w:p w14:paraId="6AABB89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8D571A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F7572ED">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38CE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auto"/>
            <w:vAlign w:val="center"/>
          </w:tcPr>
          <w:p w14:paraId="778A2C27">
            <w:pPr>
              <w:widowControl/>
              <w:spacing w:after="240"/>
              <w:jc w:val="center"/>
              <w:rPr>
                <w:rFonts w:ascii="Calibri" w:hAnsi="Calibri" w:cs="Calibri"/>
                <w:sz w:val="18"/>
                <w:szCs w:val="18"/>
              </w:rPr>
            </w:pPr>
            <w:r>
              <w:rPr>
                <w:sz w:val="18"/>
                <w:szCs w:val="18"/>
              </w:rPr>
              <w:t>W</w:t>
            </w:r>
            <w:r>
              <w:rPr>
                <w:sz w:val="18"/>
                <w:szCs w:val="18"/>
                <w:vertAlign w:val="subscript"/>
              </w:rPr>
              <w:t>3</w:t>
            </w:r>
          </w:p>
        </w:tc>
        <w:tc>
          <w:tcPr>
            <w:tcW w:w="6491" w:type="dxa"/>
            <w:tcBorders>
              <w:top w:val="single" w:color="auto" w:sz="4" w:space="0"/>
              <w:left w:val="single" w:color="auto" w:sz="4" w:space="0"/>
              <w:bottom w:val="single" w:color="auto" w:sz="4" w:space="0"/>
              <w:right w:val="single" w:color="auto" w:sz="4" w:space="0"/>
            </w:tcBorders>
            <w:shd w:val="clear" w:color="auto" w:fill="auto"/>
            <w:vAlign w:val="center"/>
          </w:tcPr>
          <w:p w14:paraId="0ACCBB6C">
            <w:pPr>
              <w:widowControl/>
              <w:spacing w:after="240"/>
              <w:jc w:val="left"/>
              <w:rPr>
                <w:rFonts w:cstheme="minorHAnsi"/>
                <w:sz w:val="18"/>
                <w:szCs w:val="18"/>
              </w:rPr>
            </w:pPr>
            <w:r>
              <w:rPr>
                <w:rFonts w:cstheme="minorHAnsi"/>
                <w:sz w:val="18"/>
                <w:szCs w:val="18"/>
              </w:rPr>
              <w:t>Fluororubber</w:t>
            </w:r>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6B3EDD6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60" w:type="dxa"/>
            <w:tcBorders>
              <w:top w:val="single" w:color="auto" w:sz="4" w:space="0"/>
              <w:left w:val="single" w:color="auto" w:sz="4" w:space="0"/>
              <w:bottom w:val="single" w:color="auto" w:sz="4" w:space="0"/>
              <w:right w:val="single" w:color="auto" w:sz="4" w:space="0"/>
            </w:tcBorders>
            <w:shd w:val="clear" w:color="auto" w:fill="auto"/>
            <w:vAlign w:val="center"/>
          </w:tcPr>
          <w:p w14:paraId="65C0709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2AD19D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65C62387">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7507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auto"/>
            <w:vAlign w:val="center"/>
          </w:tcPr>
          <w:p w14:paraId="5BAB34D0">
            <w:pPr>
              <w:widowControl/>
              <w:spacing w:after="240"/>
              <w:jc w:val="center"/>
              <w:rPr>
                <w:sz w:val="18"/>
                <w:szCs w:val="18"/>
              </w:rPr>
            </w:pPr>
            <w:r>
              <w:rPr>
                <w:sz w:val="18"/>
                <w:szCs w:val="18"/>
              </w:rPr>
              <w:t>Note</w:t>
            </w:r>
          </w:p>
        </w:tc>
        <w:tc>
          <w:tcPr>
            <w:tcW w:w="915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01FF507">
            <w:pPr>
              <w:widowControl/>
              <w:spacing w:after="240" w:line="240" w:lineRule="atLeast"/>
              <w:jc w:val="left"/>
              <w:rPr>
                <w:rFonts w:ascii="Calibri" w:hAnsi="Calibri" w:cs="Calibri"/>
                <w:sz w:val="18"/>
                <w:szCs w:val="18"/>
              </w:rPr>
            </w:pPr>
            <w:r>
              <w:rPr>
                <w:rFonts w:hint="eastAsia" w:cstheme="minorHAnsi"/>
                <w:sz w:val="18"/>
                <w:szCs w:val="18"/>
              </w:rPr>
              <w:t>For NCS-PT105IIMSD-differential pressure transmitters (with temperature compensation range selection C4), NCS-PT105IIMSH-High static pressure differential pressure transmitter and NCS-PT105IIMSG-Gauge pressure transmitter (range ≥25MPa), 316L stainless ste</w:t>
            </w:r>
            <w:r>
              <w:rPr>
                <w:rFonts w:cstheme="minorHAnsi"/>
                <w:sz w:val="18"/>
                <w:szCs w:val="18"/>
              </w:rPr>
              <w:t>el seals will be used. Other seals are not supported.</w:t>
            </w:r>
          </w:p>
        </w:tc>
      </w:tr>
      <w:tr w14:paraId="65CD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2F2F2"/>
            <w:vAlign w:val="center"/>
          </w:tcPr>
          <w:p w14:paraId="58287127">
            <w:pPr>
              <w:widowControl/>
              <w:spacing w:after="240"/>
              <w:jc w:val="center"/>
              <w:rPr>
                <w:rFonts w:cstheme="minorHAnsi"/>
                <w:sz w:val="18"/>
                <w:szCs w:val="18"/>
              </w:rPr>
            </w:pPr>
            <w:r>
              <w:rPr>
                <w:rFonts w:cstheme="minorHAnsi"/>
                <w:sz w:val="18"/>
                <w:szCs w:val="18"/>
              </w:rPr>
              <w:t>Code</w:t>
            </w:r>
          </w:p>
        </w:tc>
        <w:tc>
          <w:tcPr>
            <w:tcW w:w="6491" w:type="dxa"/>
            <w:tcBorders>
              <w:top w:val="single" w:color="auto" w:sz="4" w:space="0"/>
              <w:left w:val="single" w:color="auto" w:sz="4" w:space="0"/>
              <w:bottom w:val="single" w:color="auto" w:sz="4" w:space="0"/>
              <w:right w:val="single" w:color="auto" w:sz="4" w:space="0"/>
            </w:tcBorders>
            <w:shd w:val="clear" w:color="auto" w:fill="F2F2F2"/>
            <w:vAlign w:val="center"/>
          </w:tcPr>
          <w:p w14:paraId="2289C0A8">
            <w:pPr>
              <w:widowControl/>
              <w:spacing w:after="240"/>
              <w:jc w:val="left"/>
              <w:rPr>
                <w:rFonts w:cstheme="minorHAnsi"/>
                <w:sz w:val="18"/>
                <w:szCs w:val="18"/>
              </w:rPr>
            </w:pPr>
            <w:r>
              <w:rPr>
                <w:rFonts w:cstheme="minorHAnsi"/>
                <w:sz w:val="18"/>
                <w:szCs w:val="18"/>
              </w:rPr>
              <w:t>Bolt material</w:t>
            </w:r>
          </w:p>
        </w:tc>
        <w:tc>
          <w:tcPr>
            <w:tcW w:w="716" w:type="dxa"/>
            <w:tcBorders>
              <w:top w:val="single" w:color="auto" w:sz="4" w:space="0"/>
              <w:left w:val="single" w:color="auto" w:sz="4" w:space="0"/>
              <w:bottom w:val="single" w:color="auto" w:sz="4" w:space="0"/>
              <w:right w:val="single" w:color="auto" w:sz="4" w:space="0"/>
            </w:tcBorders>
            <w:shd w:val="clear" w:color="auto" w:fill="F2F2F2"/>
            <w:vAlign w:val="center"/>
          </w:tcPr>
          <w:p w14:paraId="19B0BE8E">
            <w:pPr>
              <w:widowControl/>
              <w:spacing w:after="240" w:line="240" w:lineRule="atLeast"/>
              <w:jc w:val="center"/>
              <w:rPr>
                <w:rFonts w:ascii="Calibri" w:hAnsi="Calibri" w:cs="Calibri"/>
                <w:sz w:val="18"/>
                <w:szCs w:val="18"/>
              </w:rPr>
            </w:pPr>
            <w:r>
              <w:rPr>
                <w:rFonts w:cstheme="minorHAnsi"/>
                <w:sz w:val="18"/>
                <w:szCs w:val="18"/>
              </w:rPr>
              <w:t>SG</w:t>
            </w:r>
          </w:p>
        </w:tc>
        <w:tc>
          <w:tcPr>
            <w:tcW w:w="560" w:type="dxa"/>
            <w:tcBorders>
              <w:top w:val="single" w:color="auto" w:sz="4" w:space="0"/>
              <w:left w:val="single" w:color="auto" w:sz="4" w:space="0"/>
              <w:bottom w:val="single" w:color="auto" w:sz="4" w:space="0"/>
              <w:right w:val="single" w:color="auto" w:sz="4" w:space="0"/>
            </w:tcBorders>
            <w:shd w:val="clear" w:color="auto" w:fill="F2F2F2"/>
            <w:vAlign w:val="center"/>
          </w:tcPr>
          <w:p w14:paraId="2C8B190A">
            <w:pPr>
              <w:widowControl/>
              <w:spacing w:after="240" w:line="240" w:lineRule="atLeast"/>
              <w:jc w:val="center"/>
              <w:rPr>
                <w:rFonts w:ascii="Calibri" w:hAnsi="Calibri" w:cs="Calibri"/>
                <w:sz w:val="18"/>
                <w:szCs w:val="18"/>
              </w:rPr>
            </w:pPr>
            <w:r>
              <w:rPr>
                <w:rFonts w:cstheme="minorHAnsi"/>
                <w:sz w:val="18"/>
                <w:szCs w:val="18"/>
              </w:rPr>
              <w:t>SA</w:t>
            </w:r>
          </w:p>
        </w:tc>
        <w:tc>
          <w:tcPr>
            <w:tcW w:w="708" w:type="dxa"/>
            <w:tcBorders>
              <w:top w:val="single" w:color="auto" w:sz="4" w:space="0"/>
              <w:left w:val="single" w:color="auto" w:sz="4" w:space="0"/>
              <w:bottom w:val="single" w:color="auto" w:sz="4" w:space="0"/>
              <w:right w:val="single" w:color="auto" w:sz="4" w:space="0"/>
            </w:tcBorders>
            <w:shd w:val="clear" w:color="auto" w:fill="F2F2F2"/>
            <w:vAlign w:val="center"/>
          </w:tcPr>
          <w:p w14:paraId="6F4C6B19">
            <w:pPr>
              <w:widowControl/>
              <w:spacing w:after="240" w:line="240" w:lineRule="atLeast"/>
              <w:jc w:val="center"/>
              <w:rPr>
                <w:rFonts w:ascii="Calibri" w:hAnsi="Calibri" w:cs="Calibri"/>
                <w:sz w:val="18"/>
                <w:szCs w:val="18"/>
              </w:rPr>
            </w:pPr>
            <w:r>
              <w:rPr>
                <w:rFonts w:cstheme="minorHAnsi"/>
                <w:sz w:val="18"/>
                <w:szCs w:val="18"/>
              </w:rPr>
              <w:t>SD</w:t>
            </w:r>
          </w:p>
        </w:tc>
        <w:tc>
          <w:tcPr>
            <w:tcW w:w="675" w:type="dxa"/>
            <w:tcBorders>
              <w:top w:val="single" w:color="auto" w:sz="4" w:space="0"/>
              <w:left w:val="single" w:color="auto" w:sz="4" w:space="0"/>
              <w:bottom w:val="single" w:color="auto" w:sz="4" w:space="0"/>
              <w:right w:val="single" w:color="auto" w:sz="4" w:space="0"/>
            </w:tcBorders>
            <w:shd w:val="clear" w:color="auto" w:fill="F2F2F2"/>
            <w:vAlign w:val="center"/>
          </w:tcPr>
          <w:p w14:paraId="61B58F72">
            <w:pPr>
              <w:widowControl/>
              <w:spacing w:after="240" w:line="240" w:lineRule="atLeast"/>
              <w:jc w:val="center"/>
              <w:rPr>
                <w:rFonts w:ascii="Calibri" w:hAnsi="Calibri" w:cs="Calibri"/>
                <w:sz w:val="18"/>
                <w:szCs w:val="18"/>
              </w:rPr>
            </w:pPr>
            <w:r>
              <w:rPr>
                <w:rFonts w:cstheme="minorHAnsi"/>
                <w:sz w:val="18"/>
                <w:szCs w:val="18"/>
              </w:rPr>
              <w:t>S</w:t>
            </w:r>
            <w:r>
              <w:rPr>
                <w:rFonts w:hint="eastAsia" w:cstheme="minorHAnsi"/>
                <w:sz w:val="18"/>
                <w:szCs w:val="18"/>
              </w:rPr>
              <w:t>H</w:t>
            </w:r>
          </w:p>
        </w:tc>
      </w:tr>
      <w:tr w14:paraId="0CF4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auto"/>
            <w:vAlign w:val="center"/>
          </w:tcPr>
          <w:p w14:paraId="20CFA470">
            <w:pPr>
              <w:widowControl/>
              <w:spacing w:after="240"/>
              <w:jc w:val="center"/>
              <w:rPr>
                <w:rFonts w:ascii="Calibri" w:hAnsi="Calibri" w:cs="Calibri"/>
                <w:sz w:val="18"/>
                <w:szCs w:val="18"/>
              </w:rPr>
            </w:pPr>
            <w:r>
              <w:rPr>
                <w:sz w:val="18"/>
                <w:szCs w:val="18"/>
              </w:rPr>
              <w:t>L</w:t>
            </w:r>
            <w:r>
              <w:rPr>
                <w:sz w:val="18"/>
                <w:szCs w:val="18"/>
                <w:vertAlign w:val="subscript"/>
              </w:rPr>
              <w:t>1</w:t>
            </w:r>
          </w:p>
        </w:tc>
        <w:tc>
          <w:tcPr>
            <w:tcW w:w="6491" w:type="dxa"/>
            <w:tcBorders>
              <w:top w:val="single" w:color="auto" w:sz="4" w:space="0"/>
              <w:left w:val="single" w:color="auto" w:sz="4" w:space="0"/>
              <w:bottom w:val="single" w:color="auto" w:sz="4" w:space="0"/>
              <w:right w:val="single" w:color="auto" w:sz="4" w:space="0"/>
            </w:tcBorders>
            <w:shd w:val="clear" w:color="auto" w:fill="auto"/>
            <w:vAlign w:val="center"/>
          </w:tcPr>
          <w:p w14:paraId="58E4327B">
            <w:pPr>
              <w:widowControl/>
              <w:spacing w:after="240"/>
              <w:jc w:val="left"/>
              <w:rPr>
                <w:rFonts w:cstheme="minorHAnsi"/>
                <w:sz w:val="18"/>
                <w:szCs w:val="18"/>
              </w:rPr>
            </w:pPr>
            <w:r>
              <w:rPr>
                <w:rFonts w:cstheme="minorHAnsi"/>
                <w:sz w:val="18"/>
                <w:szCs w:val="18"/>
              </w:rPr>
              <w:t>Stainless steel</w:t>
            </w:r>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457171B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60" w:type="dxa"/>
            <w:tcBorders>
              <w:top w:val="single" w:color="auto" w:sz="4" w:space="0"/>
              <w:left w:val="single" w:color="auto" w:sz="4" w:space="0"/>
              <w:bottom w:val="single" w:color="auto" w:sz="4" w:space="0"/>
              <w:right w:val="single" w:color="auto" w:sz="4" w:space="0"/>
            </w:tcBorders>
            <w:shd w:val="clear" w:color="auto" w:fill="auto"/>
            <w:vAlign w:val="center"/>
          </w:tcPr>
          <w:p w14:paraId="2C23B1C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067D94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5B07B5FC">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3507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auto"/>
            <w:vAlign w:val="center"/>
          </w:tcPr>
          <w:p w14:paraId="1135CE73">
            <w:pPr>
              <w:widowControl/>
              <w:spacing w:after="240"/>
              <w:jc w:val="center"/>
              <w:rPr>
                <w:rFonts w:ascii="Calibri" w:hAnsi="Calibri" w:cs="Calibri"/>
                <w:sz w:val="18"/>
                <w:szCs w:val="18"/>
              </w:rPr>
            </w:pPr>
            <w:r>
              <w:rPr>
                <w:sz w:val="18"/>
                <w:szCs w:val="18"/>
              </w:rPr>
              <w:t>L</w:t>
            </w:r>
            <w:r>
              <w:rPr>
                <w:sz w:val="18"/>
                <w:szCs w:val="18"/>
                <w:vertAlign w:val="subscript"/>
              </w:rPr>
              <w:t>3</w:t>
            </w:r>
          </w:p>
        </w:tc>
        <w:tc>
          <w:tcPr>
            <w:tcW w:w="6491" w:type="dxa"/>
            <w:tcBorders>
              <w:top w:val="single" w:color="auto" w:sz="4" w:space="0"/>
              <w:left w:val="single" w:color="auto" w:sz="4" w:space="0"/>
              <w:bottom w:val="single" w:color="auto" w:sz="4" w:space="0"/>
              <w:right w:val="single" w:color="auto" w:sz="4" w:space="0"/>
            </w:tcBorders>
            <w:shd w:val="clear" w:color="auto" w:fill="auto"/>
            <w:vAlign w:val="center"/>
          </w:tcPr>
          <w:p w14:paraId="583DD24A">
            <w:pPr>
              <w:widowControl/>
              <w:spacing w:after="240"/>
              <w:jc w:val="left"/>
              <w:rPr>
                <w:rFonts w:cstheme="minorHAnsi"/>
                <w:sz w:val="18"/>
                <w:szCs w:val="18"/>
              </w:rPr>
            </w:pPr>
            <w:r>
              <w:rPr>
                <w:rFonts w:cstheme="minorHAnsi"/>
                <w:sz w:val="18"/>
                <w:szCs w:val="18"/>
              </w:rPr>
              <w:t>Carbon steel</w:t>
            </w:r>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56B949C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60" w:type="dxa"/>
            <w:tcBorders>
              <w:top w:val="single" w:color="auto" w:sz="4" w:space="0"/>
              <w:left w:val="single" w:color="auto" w:sz="4" w:space="0"/>
              <w:bottom w:val="single" w:color="auto" w:sz="4" w:space="0"/>
              <w:right w:val="single" w:color="auto" w:sz="4" w:space="0"/>
            </w:tcBorders>
            <w:shd w:val="clear" w:color="auto" w:fill="auto"/>
            <w:vAlign w:val="center"/>
          </w:tcPr>
          <w:p w14:paraId="1D5062E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FEE612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6711E1F8">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7B3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2F2F2"/>
            <w:vAlign w:val="center"/>
          </w:tcPr>
          <w:p w14:paraId="0D0FDB21">
            <w:pPr>
              <w:widowControl/>
              <w:spacing w:after="240"/>
              <w:jc w:val="center"/>
              <w:rPr>
                <w:rFonts w:cstheme="minorHAnsi"/>
                <w:sz w:val="18"/>
                <w:szCs w:val="18"/>
              </w:rPr>
            </w:pPr>
            <w:r>
              <w:rPr>
                <w:rFonts w:cstheme="minorHAnsi"/>
                <w:sz w:val="18"/>
                <w:szCs w:val="18"/>
              </w:rPr>
              <w:t>Code</w:t>
            </w:r>
          </w:p>
        </w:tc>
        <w:tc>
          <w:tcPr>
            <w:tcW w:w="6491" w:type="dxa"/>
            <w:tcBorders>
              <w:top w:val="single" w:color="auto" w:sz="4" w:space="0"/>
              <w:left w:val="single" w:color="auto" w:sz="4" w:space="0"/>
              <w:bottom w:val="single" w:color="auto" w:sz="4" w:space="0"/>
              <w:right w:val="single" w:color="auto" w:sz="4" w:space="0"/>
            </w:tcBorders>
            <w:shd w:val="clear" w:color="auto" w:fill="F2F2F2"/>
            <w:vAlign w:val="center"/>
          </w:tcPr>
          <w:p w14:paraId="34563823">
            <w:pPr>
              <w:widowControl/>
              <w:spacing w:after="240"/>
              <w:jc w:val="left"/>
              <w:rPr>
                <w:rFonts w:cstheme="minorHAnsi"/>
                <w:sz w:val="18"/>
                <w:szCs w:val="18"/>
              </w:rPr>
            </w:pPr>
            <w:r>
              <w:rPr>
                <w:rFonts w:cstheme="minorHAnsi"/>
                <w:sz w:val="18"/>
                <w:szCs w:val="18"/>
              </w:rPr>
              <w:t>3-valves manifold</w:t>
            </w:r>
          </w:p>
        </w:tc>
        <w:tc>
          <w:tcPr>
            <w:tcW w:w="716" w:type="dxa"/>
            <w:tcBorders>
              <w:top w:val="single" w:color="auto" w:sz="4" w:space="0"/>
              <w:left w:val="single" w:color="auto" w:sz="4" w:space="0"/>
              <w:bottom w:val="single" w:color="auto" w:sz="4" w:space="0"/>
              <w:right w:val="single" w:color="auto" w:sz="4" w:space="0"/>
            </w:tcBorders>
            <w:shd w:val="clear" w:color="auto" w:fill="F2F2F2"/>
            <w:vAlign w:val="center"/>
          </w:tcPr>
          <w:p w14:paraId="6AB46490">
            <w:pPr>
              <w:widowControl/>
              <w:spacing w:after="240"/>
              <w:jc w:val="center"/>
              <w:rPr>
                <w:rFonts w:cstheme="minorHAnsi"/>
                <w:sz w:val="18"/>
                <w:szCs w:val="18"/>
              </w:rPr>
            </w:pPr>
            <w:r>
              <w:rPr>
                <w:rFonts w:cstheme="minorHAnsi"/>
                <w:sz w:val="18"/>
                <w:szCs w:val="18"/>
              </w:rPr>
              <w:t>SG</w:t>
            </w:r>
          </w:p>
        </w:tc>
        <w:tc>
          <w:tcPr>
            <w:tcW w:w="560" w:type="dxa"/>
            <w:tcBorders>
              <w:top w:val="single" w:color="auto" w:sz="4" w:space="0"/>
              <w:left w:val="single" w:color="auto" w:sz="4" w:space="0"/>
              <w:bottom w:val="single" w:color="auto" w:sz="4" w:space="0"/>
              <w:right w:val="single" w:color="auto" w:sz="4" w:space="0"/>
            </w:tcBorders>
            <w:shd w:val="clear" w:color="auto" w:fill="F2F2F2"/>
            <w:vAlign w:val="center"/>
          </w:tcPr>
          <w:p w14:paraId="2582DDF4">
            <w:pPr>
              <w:widowControl/>
              <w:spacing w:after="240"/>
              <w:jc w:val="center"/>
              <w:rPr>
                <w:rFonts w:cstheme="minorHAnsi"/>
                <w:sz w:val="18"/>
                <w:szCs w:val="18"/>
              </w:rPr>
            </w:pPr>
            <w:r>
              <w:rPr>
                <w:rFonts w:cstheme="minorHAnsi"/>
                <w:sz w:val="18"/>
                <w:szCs w:val="18"/>
              </w:rPr>
              <w:t>SA</w:t>
            </w:r>
          </w:p>
        </w:tc>
        <w:tc>
          <w:tcPr>
            <w:tcW w:w="708" w:type="dxa"/>
            <w:tcBorders>
              <w:top w:val="single" w:color="auto" w:sz="4" w:space="0"/>
              <w:left w:val="single" w:color="auto" w:sz="4" w:space="0"/>
              <w:bottom w:val="single" w:color="auto" w:sz="4" w:space="0"/>
              <w:right w:val="single" w:color="auto" w:sz="4" w:space="0"/>
            </w:tcBorders>
            <w:shd w:val="clear" w:color="auto" w:fill="F2F2F2"/>
            <w:vAlign w:val="center"/>
          </w:tcPr>
          <w:p w14:paraId="288993DD">
            <w:pPr>
              <w:spacing w:after="240"/>
              <w:jc w:val="center"/>
              <w:rPr>
                <w:rFonts w:cstheme="minorHAnsi"/>
                <w:sz w:val="18"/>
                <w:szCs w:val="18"/>
              </w:rPr>
            </w:pPr>
            <w:r>
              <w:rPr>
                <w:rFonts w:cstheme="minorHAnsi"/>
                <w:sz w:val="18"/>
                <w:szCs w:val="18"/>
              </w:rPr>
              <w:t>SD</w:t>
            </w:r>
          </w:p>
        </w:tc>
        <w:tc>
          <w:tcPr>
            <w:tcW w:w="675" w:type="dxa"/>
            <w:tcBorders>
              <w:top w:val="single" w:color="auto" w:sz="4" w:space="0"/>
              <w:left w:val="single" w:color="auto" w:sz="4" w:space="0"/>
              <w:bottom w:val="single" w:color="auto" w:sz="4" w:space="0"/>
              <w:right w:val="single" w:color="auto" w:sz="4" w:space="0"/>
            </w:tcBorders>
            <w:shd w:val="clear" w:color="auto" w:fill="F2F2F2"/>
            <w:vAlign w:val="center"/>
          </w:tcPr>
          <w:p w14:paraId="40FA3DEE">
            <w:pPr>
              <w:spacing w:after="240"/>
              <w:jc w:val="center"/>
              <w:rPr>
                <w:rFonts w:cstheme="minorHAnsi"/>
                <w:sz w:val="18"/>
                <w:szCs w:val="18"/>
              </w:rPr>
            </w:pPr>
            <w:r>
              <w:rPr>
                <w:rFonts w:cstheme="minorHAnsi"/>
                <w:sz w:val="18"/>
                <w:szCs w:val="18"/>
              </w:rPr>
              <w:t>S</w:t>
            </w:r>
            <w:r>
              <w:rPr>
                <w:rFonts w:hint="eastAsia" w:cstheme="minorHAnsi"/>
                <w:sz w:val="18"/>
                <w:szCs w:val="18"/>
              </w:rPr>
              <w:t>H</w:t>
            </w:r>
          </w:p>
        </w:tc>
      </w:tr>
      <w:tr w14:paraId="63F1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single" w:color="auto" w:sz="4" w:space="0"/>
              <w:right w:val="single" w:color="auto" w:sz="4" w:space="0"/>
            </w:tcBorders>
            <w:vAlign w:val="center"/>
          </w:tcPr>
          <w:p w14:paraId="64AD276E">
            <w:pPr>
              <w:widowControl/>
              <w:spacing w:after="240"/>
              <w:jc w:val="center"/>
              <w:rPr>
                <w:rFonts w:cstheme="minorHAnsi"/>
                <w:sz w:val="18"/>
                <w:szCs w:val="18"/>
              </w:rPr>
            </w:pPr>
            <w:r>
              <w:rPr>
                <w:rFonts w:cstheme="minorHAnsi"/>
                <w:sz w:val="18"/>
                <w:szCs w:val="18"/>
              </w:rPr>
              <w:t>T</w:t>
            </w:r>
            <w:r>
              <w:rPr>
                <w:rFonts w:cstheme="minorHAnsi"/>
                <w:sz w:val="18"/>
                <w:szCs w:val="18"/>
                <w:vertAlign w:val="subscript"/>
              </w:rPr>
              <w:t>2</w:t>
            </w:r>
          </w:p>
        </w:tc>
        <w:tc>
          <w:tcPr>
            <w:tcW w:w="6491" w:type="dxa"/>
            <w:tcBorders>
              <w:top w:val="nil"/>
              <w:left w:val="single" w:color="auto" w:sz="4" w:space="0"/>
              <w:bottom w:val="single" w:color="auto" w:sz="4" w:space="0"/>
              <w:right w:val="single" w:color="auto" w:sz="4" w:space="0"/>
            </w:tcBorders>
            <w:vAlign w:val="center"/>
          </w:tcPr>
          <w:p w14:paraId="61CE9DF2">
            <w:pPr>
              <w:widowControl/>
              <w:spacing w:after="240"/>
              <w:jc w:val="left"/>
              <w:rPr>
                <w:rFonts w:cstheme="minorHAnsi"/>
                <w:sz w:val="18"/>
                <w:szCs w:val="18"/>
              </w:rPr>
            </w:pPr>
            <w:r>
              <w:rPr>
                <w:rFonts w:hint="eastAsia" w:cstheme="minorHAnsi"/>
                <w:sz w:val="18"/>
                <w:szCs w:val="18"/>
              </w:rPr>
              <w:t>SS</w:t>
            </w:r>
            <w:r>
              <w:rPr>
                <w:rFonts w:cstheme="minorHAnsi"/>
                <w:sz w:val="18"/>
                <w:szCs w:val="18"/>
              </w:rPr>
              <w:t xml:space="preserve">316 </w:t>
            </w:r>
          </w:p>
        </w:tc>
        <w:tc>
          <w:tcPr>
            <w:tcW w:w="716" w:type="dxa"/>
            <w:tcBorders>
              <w:top w:val="nil"/>
              <w:left w:val="single" w:color="auto" w:sz="4" w:space="0"/>
              <w:bottom w:val="single" w:color="auto" w:sz="4" w:space="0"/>
              <w:right w:val="single" w:color="auto" w:sz="4" w:space="0"/>
            </w:tcBorders>
            <w:vAlign w:val="center"/>
          </w:tcPr>
          <w:p w14:paraId="4E8E37D6">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single" w:color="auto" w:sz="4" w:space="0"/>
              <w:right w:val="single" w:color="auto" w:sz="4" w:space="0"/>
            </w:tcBorders>
            <w:vAlign w:val="center"/>
          </w:tcPr>
          <w:p w14:paraId="4100EE4D">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single" w:color="auto" w:sz="4" w:space="0"/>
              <w:right w:val="single" w:color="auto" w:sz="4" w:space="0"/>
            </w:tcBorders>
            <w:vAlign w:val="center"/>
          </w:tcPr>
          <w:p w14:paraId="5BC2C67B">
            <w:pPr>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single" w:color="auto" w:sz="4" w:space="0"/>
              <w:right w:val="single" w:color="auto" w:sz="4" w:space="0"/>
            </w:tcBorders>
            <w:vAlign w:val="center"/>
          </w:tcPr>
          <w:p w14:paraId="5A453399">
            <w:pPr>
              <w:spacing w:after="240"/>
              <w:jc w:val="center"/>
              <w:rPr>
                <w:rFonts w:cstheme="minorHAnsi"/>
                <w:sz w:val="18"/>
                <w:szCs w:val="18"/>
              </w:rPr>
            </w:pPr>
            <w:r>
              <w:rPr>
                <w:rFonts w:cstheme="minorHAnsi"/>
                <w:sz w:val="18"/>
                <w:szCs w:val="18"/>
              </w:rPr>
              <w:t>●</w:t>
            </w:r>
          </w:p>
        </w:tc>
      </w:tr>
      <w:tr w14:paraId="0880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nil"/>
              <w:left w:val="single" w:color="auto" w:sz="4" w:space="0"/>
              <w:bottom w:val="single" w:color="auto" w:sz="4" w:space="0"/>
              <w:right w:val="single" w:color="auto" w:sz="4" w:space="0"/>
            </w:tcBorders>
            <w:vAlign w:val="center"/>
          </w:tcPr>
          <w:p w14:paraId="4D04ECB4">
            <w:pPr>
              <w:widowControl/>
              <w:spacing w:after="240"/>
              <w:jc w:val="center"/>
              <w:rPr>
                <w:rFonts w:cstheme="minorHAnsi"/>
                <w:sz w:val="18"/>
                <w:szCs w:val="18"/>
              </w:rPr>
            </w:pPr>
            <w:r>
              <w:rPr>
                <w:rFonts w:cstheme="minorHAnsi"/>
                <w:sz w:val="18"/>
                <w:szCs w:val="18"/>
              </w:rPr>
              <w:t>T</w:t>
            </w:r>
            <w:r>
              <w:rPr>
                <w:rFonts w:cstheme="minorHAnsi"/>
                <w:sz w:val="18"/>
                <w:szCs w:val="18"/>
                <w:vertAlign w:val="subscript"/>
              </w:rPr>
              <w:t>3</w:t>
            </w:r>
          </w:p>
        </w:tc>
        <w:tc>
          <w:tcPr>
            <w:tcW w:w="6491" w:type="dxa"/>
            <w:tcBorders>
              <w:top w:val="nil"/>
              <w:left w:val="single" w:color="auto" w:sz="4" w:space="0"/>
              <w:bottom w:val="single" w:color="auto" w:sz="4" w:space="0"/>
              <w:right w:val="single" w:color="auto" w:sz="4" w:space="0"/>
            </w:tcBorders>
            <w:vAlign w:val="center"/>
          </w:tcPr>
          <w:p w14:paraId="50F9A5B5">
            <w:pPr>
              <w:widowControl/>
              <w:spacing w:after="240"/>
              <w:jc w:val="left"/>
              <w:rPr>
                <w:rFonts w:cstheme="minorHAnsi"/>
                <w:sz w:val="18"/>
                <w:szCs w:val="18"/>
              </w:rPr>
            </w:pPr>
            <w:r>
              <w:rPr>
                <w:rFonts w:hint="eastAsia" w:cstheme="minorHAnsi"/>
                <w:sz w:val="18"/>
                <w:szCs w:val="18"/>
              </w:rPr>
              <w:t>SS</w:t>
            </w:r>
            <w:r>
              <w:rPr>
                <w:rFonts w:cstheme="minorHAnsi"/>
                <w:sz w:val="18"/>
                <w:szCs w:val="18"/>
              </w:rPr>
              <w:t xml:space="preserve">304 </w:t>
            </w:r>
          </w:p>
        </w:tc>
        <w:tc>
          <w:tcPr>
            <w:tcW w:w="716" w:type="dxa"/>
            <w:tcBorders>
              <w:top w:val="nil"/>
              <w:left w:val="single" w:color="auto" w:sz="4" w:space="0"/>
              <w:bottom w:val="single" w:color="auto" w:sz="4" w:space="0"/>
              <w:right w:val="single" w:color="auto" w:sz="4" w:space="0"/>
            </w:tcBorders>
            <w:vAlign w:val="center"/>
          </w:tcPr>
          <w:p w14:paraId="1456F550">
            <w:pPr>
              <w:widowControl/>
              <w:spacing w:after="240"/>
              <w:jc w:val="center"/>
              <w:rPr>
                <w:rFonts w:cstheme="minorHAnsi"/>
                <w:sz w:val="18"/>
                <w:szCs w:val="18"/>
              </w:rPr>
            </w:pPr>
            <w:r>
              <w:rPr>
                <w:rFonts w:cstheme="minorHAnsi"/>
                <w:sz w:val="18"/>
                <w:szCs w:val="18"/>
              </w:rPr>
              <w:t>○</w:t>
            </w:r>
          </w:p>
        </w:tc>
        <w:tc>
          <w:tcPr>
            <w:tcW w:w="560" w:type="dxa"/>
            <w:tcBorders>
              <w:top w:val="nil"/>
              <w:left w:val="single" w:color="auto" w:sz="4" w:space="0"/>
              <w:bottom w:val="single" w:color="auto" w:sz="4" w:space="0"/>
              <w:right w:val="single" w:color="auto" w:sz="4" w:space="0"/>
            </w:tcBorders>
            <w:vAlign w:val="center"/>
          </w:tcPr>
          <w:p w14:paraId="670DA865">
            <w:pPr>
              <w:widowControl/>
              <w:spacing w:after="240"/>
              <w:jc w:val="center"/>
              <w:rPr>
                <w:rFonts w:cstheme="minorHAnsi"/>
                <w:sz w:val="18"/>
                <w:szCs w:val="18"/>
              </w:rPr>
            </w:pPr>
            <w:r>
              <w:rPr>
                <w:rFonts w:cstheme="minorHAnsi"/>
                <w:sz w:val="18"/>
                <w:szCs w:val="18"/>
              </w:rPr>
              <w:t>○</w:t>
            </w:r>
          </w:p>
        </w:tc>
        <w:tc>
          <w:tcPr>
            <w:tcW w:w="708" w:type="dxa"/>
            <w:tcBorders>
              <w:top w:val="nil"/>
              <w:left w:val="single" w:color="auto" w:sz="4" w:space="0"/>
              <w:bottom w:val="single" w:color="auto" w:sz="4" w:space="0"/>
              <w:right w:val="single" w:color="auto" w:sz="4" w:space="0"/>
            </w:tcBorders>
            <w:vAlign w:val="center"/>
          </w:tcPr>
          <w:p w14:paraId="12021C96">
            <w:pPr>
              <w:widowControl/>
              <w:spacing w:after="240"/>
              <w:jc w:val="center"/>
              <w:rPr>
                <w:rFonts w:cstheme="minorHAnsi"/>
                <w:sz w:val="18"/>
                <w:szCs w:val="18"/>
              </w:rPr>
            </w:pPr>
            <w:r>
              <w:rPr>
                <w:rFonts w:cstheme="minorHAnsi"/>
                <w:sz w:val="18"/>
                <w:szCs w:val="18"/>
              </w:rPr>
              <w:t>●</w:t>
            </w:r>
          </w:p>
        </w:tc>
        <w:tc>
          <w:tcPr>
            <w:tcW w:w="675" w:type="dxa"/>
            <w:tcBorders>
              <w:top w:val="nil"/>
              <w:left w:val="single" w:color="auto" w:sz="4" w:space="0"/>
              <w:bottom w:val="single" w:color="auto" w:sz="4" w:space="0"/>
              <w:right w:val="single" w:color="auto" w:sz="4" w:space="0"/>
            </w:tcBorders>
            <w:vAlign w:val="center"/>
          </w:tcPr>
          <w:p w14:paraId="760F5D90">
            <w:pPr>
              <w:widowControl/>
              <w:spacing w:after="240"/>
              <w:jc w:val="center"/>
              <w:rPr>
                <w:rFonts w:cstheme="minorHAnsi"/>
                <w:sz w:val="18"/>
                <w:szCs w:val="18"/>
              </w:rPr>
            </w:pPr>
            <w:r>
              <w:rPr>
                <w:rFonts w:cstheme="minorHAnsi"/>
                <w:sz w:val="18"/>
                <w:szCs w:val="18"/>
              </w:rPr>
              <w:t>●</w:t>
            </w:r>
          </w:p>
        </w:tc>
      </w:tr>
      <w:tr w14:paraId="709B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2F2F2"/>
            <w:vAlign w:val="center"/>
          </w:tcPr>
          <w:p w14:paraId="45C4BFA9">
            <w:pPr>
              <w:widowControl/>
              <w:spacing w:after="240"/>
              <w:jc w:val="center"/>
              <w:rPr>
                <w:rFonts w:cstheme="minorHAnsi"/>
                <w:sz w:val="18"/>
                <w:szCs w:val="18"/>
              </w:rPr>
            </w:pPr>
            <w:r>
              <w:rPr>
                <w:rFonts w:cstheme="minorHAnsi"/>
                <w:sz w:val="18"/>
                <w:szCs w:val="18"/>
              </w:rPr>
              <w:t>Code</w:t>
            </w:r>
          </w:p>
        </w:tc>
        <w:tc>
          <w:tcPr>
            <w:tcW w:w="6491" w:type="dxa"/>
            <w:tcBorders>
              <w:top w:val="single" w:color="auto" w:sz="4" w:space="0"/>
              <w:left w:val="single" w:color="auto" w:sz="4" w:space="0"/>
              <w:bottom w:val="single" w:color="auto" w:sz="4" w:space="0"/>
              <w:right w:val="single" w:color="auto" w:sz="4" w:space="0"/>
            </w:tcBorders>
            <w:shd w:val="clear" w:color="auto" w:fill="F2F2F2"/>
            <w:vAlign w:val="center"/>
          </w:tcPr>
          <w:p w14:paraId="27F9A282">
            <w:pPr>
              <w:widowControl/>
              <w:spacing w:after="240"/>
              <w:jc w:val="left"/>
              <w:rPr>
                <w:rFonts w:cstheme="minorHAnsi"/>
                <w:sz w:val="18"/>
                <w:szCs w:val="18"/>
              </w:rPr>
            </w:pPr>
            <w:r>
              <w:rPr>
                <w:rFonts w:cstheme="minorHAnsi"/>
                <w:sz w:val="18"/>
                <w:szCs w:val="18"/>
              </w:rPr>
              <w:t>Protection class</w:t>
            </w:r>
          </w:p>
        </w:tc>
        <w:tc>
          <w:tcPr>
            <w:tcW w:w="716" w:type="dxa"/>
            <w:tcBorders>
              <w:top w:val="single" w:color="auto" w:sz="4" w:space="0"/>
              <w:left w:val="single" w:color="auto" w:sz="4" w:space="0"/>
              <w:bottom w:val="single" w:color="auto" w:sz="4" w:space="0"/>
              <w:right w:val="single" w:color="auto" w:sz="4" w:space="0"/>
            </w:tcBorders>
            <w:shd w:val="clear" w:color="auto" w:fill="F2F2F2"/>
            <w:vAlign w:val="center"/>
          </w:tcPr>
          <w:p w14:paraId="2EDC23E7">
            <w:pPr>
              <w:widowControl/>
              <w:spacing w:after="240"/>
              <w:jc w:val="center"/>
              <w:rPr>
                <w:rFonts w:cstheme="minorHAnsi"/>
                <w:sz w:val="18"/>
                <w:szCs w:val="18"/>
              </w:rPr>
            </w:pPr>
            <w:r>
              <w:rPr>
                <w:rFonts w:cstheme="minorHAnsi"/>
                <w:sz w:val="18"/>
                <w:szCs w:val="18"/>
              </w:rPr>
              <w:t>SG</w:t>
            </w:r>
          </w:p>
        </w:tc>
        <w:tc>
          <w:tcPr>
            <w:tcW w:w="560" w:type="dxa"/>
            <w:tcBorders>
              <w:top w:val="single" w:color="auto" w:sz="4" w:space="0"/>
              <w:left w:val="single" w:color="auto" w:sz="4" w:space="0"/>
              <w:bottom w:val="single" w:color="auto" w:sz="4" w:space="0"/>
              <w:right w:val="single" w:color="auto" w:sz="4" w:space="0"/>
            </w:tcBorders>
            <w:shd w:val="clear" w:color="auto" w:fill="F2F2F2"/>
            <w:vAlign w:val="center"/>
          </w:tcPr>
          <w:p w14:paraId="4E5A241E">
            <w:pPr>
              <w:widowControl/>
              <w:spacing w:after="240"/>
              <w:jc w:val="center"/>
              <w:rPr>
                <w:rFonts w:cstheme="minorHAnsi"/>
                <w:sz w:val="18"/>
                <w:szCs w:val="18"/>
              </w:rPr>
            </w:pPr>
            <w:r>
              <w:rPr>
                <w:rFonts w:cstheme="minorHAnsi"/>
                <w:sz w:val="18"/>
                <w:szCs w:val="18"/>
              </w:rPr>
              <w:t>SA</w:t>
            </w:r>
          </w:p>
        </w:tc>
        <w:tc>
          <w:tcPr>
            <w:tcW w:w="708" w:type="dxa"/>
            <w:tcBorders>
              <w:top w:val="single" w:color="auto" w:sz="4" w:space="0"/>
              <w:left w:val="single" w:color="auto" w:sz="4" w:space="0"/>
              <w:bottom w:val="single" w:color="auto" w:sz="4" w:space="0"/>
              <w:right w:val="single" w:color="auto" w:sz="4" w:space="0"/>
            </w:tcBorders>
            <w:shd w:val="clear" w:color="auto" w:fill="F2F2F2"/>
            <w:vAlign w:val="center"/>
          </w:tcPr>
          <w:p w14:paraId="73286C83">
            <w:pPr>
              <w:widowControl/>
              <w:spacing w:after="240"/>
              <w:jc w:val="center"/>
              <w:rPr>
                <w:rFonts w:cstheme="minorHAnsi"/>
                <w:sz w:val="18"/>
                <w:szCs w:val="18"/>
              </w:rPr>
            </w:pPr>
            <w:r>
              <w:rPr>
                <w:rFonts w:cstheme="minorHAnsi"/>
                <w:sz w:val="18"/>
                <w:szCs w:val="18"/>
              </w:rPr>
              <w:t>SD</w:t>
            </w:r>
          </w:p>
        </w:tc>
        <w:tc>
          <w:tcPr>
            <w:tcW w:w="675" w:type="dxa"/>
            <w:tcBorders>
              <w:top w:val="single" w:color="auto" w:sz="4" w:space="0"/>
              <w:left w:val="single" w:color="auto" w:sz="4" w:space="0"/>
              <w:bottom w:val="single" w:color="auto" w:sz="4" w:space="0"/>
              <w:right w:val="single" w:color="auto" w:sz="4" w:space="0"/>
            </w:tcBorders>
            <w:shd w:val="clear" w:color="auto" w:fill="F2F2F2"/>
            <w:vAlign w:val="center"/>
          </w:tcPr>
          <w:p w14:paraId="70D7C0B8">
            <w:pPr>
              <w:widowControl/>
              <w:spacing w:after="240"/>
              <w:jc w:val="center"/>
              <w:rPr>
                <w:rFonts w:cstheme="minorHAnsi"/>
                <w:sz w:val="18"/>
                <w:szCs w:val="18"/>
              </w:rPr>
            </w:pPr>
            <w:r>
              <w:rPr>
                <w:rFonts w:cstheme="minorHAnsi"/>
                <w:sz w:val="18"/>
                <w:szCs w:val="18"/>
              </w:rPr>
              <w:t>S</w:t>
            </w:r>
            <w:r>
              <w:rPr>
                <w:rFonts w:hint="eastAsia" w:cstheme="minorHAnsi"/>
                <w:sz w:val="18"/>
                <w:szCs w:val="18"/>
              </w:rPr>
              <w:t>H</w:t>
            </w:r>
          </w:p>
        </w:tc>
      </w:tr>
      <w:tr w14:paraId="04C0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FFFFF"/>
            <w:vAlign w:val="center"/>
          </w:tcPr>
          <w:p w14:paraId="27795D5A">
            <w:pPr>
              <w:widowControl/>
              <w:spacing w:after="240"/>
              <w:jc w:val="center"/>
              <w:rPr>
                <w:rFonts w:cstheme="minorHAnsi"/>
                <w:sz w:val="18"/>
                <w:szCs w:val="18"/>
              </w:rPr>
            </w:pPr>
            <w:r>
              <w:rPr>
                <w:rFonts w:cstheme="minorHAnsi"/>
                <w:sz w:val="18"/>
                <w:szCs w:val="18"/>
              </w:rPr>
              <w:t>IP</w:t>
            </w:r>
          </w:p>
        </w:tc>
        <w:tc>
          <w:tcPr>
            <w:tcW w:w="6491" w:type="dxa"/>
            <w:tcBorders>
              <w:top w:val="single" w:color="auto" w:sz="4" w:space="0"/>
              <w:left w:val="single" w:color="auto" w:sz="4" w:space="0"/>
              <w:bottom w:val="single" w:color="auto" w:sz="4" w:space="0"/>
              <w:right w:val="single" w:color="auto" w:sz="4" w:space="0"/>
            </w:tcBorders>
            <w:shd w:val="clear" w:color="auto" w:fill="FFFFFF"/>
            <w:vAlign w:val="center"/>
          </w:tcPr>
          <w:p w14:paraId="75FF1DE2">
            <w:pPr>
              <w:widowControl/>
              <w:spacing w:after="240"/>
              <w:jc w:val="left"/>
              <w:rPr>
                <w:rFonts w:cstheme="minorHAnsi"/>
                <w:sz w:val="18"/>
                <w:szCs w:val="18"/>
              </w:rPr>
            </w:pPr>
            <w:r>
              <w:rPr>
                <w:rFonts w:cstheme="minorHAnsi"/>
                <w:sz w:val="18"/>
                <w:szCs w:val="18"/>
              </w:rPr>
              <w:t>IP67 (If IP is not selected, the default is IP65)</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572A5F49">
            <w:pPr>
              <w:widowControl/>
              <w:spacing w:after="240"/>
              <w:jc w:val="center"/>
              <w:rPr>
                <w:rFonts w:cstheme="minorHAnsi"/>
                <w:sz w:val="18"/>
                <w:szCs w:val="18"/>
              </w:rPr>
            </w:pPr>
            <w:r>
              <w:rPr>
                <w:rFonts w:cstheme="minorHAnsi"/>
                <w:sz w:val="18"/>
                <w:szCs w:val="18"/>
              </w:rPr>
              <w:t>●</w:t>
            </w:r>
          </w:p>
        </w:tc>
        <w:tc>
          <w:tcPr>
            <w:tcW w:w="560" w:type="dxa"/>
            <w:tcBorders>
              <w:top w:val="single" w:color="auto" w:sz="4" w:space="0"/>
              <w:left w:val="single" w:color="auto" w:sz="4" w:space="0"/>
              <w:bottom w:val="single" w:color="auto" w:sz="4" w:space="0"/>
              <w:right w:val="single" w:color="auto" w:sz="4" w:space="0"/>
            </w:tcBorders>
            <w:shd w:val="clear" w:color="auto" w:fill="FFFFFF"/>
            <w:vAlign w:val="center"/>
          </w:tcPr>
          <w:p w14:paraId="0F965AD9">
            <w:pPr>
              <w:widowControl/>
              <w:spacing w:after="240"/>
              <w:jc w:val="center"/>
              <w:rPr>
                <w:rFonts w:cstheme="minorHAnsi"/>
                <w:sz w:val="18"/>
                <w:szCs w:val="18"/>
              </w:rPr>
            </w:pPr>
            <w:r>
              <w:rPr>
                <w:rFonts w:cstheme="minorHAnsi"/>
                <w:sz w:val="18"/>
                <w:szCs w:val="18"/>
              </w:rPr>
              <w:t>●</w:t>
            </w:r>
          </w:p>
        </w:tc>
        <w:tc>
          <w:tcPr>
            <w:tcW w:w="708" w:type="dxa"/>
            <w:tcBorders>
              <w:top w:val="single" w:color="auto" w:sz="4" w:space="0"/>
              <w:left w:val="single" w:color="auto" w:sz="4" w:space="0"/>
              <w:bottom w:val="single" w:color="auto" w:sz="4" w:space="0"/>
              <w:right w:val="single" w:color="auto" w:sz="4" w:space="0"/>
            </w:tcBorders>
            <w:shd w:val="clear" w:color="auto" w:fill="FFFFFF"/>
            <w:vAlign w:val="center"/>
          </w:tcPr>
          <w:p w14:paraId="1627FCD1">
            <w:pPr>
              <w:widowControl/>
              <w:spacing w:after="240"/>
              <w:jc w:val="center"/>
              <w:rPr>
                <w:rFonts w:cstheme="minorHAnsi"/>
                <w:sz w:val="18"/>
                <w:szCs w:val="18"/>
              </w:rPr>
            </w:pPr>
            <w:r>
              <w:rPr>
                <w:rFonts w:cstheme="minorHAnsi"/>
                <w:sz w:val="18"/>
                <w:szCs w:val="18"/>
              </w:rPr>
              <w:t>●</w:t>
            </w:r>
          </w:p>
        </w:tc>
        <w:tc>
          <w:tcPr>
            <w:tcW w:w="675" w:type="dxa"/>
            <w:tcBorders>
              <w:top w:val="single" w:color="auto" w:sz="4" w:space="0"/>
              <w:left w:val="single" w:color="auto" w:sz="4" w:space="0"/>
              <w:bottom w:val="single" w:color="auto" w:sz="4" w:space="0"/>
              <w:right w:val="single" w:color="auto" w:sz="4" w:space="0"/>
            </w:tcBorders>
            <w:shd w:val="clear" w:color="auto" w:fill="FFFFFF"/>
            <w:vAlign w:val="center"/>
          </w:tcPr>
          <w:p w14:paraId="171AAA6E">
            <w:pPr>
              <w:widowControl/>
              <w:spacing w:after="240"/>
              <w:jc w:val="center"/>
              <w:rPr>
                <w:rFonts w:cstheme="minorHAnsi"/>
                <w:sz w:val="18"/>
                <w:szCs w:val="18"/>
              </w:rPr>
            </w:pPr>
            <w:r>
              <w:rPr>
                <w:rFonts w:cstheme="minorHAnsi"/>
                <w:sz w:val="18"/>
                <w:szCs w:val="18"/>
              </w:rPr>
              <w:t>●</w:t>
            </w:r>
          </w:p>
        </w:tc>
      </w:tr>
      <w:tr w14:paraId="398C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F2F2F2"/>
            <w:vAlign w:val="center"/>
          </w:tcPr>
          <w:p w14:paraId="1D4368D4">
            <w:pPr>
              <w:widowControl/>
              <w:spacing w:after="240"/>
              <w:jc w:val="center"/>
              <w:rPr>
                <w:rFonts w:cstheme="minorHAnsi"/>
                <w:sz w:val="18"/>
                <w:szCs w:val="18"/>
              </w:rPr>
            </w:pPr>
            <w:r>
              <w:rPr>
                <w:rFonts w:cstheme="minorHAnsi"/>
                <w:sz w:val="18"/>
                <w:szCs w:val="18"/>
              </w:rPr>
              <w:t>Code</w:t>
            </w:r>
          </w:p>
        </w:tc>
        <w:tc>
          <w:tcPr>
            <w:tcW w:w="6491" w:type="dxa"/>
            <w:tcBorders>
              <w:top w:val="single" w:color="auto" w:sz="4" w:space="0"/>
              <w:left w:val="single" w:color="auto" w:sz="4" w:space="0"/>
              <w:bottom w:val="single" w:color="auto" w:sz="4" w:space="0"/>
              <w:right w:val="single" w:color="auto" w:sz="4" w:space="0"/>
            </w:tcBorders>
            <w:shd w:val="clear" w:color="auto" w:fill="F2F2F2"/>
            <w:vAlign w:val="center"/>
          </w:tcPr>
          <w:p w14:paraId="3E1949C8">
            <w:pPr>
              <w:widowControl/>
              <w:spacing w:after="240"/>
              <w:jc w:val="left"/>
              <w:rPr>
                <w:rFonts w:cstheme="minorHAnsi"/>
                <w:sz w:val="18"/>
                <w:szCs w:val="18"/>
              </w:rPr>
            </w:pPr>
            <w:r>
              <w:rPr>
                <w:rFonts w:cstheme="minorHAnsi"/>
                <w:sz w:val="18"/>
                <w:szCs w:val="18"/>
              </w:rPr>
              <w:t>Temperature compensation range</w:t>
            </w:r>
          </w:p>
        </w:tc>
        <w:tc>
          <w:tcPr>
            <w:tcW w:w="716" w:type="dxa"/>
            <w:tcBorders>
              <w:top w:val="single" w:color="auto" w:sz="4" w:space="0"/>
              <w:left w:val="single" w:color="auto" w:sz="4" w:space="0"/>
              <w:bottom w:val="single" w:color="auto" w:sz="4" w:space="0"/>
              <w:right w:val="single" w:color="auto" w:sz="4" w:space="0"/>
            </w:tcBorders>
            <w:shd w:val="clear" w:color="auto" w:fill="F2F2F2"/>
            <w:vAlign w:val="center"/>
          </w:tcPr>
          <w:p w14:paraId="6B306368">
            <w:pPr>
              <w:widowControl/>
              <w:spacing w:after="240"/>
              <w:jc w:val="center"/>
              <w:rPr>
                <w:rFonts w:cstheme="minorHAnsi"/>
                <w:sz w:val="18"/>
                <w:szCs w:val="18"/>
              </w:rPr>
            </w:pPr>
            <w:r>
              <w:rPr>
                <w:rFonts w:cstheme="minorHAnsi"/>
                <w:sz w:val="18"/>
                <w:szCs w:val="18"/>
              </w:rPr>
              <w:t>SG</w:t>
            </w:r>
          </w:p>
        </w:tc>
        <w:tc>
          <w:tcPr>
            <w:tcW w:w="560" w:type="dxa"/>
            <w:tcBorders>
              <w:top w:val="single" w:color="auto" w:sz="4" w:space="0"/>
              <w:left w:val="single" w:color="auto" w:sz="4" w:space="0"/>
              <w:bottom w:val="single" w:color="auto" w:sz="4" w:space="0"/>
              <w:right w:val="single" w:color="auto" w:sz="4" w:space="0"/>
            </w:tcBorders>
            <w:shd w:val="clear" w:color="auto" w:fill="F2F2F2"/>
            <w:vAlign w:val="center"/>
          </w:tcPr>
          <w:p w14:paraId="3A62803F">
            <w:pPr>
              <w:widowControl/>
              <w:spacing w:after="240"/>
              <w:jc w:val="center"/>
              <w:rPr>
                <w:rFonts w:cstheme="minorHAnsi"/>
                <w:sz w:val="18"/>
                <w:szCs w:val="18"/>
              </w:rPr>
            </w:pPr>
            <w:r>
              <w:rPr>
                <w:rFonts w:cstheme="minorHAnsi"/>
                <w:sz w:val="18"/>
                <w:szCs w:val="18"/>
              </w:rPr>
              <w:t>SA</w:t>
            </w:r>
          </w:p>
        </w:tc>
        <w:tc>
          <w:tcPr>
            <w:tcW w:w="708" w:type="dxa"/>
            <w:tcBorders>
              <w:top w:val="single" w:color="auto" w:sz="4" w:space="0"/>
              <w:left w:val="single" w:color="auto" w:sz="4" w:space="0"/>
              <w:bottom w:val="single" w:color="auto" w:sz="4" w:space="0"/>
              <w:right w:val="single" w:color="auto" w:sz="4" w:space="0"/>
            </w:tcBorders>
            <w:shd w:val="clear" w:color="auto" w:fill="F2F2F2"/>
            <w:vAlign w:val="center"/>
          </w:tcPr>
          <w:p w14:paraId="6FDEC747">
            <w:pPr>
              <w:widowControl/>
              <w:spacing w:after="240"/>
              <w:jc w:val="center"/>
              <w:rPr>
                <w:rFonts w:cstheme="minorHAnsi"/>
                <w:sz w:val="18"/>
                <w:szCs w:val="18"/>
              </w:rPr>
            </w:pPr>
            <w:r>
              <w:rPr>
                <w:rFonts w:cstheme="minorHAnsi"/>
                <w:sz w:val="18"/>
                <w:szCs w:val="18"/>
              </w:rPr>
              <w:t>SD</w:t>
            </w:r>
          </w:p>
        </w:tc>
        <w:tc>
          <w:tcPr>
            <w:tcW w:w="675" w:type="dxa"/>
            <w:tcBorders>
              <w:top w:val="single" w:color="auto" w:sz="4" w:space="0"/>
              <w:left w:val="single" w:color="auto" w:sz="4" w:space="0"/>
              <w:bottom w:val="single" w:color="auto" w:sz="4" w:space="0"/>
              <w:right w:val="single" w:color="auto" w:sz="4" w:space="0"/>
            </w:tcBorders>
            <w:shd w:val="clear" w:color="auto" w:fill="F2F2F2"/>
            <w:vAlign w:val="center"/>
          </w:tcPr>
          <w:p w14:paraId="508FD931">
            <w:pPr>
              <w:widowControl/>
              <w:spacing w:after="240"/>
              <w:jc w:val="center"/>
              <w:rPr>
                <w:rFonts w:cstheme="minorHAnsi"/>
                <w:sz w:val="18"/>
                <w:szCs w:val="18"/>
              </w:rPr>
            </w:pPr>
            <w:r>
              <w:rPr>
                <w:rFonts w:cstheme="minorHAnsi"/>
                <w:sz w:val="18"/>
                <w:szCs w:val="18"/>
              </w:rPr>
              <w:t>S</w:t>
            </w:r>
            <w:r>
              <w:rPr>
                <w:rFonts w:hint="eastAsia" w:cstheme="minorHAnsi"/>
                <w:sz w:val="18"/>
                <w:szCs w:val="18"/>
              </w:rPr>
              <w:t>H</w:t>
            </w:r>
          </w:p>
        </w:tc>
      </w:tr>
      <w:tr w14:paraId="7EC1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auto"/>
            <w:vAlign w:val="center"/>
          </w:tcPr>
          <w:p w14:paraId="18953A2C">
            <w:pPr>
              <w:widowControl/>
              <w:spacing w:after="240"/>
              <w:jc w:val="center"/>
              <w:rPr>
                <w:rFonts w:cstheme="minorHAnsi"/>
                <w:sz w:val="18"/>
                <w:szCs w:val="18"/>
              </w:rPr>
            </w:pPr>
            <w:r>
              <w:rPr>
                <w:rFonts w:hint="eastAsia" w:cstheme="minorHAnsi"/>
                <w:sz w:val="18"/>
                <w:szCs w:val="18"/>
              </w:rPr>
              <w:t>C</w:t>
            </w:r>
            <w:r>
              <w:rPr>
                <w:rFonts w:cstheme="minorHAnsi"/>
                <w:sz w:val="18"/>
                <w:szCs w:val="18"/>
                <w:vertAlign w:val="subscript"/>
              </w:rPr>
              <w:t>2</w:t>
            </w:r>
          </w:p>
        </w:tc>
        <w:tc>
          <w:tcPr>
            <w:tcW w:w="6491" w:type="dxa"/>
            <w:tcBorders>
              <w:top w:val="single" w:color="auto" w:sz="4" w:space="0"/>
              <w:left w:val="single" w:color="auto" w:sz="4" w:space="0"/>
              <w:bottom w:val="single" w:color="auto" w:sz="4" w:space="0"/>
              <w:right w:val="single" w:color="auto" w:sz="4" w:space="0"/>
            </w:tcBorders>
            <w:shd w:val="clear" w:color="auto" w:fill="auto"/>
            <w:vAlign w:val="center"/>
          </w:tcPr>
          <w:p w14:paraId="2FE55B70">
            <w:pPr>
              <w:widowControl/>
              <w:spacing w:after="240"/>
              <w:jc w:val="left"/>
              <w:rPr>
                <w:rFonts w:cstheme="minorHAnsi"/>
                <w:sz w:val="18"/>
                <w:szCs w:val="18"/>
              </w:rPr>
            </w:pPr>
            <w:r>
              <w:rPr>
                <w:rFonts w:cstheme="minorHAnsi"/>
                <w:sz w:val="18"/>
                <w:szCs w:val="18"/>
              </w:rPr>
              <w:t>-20-70</w:t>
            </w:r>
            <w:r>
              <w:rPr>
                <w:rFonts w:ascii="Cambria Math" w:hAnsi="Cambria Math" w:cs="Cambria Math"/>
                <w:sz w:val="18"/>
                <w:szCs w:val="18"/>
              </w:rPr>
              <w:t>℃</w:t>
            </w:r>
            <w:r>
              <w:rPr>
                <w:rFonts w:cstheme="minorHAnsi"/>
                <w:sz w:val="18"/>
                <w:szCs w:val="18"/>
              </w:rPr>
              <w:t>（default）</w:t>
            </w:r>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0CF1AD09">
            <w:pPr>
              <w:widowControl/>
              <w:spacing w:after="240"/>
              <w:jc w:val="center"/>
              <w:rPr>
                <w:rFonts w:cstheme="minorHAnsi"/>
                <w:sz w:val="18"/>
                <w:szCs w:val="18"/>
              </w:rPr>
            </w:pPr>
            <w:r>
              <w:rPr>
                <w:rFonts w:cstheme="minorHAnsi"/>
                <w:sz w:val="18"/>
                <w:szCs w:val="18"/>
              </w:rPr>
              <w:t>●</w:t>
            </w:r>
          </w:p>
        </w:tc>
        <w:tc>
          <w:tcPr>
            <w:tcW w:w="560" w:type="dxa"/>
            <w:tcBorders>
              <w:top w:val="single" w:color="auto" w:sz="4" w:space="0"/>
              <w:left w:val="single" w:color="auto" w:sz="4" w:space="0"/>
              <w:bottom w:val="single" w:color="auto" w:sz="4" w:space="0"/>
              <w:right w:val="single" w:color="auto" w:sz="4" w:space="0"/>
            </w:tcBorders>
            <w:shd w:val="clear" w:color="auto" w:fill="auto"/>
            <w:vAlign w:val="center"/>
          </w:tcPr>
          <w:p w14:paraId="2E87E17A">
            <w:pPr>
              <w:widowControl/>
              <w:spacing w:after="240"/>
              <w:jc w:val="center"/>
              <w:rPr>
                <w:rFonts w:cstheme="minorHAnsi"/>
                <w:sz w:val="18"/>
                <w:szCs w:val="18"/>
              </w:rPr>
            </w:pPr>
            <w:r>
              <w:rPr>
                <w:rFonts w:cstheme="minorHAnsi"/>
                <w:sz w:val="18"/>
                <w:szCs w:val="18"/>
              </w:rPr>
              <w:t>●</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DE1C96E">
            <w:pPr>
              <w:widowControl/>
              <w:spacing w:after="240"/>
              <w:jc w:val="center"/>
              <w:rPr>
                <w:rFonts w:cstheme="minorHAnsi"/>
                <w:sz w:val="18"/>
                <w:szCs w:val="18"/>
              </w:rPr>
            </w:pPr>
            <w:r>
              <w:rPr>
                <w:rFonts w:cstheme="minorHAnsi"/>
                <w:sz w:val="18"/>
                <w:szCs w:val="18"/>
              </w:rPr>
              <w:t>●</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49F95F12">
            <w:pPr>
              <w:widowControl/>
              <w:spacing w:after="240"/>
              <w:jc w:val="center"/>
              <w:rPr>
                <w:rFonts w:cstheme="minorHAnsi"/>
                <w:sz w:val="18"/>
                <w:szCs w:val="18"/>
              </w:rPr>
            </w:pPr>
            <w:r>
              <w:rPr>
                <w:rFonts w:cstheme="minorHAnsi"/>
                <w:sz w:val="18"/>
                <w:szCs w:val="18"/>
              </w:rPr>
              <w:t>●</w:t>
            </w:r>
          </w:p>
        </w:tc>
      </w:tr>
      <w:tr w14:paraId="27F9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auto"/>
            <w:vAlign w:val="center"/>
          </w:tcPr>
          <w:p w14:paraId="3A3A87B7">
            <w:pPr>
              <w:widowControl/>
              <w:spacing w:after="240"/>
              <w:jc w:val="center"/>
              <w:rPr>
                <w:rFonts w:cstheme="minorHAnsi"/>
                <w:sz w:val="18"/>
                <w:szCs w:val="18"/>
              </w:rPr>
            </w:pPr>
            <w:r>
              <w:rPr>
                <w:rFonts w:hint="eastAsia" w:cstheme="minorHAnsi"/>
                <w:sz w:val="18"/>
                <w:szCs w:val="18"/>
              </w:rPr>
              <w:t>C</w:t>
            </w:r>
            <w:r>
              <w:rPr>
                <w:rFonts w:cstheme="minorHAnsi"/>
                <w:sz w:val="18"/>
                <w:szCs w:val="18"/>
                <w:vertAlign w:val="subscript"/>
              </w:rPr>
              <w:t>4</w:t>
            </w:r>
          </w:p>
        </w:tc>
        <w:tc>
          <w:tcPr>
            <w:tcW w:w="6491" w:type="dxa"/>
            <w:tcBorders>
              <w:top w:val="single" w:color="auto" w:sz="4" w:space="0"/>
              <w:left w:val="single" w:color="auto" w:sz="4" w:space="0"/>
              <w:bottom w:val="single" w:color="auto" w:sz="4" w:space="0"/>
              <w:right w:val="single" w:color="auto" w:sz="4" w:space="0"/>
            </w:tcBorders>
            <w:shd w:val="clear" w:color="auto" w:fill="auto"/>
            <w:vAlign w:val="center"/>
          </w:tcPr>
          <w:p w14:paraId="72754A0C">
            <w:pPr>
              <w:widowControl/>
              <w:spacing w:after="240"/>
              <w:jc w:val="left"/>
              <w:rPr>
                <w:rFonts w:cstheme="minorHAnsi"/>
                <w:sz w:val="18"/>
                <w:szCs w:val="18"/>
              </w:rPr>
            </w:pPr>
            <w:r>
              <w:rPr>
                <w:rFonts w:cstheme="minorHAnsi"/>
                <w:sz w:val="18"/>
                <w:szCs w:val="18"/>
              </w:rPr>
              <w:t>-40-85</w:t>
            </w:r>
            <w:r>
              <w:rPr>
                <w:rFonts w:ascii="Cambria Math" w:hAnsi="Cambria Math" w:cs="Cambria Math"/>
                <w:sz w:val="18"/>
                <w:szCs w:val="18"/>
              </w:rPr>
              <w:t>℃</w:t>
            </w:r>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18A6B502">
            <w:pPr>
              <w:widowControl/>
              <w:spacing w:after="240"/>
              <w:jc w:val="center"/>
              <w:rPr>
                <w:rFonts w:cstheme="minorHAnsi"/>
                <w:sz w:val="18"/>
                <w:szCs w:val="18"/>
              </w:rPr>
            </w:pPr>
            <w:r>
              <w:rPr>
                <w:rFonts w:cstheme="minorHAnsi"/>
                <w:sz w:val="18"/>
                <w:szCs w:val="18"/>
              </w:rPr>
              <w:t>●</w:t>
            </w:r>
          </w:p>
        </w:tc>
        <w:tc>
          <w:tcPr>
            <w:tcW w:w="560" w:type="dxa"/>
            <w:tcBorders>
              <w:top w:val="single" w:color="auto" w:sz="4" w:space="0"/>
              <w:left w:val="single" w:color="auto" w:sz="4" w:space="0"/>
              <w:bottom w:val="single" w:color="auto" w:sz="4" w:space="0"/>
              <w:right w:val="single" w:color="auto" w:sz="4" w:space="0"/>
            </w:tcBorders>
            <w:shd w:val="clear" w:color="auto" w:fill="auto"/>
            <w:vAlign w:val="center"/>
          </w:tcPr>
          <w:p w14:paraId="4E7AD0F0">
            <w:pPr>
              <w:widowControl/>
              <w:spacing w:after="240"/>
              <w:jc w:val="center"/>
              <w:rPr>
                <w:rFonts w:cstheme="minorHAnsi"/>
                <w:sz w:val="18"/>
                <w:szCs w:val="18"/>
              </w:rPr>
            </w:pPr>
            <w:r>
              <w:rPr>
                <w:rFonts w:cstheme="minorHAnsi"/>
                <w:sz w:val="18"/>
                <w:szCs w:val="18"/>
              </w:rPr>
              <w:t>●</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8AE5E67">
            <w:pPr>
              <w:widowControl/>
              <w:spacing w:after="240"/>
              <w:jc w:val="center"/>
              <w:rPr>
                <w:rFonts w:cstheme="minorHAnsi"/>
                <w:sz w:val="18"/>
                <w:szCs w:val="18"/>
              </w:rPr>
            </w:pPr>
            <w:r>
              <w:rPr>
                <w:rFonts w:cstheme="minorHAnsi"/>
                <w:sz w:val="18"/>
                <w:szCs w:val="18"/>
              </w:rPr>
              <w:t>●</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34687FBE">
            <w:pPr>
              <w:widowControl/>
              <w:spacing w:after="240"/>
              <w:jc w:val="center"/>
              <w:rPr>
                <w:rFonts w:cstheme="minorHAnsi"/>
                <w:sz w:val="18"/>
                <w:szCs w:val="18"/>
              </w:rPr>
            </w:pPr>
            <w:r>
              <w:rPr>
                <w:rFonts w:cstheme="minorHAnsi"/>
                <w:sz w:val="18"/>
                <w:szCs w:val="18"/>
              </w:rPr>
              <w:t>●</w:t>
            </w:r>
          </w:p>
        </w:tc>
      </w:tr>
      <w:tr w14:paraId="23E4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92" w:type="dxa"/>
            <w:tcBorders>
              <w:top w:val="single" w:color="auto" w:sz="4" w:space="0"/>
              <w:left w:val="single" w:color="auto" w:sz="4" w:space="0"/>
              <w:bottom w:val="single" w:color="auto" w:sz="4" w:space="0"/>
              <w:right w:val="single" w:color="auto" w:sz="4" w:space="0"/>
            </w:tcBorders>
            <w:shd w:val="clear" w:color="auto" w:fill="auto"/>
            <w:vAlign w:val="center"/>
          </w:tcPr>
          <w:p w14:paraId="1842F2EB">
            <w:pPr>
              <w:widowControl/>
              <w:spacing w:after="240"/>
              <w:jc w:val="center"/>
              <w:rPr>
                <w:rFonts w:cstheme="minorHAnsi"/>
                <w:sz w:val="18"/>
                <w:szCs w:val="18"/>
              </w:rPr>
            </w:pPr>
            <w:r>
              <w:rPr>
                <w:rFonts w:hint="eastAsia" w:cstheme="minorHAnsi"/>
                <w:sz w:val="18"/>
                <w:szCs w:val="18"/>
              </w:rPr>
              <w:t>Note</w:t>
            </w:r>
          </w:p>
        </w:tc>
        <w:tc>
          <w:tcPr>
            <w:tcW w:w="915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6C80E97">
            <w:pPr>
              <w:widowControl/>
              <w:spacing w:after="240"/>
              <w:jc w:val="left"/>
              <w:rPr>
                <w:rFonts w:cstheme="minorHAnsi"/>
                <w:sz w:val="18"/>
                <w:szCs w:val="18"/>
              </w:rPr>
            </w:pPr>
            <w:r>
              <w:rPr>
                <w:rFonts w:cstheme="minorHAnsi"/>
                <w:sz w:val="18"/>
                <w:szCs w:val="18"/>
              </w:rPr>
              <w:t>Temperature drift specifications take effect within the corresponding temperature compensation range. Performance will decrease when operating outside this range.</w:t>
            </w:r>
          </w:p>
        </w:tc>
      </w:tr>
      <w:bookmarkEnd w:id="234"/>
      <w:bookmarkEnd w:id="235"/>
    </w:tbl>
    <w:p w14:paraId="5BC151FA">
      <w:pPr>
        <w:widowControl/>
        <w:spacing w:after="240"/>
        <w:jc w:val="left"/>
        <w:rPr>
          <w:rFonts w:cstheme="minorHAnsi"/>
          <w:kern w:val="0"/>
        </w:rPr>
      </w:pPr>
      <w:r>
        <w:rPr>
          <w:rFonts w:cstheme="minorHAnsi"/>
          <w:kern w:val="0"/>
        </w:rPr>
        <w:t>Note: If the factory range is not specified, it will be shipped according to the highest range.</w:t>
      </w:r>
    </w:p>
    <w:p w14:paraId="2DEAD25D">
      <w:pPr>
        <w:pStyle w:val="44"/>
        <w:jc w:val="center"/>
      </w:pPr>
      <w:bookmarkStart w:id="244" w:name="_Toc199429873"/>
      <w:bookmarkStart w:id="245" w:name="_Toc99099422"/>
      <w:r>
        <w:t>NCS-PT105IIM Pressure Transmitter Single-side Diaphragm Seals Selection</w:t>
      </w:r>
      <w:bookmarkEnd w:id="244"/>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4269"/>
        <w:gridCol w:w="1065"/>
        <w:gridCol w:w="1035"/>
        <w:gridCol w:w="1057"/>
        <w:gridCol w:w="1059"/>
      </w:tblGrid>
      <w:tr w14:paraId="41CA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F228FF8">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BFA120F">
            <w:pPr>
              <w:widowControl/>
              <w:spacing w:after="240" w:line="240" w:lineRule="atLeast"/>
              <w:jc w:val="left"/>
              <w:rPr>
                <w:rFonts w:ascii="Calibri" w:hAnsi="Calibri" w:cs="Calibri"/>
                <w:sz w:val="18"/>
                <w:szCs w:val="18"/>
              </w:rPr>
            </w:pPr>
            <w:r>
              <w:rPr>
                <w:rFonts w:hint="eastAsia" w:ascii="Calibri" w:hAnsi="Calibri" w:cs="Calibri"/>
                <w:sz w:val="18"/>
                <w:szCs w:val="18"/>
              </w:rPr>
              <w:t>C</w:t>
            </w:r>
            <w:r>
              <w:rPr>
                <w:rFonts w:ascii="Calibri" w:hAnsi="Calibri" w:cs="Calibri"/>
                <w:sz w:val="18"/>
                <w:szCs w:val="18"/>
              </w:rPr>
              <w:t>lass</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39391C1">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F4B7DD1">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E26998F">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9DDEC9A">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1638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11CD1026">
            <w:pPr>
              <w:widowControl/>
              <w:spacing w:after="240" w:line="240" w:lineRule="atLeast"/>
              <w:jc w:val="center"/>
              <w:rPr>
                <w:rFonts w:ascii="Calibri" w:hAnsi="Calibri" w:cs="Calibri"/>
                <w:sz w:val="18"/>
                <w:szCs w:val="18"/>
              </w:rPr>
            </w:pPr>
            <w:r>
              <w:rPr>
                <w:rFonts w:hint="eastAsia" w:ascii="Calibri" w:hAnsi="Calibri" w:cs="Calibri"/>
                <w:sz w:val="18"/>
                <w:szCs w:val="18"/>
              </w:rPr>
              <w:t>1</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02F14A1D">
            <w:pPr>
              <w:widowControl/>
              <w:spacing w:after="240" w:line="240" w:lineRule="atLeast"/>
              <w:jc w:val="left"/>
              <w:rPr>
                <w:rFonts w:ascii="Calibri" w:hAnsi="Calibri" w:cs="Calibri"/>
                <w:sz w:val="18"/>
                <w:szCs w:val="18"/>
              </w:rPr>
            </w:pPr>
            <w:r>
              <w:rPr>
                <w:rFonts w:ascii="Calibri" w:hAnsi="Calibri" w:cs="Calibri"/>
                <w:sz w:val="18"/>
                <w:szCs w:val="18"/>
              </w:rPr>
              <w:t>ANSI 150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7DB4F8D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2BC880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35BAB56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56CD1F5B">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396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1C209578">
            <w:pPr>
              <w:widowControl/>
              <w:spacing w:after="240" w:line="240" w:lineRule="atLeast"/>
              <w:jc w:val="center"/>
              <w:rPr>
                <w:rFonts w:ascii="Calibri" w:hAnsi="Calibri" w:cs="Calibri"/>
                <w:sz w:val="18"/>
                <w:szCs w:val="18"/>
              </w:rPr>
            </w:pPr>
            <w:r>
              <w:rPr>
                <w:rFonts w:hint="eastAsia" w:ascii="Calibri" w:hAnsi="Calibri" w:cs="Calibri"/>
                <w:sz w:val="18"/>
                <w:szCs w:val="18"/>
              </w:rPr>
              <w:t>2</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2912D338">
            <w:pPr>
              <w:widowControl/>
              <w:spacing w:after="240" w:line="240" w:lineRule="atLeast"/>
              <w:jc w:val="left"/>
              <w:rPr>
                <w:rFonts w:ascii="Calibri" w:hAnsi="Calibri" w:cs="Calibri"/>
                <w:sz w:val="18"/>
                <w:szCs w:val="18"/>
              </w:rPr>
            </w:pPr>
            <w:r>
              <w:rPr>
                <w:rFonts w:ascii="Calibri" w:hAnsi="Calibri" w:cs="Calibri"/>
                <w:sz w:val="18"/>
                <w:szCs w:val="18"/>
              </w:rPr>
              <w:t>ANSI 300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523DCEC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832946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3774847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0C0AC0E5">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3A01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1A79807E">
            <w:pPr>
              <w:widowControl/>
              <w:spacing w:after="240" w:line="240" w:lineRule="atLeast"/>
              <w:jc w:val="center"/>
              <w:rPr>
                <w:rFonts w:ascii="Calibri" w:hAnsi="Calibri" w:cs="Calibri"/>
                <w:sz w:val="18"/>
                <w:szCs w:val="18"/>
              </w:rPr>
            </w:pPr>
            <w:r>
              <w:rPr>
                <w:rFonts w:hint="eastAsia" w:ascii="Calibri" w:hAnsi="Calibri" w:cs="Calibri"/>
                <w:sz w:val="18"/>
                <w:szCs w:val="18"/>
              </w:rPr>
              <w:t>3</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42432BA7">
            <w:pPr>
              <w:widowControl/>
              <w:spacing w:after="240" w:line="240" w:lineRule="atLeast"/>
              <w:jc w:val="left"/>
              <w:rPr>
                <w:rFonts w:ascii="Calibri" w:hAnsi="Calibri" w:cs="Calibri"/>
                <w:sz w:val="18"/>
                <w:szCs w:val="18"/>
              </w:rPr>
            </w:pPr>
            <w:r>
              <w:rPr>
                <w:rFonts w:ascii="Calibri" w:hAnsi="Calibri" w:cs="Calibri"/>
                <w:sz w:val="18"/>
                <w:szCs w:val="18"/>
              </w:rPr>
              <w:t>ANSI 600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25EE834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4A2E296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67F8527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3C80F347">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4BD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712089AD">
            <w:pPr>
              <w:widowControl/>
              <w:spacing w:after="240" w:line="240" w:lineRule="atLeast"/>
              <w:jc w:val="center"/>
              <w:rPr>
                <w:rFonts w:ascii="Calibri" w:hAnsi="Calibri" w:cs="Calibri"/>
                <w:sz w:val="18"/>
                <w:szCs w:val="18"/>
              </w:rPr>
            </w:pPr>
            <w:r>
              <w:rPr>
                <w:rFonts w:hint="eastAsia" w:ascii="Calibri" w:hAnsi="Calibri" w:cs="Calibri"/>
                <w:sz w:val="18"/>
                <w:szCs w:val="18"/>
              </w:rPr>
              <w:t>4</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084EA3AB">
            <w:pPr>
              <w:widowControl/>
              <w:spacing w:after="240" w:line="240" w:lineRule="atLeast"/>
              <w:jc w:val="left"/>
              <w:rPr>
                <w:rFonts w:ascii="Calibri" w:hAnsi="Calibri" w:cs="Calibri"/>
                <w:sz w:val="18"/>
                <w:szCs w:val="18"/>
              </w:rPr>
            </w:pPr>
            <w:r>
              <w:rPr>
                <w:rFonts w:ascii="Calibri" w:hAnsi="Calibri" w:cs="Calibri"/>
                <w:sz w:val="18"/>
                <w:szCs w:val="18"/>
              </w:rPr>
              <w:t>DIN PN 10/16</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4BE9874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58F866F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4C9220D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1D01AFAB">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328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41C420C4">
            <w:pPr>
              <w:widowControl/>
              <w:spacing w:after="240" w:line="240" w:lineRule="atLeast"/>
              <w:jc w:val="center"/>
              <w:rPr>
                <w:rFonts w:ascii="Calibri" w:hAnsi="Calibri" w:cs="Calibri"/>
                <w:sz w:val="18"/>
                <w:szCs w:val="18"/>
              </w:rPr>
            </w:pPr>
            <w:r>
              <w:rPr>
                <w:rFonts w:hint="eastAsia" w:ascii="Calibri" w:hAnsi="Calibri" w:cs="Calibri"/>
                <w:sz w:val="18"/>
                <w:szCs w:val="18"/>
              </w:rPr>
              <w:t>5</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1C29DA65">
            <w:pPr>
              <w:widowControl/>
              <w:spacing w:after="240" w:line="240" w:lineRule="atLeast"/>
              <w:jc w:val="left"/>
              <w:rPr>
                <w:rFonts w:ascii="Calibri" w:hAnsi="Calibri" w:cs="Calibri"/>
                <w:sz w:val="18"/>
                <w:szCs w:val="18"/>
              </w:rPr>
            </w:pPr>
            <w:r>
              <w:rPr>
                <w:rFonts w:ascii="Calibri" w:hAnsi="Calibri" w:cs="Calibri"/>
                <w:sz w:val="18"/>
                <w:szCs w:val="18"/>
              </w:rPr>
              <w:t>DIN PN 25/40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0CAC0A5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3F15878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37FDB47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1B011253">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D6F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1A6EAD1A">
            <w:pPr>
              <w:widowControl/>
              <w:spacing w:after="240" w:line="240" w:lineRule="atLeast"/>
              <w:jc w:val="center"/>
              <w:rPr>
                <w:rFonts w:ascii="Calibri" w:hAnsi="Calibri" w:cs="Calibri"/>
                <w:sz w:val="18"/>
                <w:szCs w:val="18"/>
              </w:rPr>
            </w:pPr>
            <w:r>
              <w:rPr>
                <w:rFonts w:hint="eastAsia" w:ascii="Calibri" w:hAnsi="Calibri" w:cs="Calibri"/>
                <w:sz w:val="18"/>
                <w:szCs w:val="18"/>
              </w:rPr>
              <w:t>6</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22F388ED">
            <w:pPr>
              <w:widowControl/>
              <w:spacing w:after="240" w:line="240" w:lineRule="atLeast"/>
              <w:jc w:val="left"/>
              <w:rPr>
                <w:rFonts w:ascii="Calibri" w:hAnsi="Calibri" w:cs="Calibri"/>
                <w:sz w:val="18"/>
                <w:szCs w:val="18"/>
              </w:rPr>
            </w:pPr>
            <w:r>
              <w:rPr>
                <w:rFonts w:ascii="Calibri" w:hAnsi="Calibri" w:cs="Calibri"/>
                <w:sz w:val="18"/>
                <w:szCs w:val="18"/>
              </w:rPr>
              <w:t>DIN PN 64</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73D8B4B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5B99379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1FF7037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624C8AA6">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9F0B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3BA757B6">
            <w:pPr>
              <w:widowControl/>
              <w:spacing w:after="240" w:line="240" w:lineRule="atLeast"/>
              <w:jc w:val="center"/>
              <w:rPr>
                <w:rFonts w:ascii="Calibri" w:hAnsi="Calibri" w:cs="Calibri"/>
                <w:sz w:val="18"/>
                <w:szCs w:val="18"/>
              </w:rPr>
            </w:pPr>
            <w:r>
              <w:rPr>
                <w:rFonts w:hint="eastAsia" w:ascii="Calibri" w:hAnsi="Calibri" w:cs="Calibri"/>
                <w:sz w:val="18"/>
                <w:szCs w:val="18"/>
              </w:rPr>
              <w:t>7</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1DDCB929">
            <w:pPr>
              <w:widowControl/>
              <w:spacing w:after="240" w:line="240" w:lineRule="atLeast"/>
              <w:jc w:val="left"/>
              <w:rPr>
                <w:rFonts w:ascii="Calibri" w:hAnsi="Calibri" w:cs="Calibri"/>
                <w:sz w:val="18"/>
                <w:szCs w:val="18"/>
              </w:rPr>
            </w:pPr>
            <w:r>
              <w:rPr>
                <w:rFonts w:ascii="Calibri" w:hAnsi="Calibri" w:cs="Calibri"/>
                <w:sz w:val="18"/>
                <w:szCs w:val="18"/>
              </w:rPr>
              <w:t>DIN PN 100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7B81DC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D5B4AD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2253C58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02CD52DE">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F78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419F5678">
            <w:pPr>
              <w:widowControl/>
              <w:spacing w:after="240" w:line="240" w:lineRule="atLeast"/>
              <w:jc w:val="center"/>
              <w:rPr>
                <w:rFonts w:ascii="Calibri" w:hAnsi="Calibri" w:cs="Calibri"/>
                <w:sz w:val="18"/>
                <w:szCs w:val="18"/>
              </w:rPr>
            </w:pPr>
            <w:r>
              <w:rPr>
                <w:rFonts w:hint="eastAsia" w:ascii="Calibri" w:hAnsi="Calibri" w:cs="Calibri"/>
                <w:sz w:val="18"/>
                <w:szCs w:val="18"/>
              </w:rPr>
              <w:t>9</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18C4FF5B">
            <w:pPr>
              <w:widowControl/>
              <w:spacing w:after="240" w:line="240" w:lineRule="atLeast"/>
              <w:jc w:val="left"/>
              <w:rPr>
                <w:rFonts w:ascii="Calibri" w:hAnsi="Calibri" w:cs="Calibri"/>
                <w:sz w:val="18"/>
                <w:szCs w:val="18"/>
              </w:rPr>
            </w:pPr>
            <w:r>
              <w:rPr>
                <w:rFonts w:hint="eastAsia" w:ascii="Calibri" w:hAnsi="Calibri" w:cs="Calibri"/>
                <w:sz w:val="18"/>
                <w:szCs w:val="18"/>
              </w:rPr>
              <w:t>Others</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5884FDA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0103E75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0DCE5E6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41095E6E">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C05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B8730CD">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C680D67">
            <w:pPr>
              <w:widowControl/>
              <w:spacing w:after="240" w:line="240" w:lineRule="atLeast"/>
              <w:jc w:val="left"/>
              <w:rPr>
                <w:rFonts w:ascii="Calibri" w:hAnsi="Calibri" w:cs="Calibri"/>
                <w:sz w:val="18"/>
                <w:szCs w:val="18"/>
              </w:rPr>
            </w:pPr>
            <w:r>
              <w:rPr>
                <w:rFonts w:hint="eastAsia" w:ascii="Calibri" w:hAnsi="Calibri" w:cs="Calibri"/>
                <w:sz w:val="18"/>
                <w:szCs w:val="18"/>
              </w:rPr>
              <w:t>Di</w:t>
            </w:r>
            <w:r>
              <w:rPr>
                <w:rFonts w:ascii="Calibri" w:hAnsi="Calibri" w:cs="Calibri"/>
                <w:sz w:val="18"/>
                <w:szCs w:val="18"/>
              </w:rPr>
              <w:t>mension</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ED6F5AA">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79B8561">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4588F36">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47AF492">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1469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7E6A3C3A">
            <w:pPr>
              <w:widowControl/>
              <w:spacing w:after="240" w:line="240" w:lineRule="atLeast"/>
              <w:jc w:val="center"/>
              <w:rPr>
                <w:rFonts w:ascii="Calibri" w:hAnsi="Calibri" w:cs="Calibri"/>
                <w:sz w:val="18"/>
                <w:szCs w:val="18"/>
              </w:rPr>
            </w:pPr>
            <w:r>
              <w:rPr>
                <w:rFonts w:hint="eastAsia" w:ascii="Calibri" w:hAnsi="Calibri" w:cs="Calibri"/>
                <w:sz w:val="18"/>
                <w:szCs w:val="18"/>
              </w:rPr>
              <w:t>A</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4C95757B">
            <w:pPr>
              <w:widowControl/>
              <w:spacing w:after="240" w:line="240" w:lineRule="atLeast"/>
              <w:jc w:val="left"/>
              <w:rPr>
                <w:rFonts w:ascii="Calibri" w:hAnsi="Calibri" w:cs="Calibri"/>
                <w:sz w:val="18"/>
                <w:szCs w:val="18"/>
              </w:rPr>
            </w:pPr>
            <w:r>
              <w:rPr>
                <w:rFonts w:ascii="Calibri" w:hAnsi="Calibri" w:cs="Calibri"/>
                <w:sz w:val="18"/>
                <w:szCs w:val="18"/>
              </w:rPr>
              <w:t>1-inch(DN25)</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1CC8C5A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5D52721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3EEF32C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797B90AC">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41B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418B5700">
            <w:pPr>
              <w:widowControl/>
              <w:spacing w:after="240" w:line="240" w:lineRule="atLeast"/>
              <w:jc w:val="center"/>
              <w:rPr>
                <w:rFonts w:ascii="Calibri" w:hAnsi="Calibri" w:cs="Calibri"/>
                <w:sz w:val="18"/>
                <w:szCs w:val="18"/>
              </w:rPr>
            </w:pPr>
            <w:r>
              <w:rPr>
                <w:rFonts w:hint="eastAsia" w:ascii="Calibri" w:hAnsi="Calibri" w:cs="Calibri"/>
                <w:sz w:val="18"/>
                <w:szCs w:val="18"/>
              </w:rPr>
              <w:t>B</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19956E2C">
            <w:pPr>
              <w:widowControl/>
              <w:spacing w:after="240" w:line="240" w:lineRule="atLeast"/>
              <w:jc w:val="left"/>
              <w:rPr>
                <w:rFonts w:ascii="Calibri" w:hAnsi="Calibri" w:cs="Calibri"/>
                <w:sz w:val="18"/>
                <w:szCs w:val="18"/>
              </w:rPr>
            </w:pPr>
            <w:r>
              <w:rPr>
                <w:rFonts w:ascii="Calibri" w:hAnsi="Calibri" w:cs="Calibri"/>
                <w:sz w:val="18"/>
                <w:szCs w:val="18"/>
              </w:rPr>
              <w:t>2-inch(DN50)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14B0594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4C5E346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550D99C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05D05363">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70FF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57D6537E">
            <w:pPr>
              <w:widowControl/>
              <w:spacing w:after="240" w:line="240" w:lineRule="atLeast"/>
              <w:jc w:val="center"/>
              <w:rPr>
                <w:rFonts w:ascii="Calibri" w:hAnsi="Calibri" w:cs="Calibri"/>
                <w:sz w:val="18"/>
                <w:szCs w:val="18"/>
              </w:rPr>
            </w:pPr>
            <w:r>
              <w:rPr>
                <w:rFonts w:hint="eastAsia" w:ascii="Calibri" w:hAnsi="Calibri" w:cs="Calibri"/>
                <w:sz w:val="18"/>
                <w:szCs w:val="18"/>
              </w:rPr>
              <w:t>C</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544DFDE3">
            <w:pPr>
              <w:widowControl/>
              <w:spacing w:after="240" w:line="240" w:lineRule="atLeast"/>
              <w:jc w:val="left"/>
              <w:rPr>
                <w:rFonts w:ascii="Calibri" w:hAnsi="Calibri" w:cs="Calibri"/>
                <w:sz w:val="18"/>
                <w:szCs w:val="18"/>
              </w:rPr>
            </w:pPr>
            <w:r>
              <w:rPr>
                <w:rFonts w:ascii="Calibri" w:hAnsi="Calibri" w:cs="Calibri"/>
                <w:sz w:val="18"/>
                <w:szCs w:val="18"/>
              </w:rPr>
              <w:t>3-inch(DN80)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4F11C3A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778AF35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28A65A7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10E9B631">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C9B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89FF1CE">
            <w:pPr>
              <w:widowControl/>
              <w:spacing w:after="240" w:line="240" w:lineRule="atLeast"/>
              <w:jc w:val="center"/>
              <w:rPr>
                <w:rFonts w:ascii="Calibri" w:hAnsi="Calibri" w:cs="Calibri"/>
                <w:sz w:val="18"/>
                <w:szCs w:val="18"/>
              </w:rPr>
            </w:pPr>
            <w:r>
              <w:rPr>
                <w:rFonts w:hint="eastAsia" w:ascii="Calibri" w:hAnsi="Calibri" w:cs="Calibri"/>
                <w:sz w:val="18"/>
                <w:szCs w:val="18"/>
              </w:rPr>
              <w:t>D</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7B0C175E">
            <w:pPr>
              <w:widowControl/>
              <w:spacing w:after="240" w:line="240" w:lineRule="atLeast"/>
              <w:jc w:val="left"/>
              <w:rPr>
                <w:rFonts w:ascii="Calibri" w:hAnsi="Calibri" w:cs="Calibri"/>
                <w:sz w:val="18"/>
                <w:szCs w:val="18"/>
              </w:rPr>
            </w:pPr>
            <w:r>
              <w:rPr>
                <w:rFonts w:ascii="Calibri" w:hAnsi="Calibri" w:cs="Calibri"/>
                <w:sz w:val="18"/>
                <w:szCs w:val="18"/>
              </w:rPr>
              <w:t>4-inch(DN100)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19E95F7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8FF5A4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673722A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4939E1E6">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7445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176B86B0">
            <w:pPr>
              <w:widowControl/>
              <w:spacing w:after="240" w:line="240" w:lineRule="atLeast"/>
              <w:jc w:val="center"/>
              <w:rPr>
                <w:rFonts w:ascii="Calibri" w:hAnsi="Calibri" w:cs="Calibri"/>
                <w:sz w:val="18"/>
                <w:szCs w:val="18"/>
              </w:rPr>
            </w:pPr>
            <w:r>
              <w:rPr>
                <w:rFonts w:hint="eastAsia" w:ascii="Calibri" w:hAnsi="Calibri" w:cs="Calibri"/>
                <w:sz w:val="18"/>
                <w:szCs w:val="18"/>
              </w:rPr>
              <w:t>9</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131AD51F">
            <w:pPr>
              <w:widowControl/>
              <w:spacing w:after="240" w:line="240" w:lineRule="atLeast"/>
              <w:jc w:val="left"/>
              <w:rPr>
                <w:rFonts w:ascii="Calibri" w:hAnsi="Calibri" w:cs="Calibri"/>
                <w:sz w:val="18"/>
                <w:szCs w:val="18"/>
              </w:rPr>
            </w:pPr>
            <w:r>
              <w:rPr>
                <w:rFonts w:hint="eastAsia" w:ascii="Calibri" w:hAnsi="Calibri" w:cs="Calibri"/>
                <w:sz w:val="18"/>
                <w:szCs w:val="18"/>
              </w:rPr>
              <w:t>Ot</w:t>
            </w:r>
            <w:r>
              <w:rPr>
                <w:rFonts w:ascii="Calibri" w:hAnsi="Calibri" w:cs="Calibri"/>
                <w:sz w:val="18"/>
                <w:szCs w:val="18"/>
              </w:rPr>
              <w:t>hers</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076ECF2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410E745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629237F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1E7B1E49">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833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CF97439">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8EC67E0">
            <w:pPr>
              <w:widowControl/>
              <w:spacing w:after="240" w:line="240" w:lineRule="atLeast"/>
              <w:jc w:val="left"/>
              <w:rPr>
                <w:rFonts w:ascii="Calibri" w:hAnsi="Calibri" w:cs="Calibri"/>
                <w:sz w:val="18"/>
                <w:szCs w:val="18"/>
              </w:rPr>
            </w:pPr>
            <w:r>
              <w:rPr>
                <w:rFonts w:hint="eastAsia" w:ascii="Calibri" w:hAnsi="Calibri" w:cs="Calibri"/>
                <w:sz w:val="18"/>
                <w:szCs w:val="18"/>
              </w:rPr>
              <w:t>M</w:t>
            </w:r>
            <w:r>
              <w:rPr>
                <w:rFonts w:ascii="Calibri" w:hAnsi="Calibri" w:cs="Calibri"/>
                <w:sz w:val="18"/>
                <w:szCs w:val="18"/>
              </w:rPr>
              <w:t>aterial of structure</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059ECEB">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4E2C69E">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AEA6DAB">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E7E23E6">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4C80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2FB5603D">
            <w:pPr>
              <w:widowControl/>
              <w:spacing w:after="240" w:line="240" w:lineRule="atLeast"/>
              <w:jc w:val="center"/>
              <w:rPr>
                <w:rFonts w:ascii="Calibri" w:hAnsi="Calibri" w:cs="Calibri"/>
                <w:sz w:val="18"/>
                <w:szCs w:val="18"/>
              </w:rPr>
            </w:pPr>
            <w:r>
              <w:rPr>
                <w:rFonts w:hint="eastAsia" w:ascii="Calibri" w:hAnsi="Calibri" w:cs="Calibri"/>
                <w:sz w:val="18"/>
                <w:szCs w:val="18"/>
              </w:rPr>
              <w:t>7</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5C39CAF7">
            <w:pPr>
              <w:widowControl/>
              <w:spacing w:after="240" w:line="240" w:lineRule="atLeast"/>
              <w:jc w:val="left"/>
              <w:rPr>
                <w:rFonts w:ascii="Calibri" w:hAnsi="Calibri" w:cs="Calibri"/>
                <w:sz w:val="18"/>
                <w:szCs w:val="18"/>
              </w:rPr>
            </w:pPr>
            <w:r>
              <w:rPr>
                <w:rFonts w:hint="eastAsia" w:ascii="Calibri" w:hAnsi="Calibri" w:cs="Calibri"/>
                <w:sz w:val="18"/>
                <w:szCs w:val="18"/>
              </w:rPr>
              <w:t>S</w:t>
            </w:r>
            <w:r>
              <w:rPr>
                <w:rFonts w:ascii="Calibri" w:hAnsi="Calibri" w:cs="Calibri"/>
                <w:sz w:val="18"/>
                <w:szCs w:val="18"/>
              </w:rPr>
              <w:t>S</w:t>
            </w:r>
            <w:r>
              <w:rPr>
                <w:rFonts w:hint="eastAsia" w:ascii="Calibri" w:hAnsi="Calibri" w:cs="Calibri"/>
                <w:sz w:val="18"/>
                <w:szCs w:val="18"/>
              </w:rPr>
              <w:t>316L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02C588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304CCAA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0D06FE1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604EDCF9">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658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9430F03">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CA3D0F0">
            <w:pPr>
              <w:widowControl/>
              <w:spacing w:after="240" w:line="240" w:lineRule="atLeast"/>
              <w:jc w:val="left"/>
              <w:rPr>
                <w:rFonts w:ascii="Calibri" w:hAnsi="Calibri" w:cs="Calibri"/>
                <w:sz w:val="18"/>
                <w:szCs w:val="18"/>
              </w:rPr>
            </w:pPr>
            <w:r>
              <w:rPr>
                <w:rFonts w:hint="eastAsia" w:ascii="Calibri" w:hAnsi="Calibri" w:cs="Calibri"/>
                <w:sz w:val="18"/>
                <w:szCs w:val="18"/>
              </w:rPr>
              <w:t>M</w:t>
            </w:r>
            <w:r>
              <w:rPr>
                <w:rFonts w:ascii="Calibri" w:hAnsi="Calibri" w:cs="Calibri"/>
                <w:sz w:val="18"/>
                <w:szCs w:val="18"/>
              </w:rPr>
              <w:t>OC</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39361C7">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81AD9ED">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9270948">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99BBAC4">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4DB7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35CE898D">
            <w:pPr>
              <w:widowControl/>
              <w:spacing w:after="240" w:line="240" w:lineRule="atLeast"/>
              <w:jc w:val="center"/>
              <w:rPr>
                <w:rFonts w:ascii="Calibri" w:hAnsi="Calibri" w:cs="Calibri"/>
                <w:sz w:val="18"/>
                <w:szCs w:val="18"/>
              </w:rPr>
            </w:pPr>
            <w:r>
              <w:rPr>
                <w:rFonts w:hint="eastAsia" w:ascii="Calibri" w:hAnsi="Calibri" w:cs="Calibri"/>
                <w:sz w:val="18"/>
                <w:szCs w:val="18"/>
              </w:rPr>
              <w:t>S</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4F7FB379">
            <w:pPr>
              <w:widowControl/>
              <w:spacing w:after="240" w:line="240" w:lineRule="atLeast"/>
              <w:jc w:val="left"/>
              <w:rPr>
                <w:rFonts w:ascii="Calibri" w:hAnsi="Calibri" w:cs="Calibri"/>
                <w:sz w:val="18"/>
                <w:szCs w:val="18"/>
              </w:rPr>
            </w:pPr>
            <w:r>
              <w:rPr>
                <w:rFonts w:hint="eastAsia" w:ascii="Calibri" w:hAnsi="Calibri" w:cs="Calibri"/>
                <w:sz w:val="18"/>
                <w:szCs w:val="18"/>
              </w:rPr>
              <w:t>S</w:t>
            </w:r>
            <w:r>
              <w:rPr>
                <w:rFonts w:ascii="Calibri" w:hAnsi="Calibri" w:cs="Calibri"/>
                <w:sz w:val="18"/>
                <w:szCs w:val="18"/>
              </w:rPr>
              <w:t>S</w:t>
            </w:r>
            <w:r>
              <w:rPr>
                <w:rFonts w:hint="eastAsia" w:ascii="Calibri" w:hAnsi="Calibri" w:cs="Calibri"/>
                <w:sz w:val="18"/>
                <w:szCs w:val="18"/>
              </w:rPr>
              <w:t>316L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71150D3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4FA8ABC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14D3D9E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1E5C15A4">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1F3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1580011">
            <w:pPr>
              <w:widowControl/>
              <w:spacing w:after="240" w:line="240" w:lineRule="atLeast"/>
              <w:jc w:val="center"/>
              <w:rPr>
                <w:rFonts w:ascii="Calibri" w:hAnsi="Calibri" w:cs="Calibri"/>
                <w:sz w:val="18"/>
                <w:szCs w:val="18"/>
              </w:rPr>
            </w:pPr>
            <w:r>
              <w:rPr>
                <w:rFonts w:hint="eastAsia" w:ascii="Calibri" w:hAnsi="Calibri" w:cs="Calibri"/>
                <w:sz w:val="18"/>
                <w:szCs w:val="18"/>
              </w:rPr>
              <w:t>H</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28073B02">
            <w:pPr>
              <w:widowControl/>
              <w:spacing w:after="240" w:line="240" w:lineRule="atLeast"/>
              <w:jc w:val="left"/>
              <w:rPr>
                <w:rFonts w:ascii="Calibri" w:hAnsi="Calibri" w:cs="Calibri"/>
                <w:sz w:val="18"/>
                <w:szCs w:val="18"/>
              </w:rPr>
            </w:pPr>
            <w:r>
              <w:rPr>
                <w:rFonts w:ascii="Calibri" w:hAnsi="Calibri" w:cs="Calibri"/>
                <w:sz w:val="18"/>
                <w:szCs w:val="18"/>
              </w:rPr>
              <w:t>Hastelloy</w:t>
            </w:r>
            <w:r>
              <w:rPr>
                <w:rFonts w:hint="eastAsia" w:ascii="Calibri" w:hAnsi="Calibri" w:cs="Calibri"/>
                <w:sz w:val="18"/>
                <w:szCs w:val="18"/>
              </w:rPr>
              <w:t xml:space="preserve"> C-276</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86F835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90F384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47EEC17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2D813C50">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815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A13B139">
            <w:pPr>
              <w:widowControl/>
              <w:spacing w:after="240" w:line="240" w:lineRule="atLeast"/>
              <w:jc w:val="center"/>
              <w:rPr>
                <w:rFonts w:ascii="Calibri" w:hAnsi="Calibri" w:cs="Calibri"/>
                <w:sz w:val="18"/>
                <w:szCs w:val="18"/>
              </w:rPr>
            </w:pPr>
            <w:r>
              <w:rPr>
                <w:rFonts w:hint="eastAsia" w:ascii="Calibri" w:hAnsi="Calibri" w:cs="Calibri"/>
                <w:sz w:val="18"/>
                <w:szCs w:val="18"/>
              </w:rPr>
              <w:t>T</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308297B2">
            <w:pPr>
              <w:widowControl/>
              <w:spacing w:after="240" w:line="240" w:lineRule="atLeast"/>
              <w:jc w:val="left"/>
              <w:rPr>
                <w:rFonts w:ascii="Calibri" w:hAnsi="Calibri" w:cs="Calibri"/>
                <w:sz w:val="18"/>
                <w:szCs w:val="18"/>
              </w:rPr>
            </w:pPr>
            <w:r>
              <w:rPr>
                <w:rFonts w:hint="eastAsia" w:ascii="Calibri" w:hAnsi="Calibri" w:cs="Calibri"/>
                <w:sz w:val="18"/>
                <w:szCs w:val="18"/>
              </w:rPr>
              <w:t>T</w:t>
            </w:r>
            <w:r>
              <w:rPr>
                <w:rFonts w:ascii="Calibri" w:hAnsi="Calibri" w:cs="Calibri"/>
                <w:sz w:val="18"/>
                <w:szCs w:val="18"/>
              </w:rPr>
              <w:t>antalum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1D02662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00159B8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57FBFD6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793457B0">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3F8C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9A8522C">
            <w:pPr>
              <w:widowControl/>
              <w:spacing w:after="240" w:line="240" w:lineRule="atLeast"/>
              <w:jc w:val="center"/>
              <w:rPr>
                <w:rFonts w:ascii="Calibri" w:hAnsi="Calibri" w:cs="Calibri"/>
                <w:sz w:val="18"/>
                <w:szCs w:val="18"/>
              </w:rPr>
            </w:pPr>
            <w:r>
              <w:rPr>
                <w:rFonts w:hint="eastAsia" w:ascii="Calibri" w:hAnsi="Calibri" w:cs="Calibri"/>
                <w:sz w:val="18"/>
                <w:szCs w:val="18"/>
              </w:rPr>
              <w:t>G</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19650F65">
            <w:pPr>
              <w:widowControl/>
              <w:spacing w:after="240" w:line="240" w:lineRule="atLeast"/>
              <w:jc w:val="left"/>
              <w:rPr>
                <w:rFonts w:ascii="Calibri" w:hAnsi="Calibri" w:cs="Calibri"/>
                <w:sz w:val="18"/>
                <w:szCs w:val="18"/>
              </w:rPr>
            </w:pPr>
            <w:r>
              <w:rPr>
                <w:rFonts w:hint="eastAsia" w:ascii="Calibri" w:hAnsi="Calibri" w:cs="Calibri"/>
                <w:sz w:val="18"/>
                <w:szCs w:val="18"/>
              </w:rPr>
              <w:t>SS316L G</w:t>
            </w:r>
            <w:r>
              <w:rPr>
                <w:rFonts w:ascii="Calibri" w:hAnsi="Calibri" w:cs="Calibri"/>
                <w:sz w:val="18"/>
                <w:szCs w:val="18"/>
              </w:rPr>
              <w:t>old-plating</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550C4C0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53CD036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7B07767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68592925">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005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4E4F401">
            <w:pPr>
              <w:widowControl/>
              <w:spacing w:after="240" w:line="240" w:lineRule="atLeast"/>
              <w:jc w:val="center"/>
              <w:rPr>
                <w:rFonts w:ascii="Calibri" w:hAnsi="Calibri" w:cs="Calibri"/>
                <w:sz w:val="18"/>
                <w:szCs w:val="18"/>
              </w:rPr>
            </w:pPr>
            <w:r>
              <w:rPr>
                <w:rFonts w:hint="eastAsia" w:ascii="Calibri" w:hAnsi="Calibri" w:cs="Calibri"/>
                <w:sz w:val="18"/>
                <w:szCs w:val="18"/>
              </w:rPr>
              <w:t>M</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5E717718">
            <w:pPr>
              <w:widowControl/>
              <w:spacing w:after="240" w:line="240" w:lineRule="atLeast"/>
              <w:jc w:val="left"/>
              <w:rPr>
                <w:rFonts w:ascii="Calibri" w:hAnsi="Calibri" w:cs="Calibri"/>
                <w:sz w:val="18"/>
                <w:szCs w:val="18"/>
              </w:rPr>
            </w:pPr>
            <w:r>
              <w:rPr>
                <w:rFonts w:ascii="Calibri" w:hAnsi="Calibri" w:cs="Calibri"/>
                <w:sz w:val="18"/>
                <w:szCs w:val="18"/>
              </w:rPr>
              <w:t>Monel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41F2BE6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187FDB8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7C15768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5E71D504">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70D0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A915437">
            <w:pPr>
              <w:widowControl/>
              <w:spacing w:after="240" w:line="240" w:lineRule="atLeast"/>
              <w:jc w:val="center"/>
              <w:rPr>
                <w:rFonts w:ascii="Calibri" w:hAnsi="Calibri" w:cs="Calibri"/>
                <w:sz w:val="18"/>
                <w:szCs w:val="18"/>
              </w:rPr>
            </w:pPr>
            <w:r>
              <w:rPr>
                <w:rFonts w:hint="eastAsia" w:ascii="Calibri" w:hAnsi="Calibri" w:cs="Calibri"/>
                <w:sz w:val="18"/>
                <w:szCs w:val="18"/>
              </w:rPr>
              <w:t>P</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045877DC">
            <w:pPr>
              <w:widowControl/>
              <w:spacing w:after="240" w:line="240" w:lineRule="atLeast"/>
              <w:jc w:val="left"/>
              <w:rPr>
                <w:rFonts w:ascii="Calibri" w:hAnsi="Calibri" w:cs="Calibri"/>
                <w:sz w:val="18"/>
                <w:szCs w:val="18"/>
              </w:rPr>
            </w:pPr>
            <w:r>
              <w:rPr>
                <w:rFonts w:hint="eastAsia" w:ascii="Calibri" w:hAnsi="Calibri" w:cs="Calibri"/>
                <w:sz w:val="18"/>
                <w:szCs w:val="18"/>
              </w:rPr>
              <w:t xml:space="preserve">PTFE </w:t>
            </w:r>
            <w:r>
              <w:rPr>
                <w:rFonts w:ascii="Calibri" w:hAnsi="Calibri" w:cs="Calibri"/>
                <w:sz w:val="18"/>
                <w:szCs w:val="18"/>
              </w:rPr>
              <w:t>coating</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50FAD70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4218633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3CA3F56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79093206">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C7F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C4695C4">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AEC485C">
            <w:pPr>
              <w:widowControl/>
              <w:spacing w:after="240" w:line="240" w:lineRule="atLeast"/>
              <w:jc w:val="left"/>
              <w:rPr>
                <w:rFonts w:ascii="Calibri" w:hAnsi="Calibri" w:cs="Calibri"/>
                <w:sz w:val="18"/>
                <w:szCs w:val="18"/>
              </w:rPr>
            </w:pPr>
            <w:r>
              <w:rPr>
                <w:rFonts w:ascii="Calibri" w:hAnsi="Calibri" w:cs="Calibri"/>
                <w:sz w:val="18"/>
                <w:szCs w:val="18"/>
              </w:rPr>
              <w:t>Diaphragm protrusion length</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5A0C831">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42CC050">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3DAA5F6">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61DB399">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1443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2AA97EBD">
            <w:pPr>
              <w:widowControl/>
              <w:spacing w:after="240" w:line="240" w:lineRule="atLeast"/>
              <w:jc w:val="center"/>
              <w:rPr>
                <w:rFonts w:ascii="Calibri" w:hAnsi="Calibri" w:cs="Calibri"/>
                <w:sz w:val="18"/>
                <w:szCs w:val="18"/>
              </w:rPr>
            </w:pPr>
            <w:r>
              <w:rPr>
                <w:rFonts w:hint="eastAsia" w:ascii="Calibri" w:hAnsi="Calibri" w:cs="Calibri"/>
                <w:sz w:val="18"/>
                <w:szCs w:val="18"/>
              </w:rPr>
              <w:t>0</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436FF559">
            <w:pPr>
              <w:widowControl/>
              <w:spacing w:after="240" w:line="240" w:lineRule="atLeast"/>
              <w:jc w:val="left"/>
              <w:rPr>
                <w:rFonts w:ascii="Calibri" w:hAnsi="Calibri" w:cs="Calibri"/>
                <w:sz w:val="18"/>
                <w:szCs w:val="18"/>
              </w:rPr>
            </w:pPr>
            <w:r>
              <w:rPr>
                <w:rFonts w:ascii="Calibri" w:hAnsi="Calibri" w:cs="Calibri"/>
                <w:sz w:val="18"/>
                <w:szCs w:val="18"/>
              </w:rPr>
              <w:t>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924254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3AB62B3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79A4DFC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452AC138">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0AF4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78611C7C">
            <w:pPr>
              <w:widowControl/>
              <w:spacing w:after="240" w:line="240" w:lineRule="atLeast"/>
              <w:jc w:val="center"/>
              <w:rPr>
                <w:rFonts w:ascii="Calibri" w:hAnsi="Calibri" w:cs="Calibri"/>
                <w:sz w:val="18"/>
                <w:szCs w:val="18"/>
              </w:rPr>
            </w:pPr>
            <w:r>
              <w:rPr>
                <w:rFonts w:hint="eastAsia" w:ascii="Calibri" w:hAnsi="Calibri" w:cs="Calibri"/>
                <w:sz w:val="18"/>
                <w:szCs w:val="18"/>
              </w:rPr>
              <w:t>1</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408EA6E0">
            <w:pPr>
              <w:widowControl/>
              <w:spacing w:after="240" w:line="240" w:lineRule="atLeast"/>
              <w:jc w:val="left"/>
              <w:rPr>
                <w:rFonts w:ascii="Calibri" w:hAnsi="Calibri" w:cs="Calibri"/>
                <w:sz w:val="18"/>
                <w:szCs w:val="18"/>
              </w:rPr>
            </w:pPr>
            <w:r>
              <w:rPr>
                <w:rFonts w:hint="eastAsia" w:ascii="Calibri" w:hAnsi="Calibri" w:cs="Calibri"/>
                <w:sz w:val="18"/>
                <w:szCs w:val="18"/>
              </w:rPr>
              <w:t>≤50mm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BA4B38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3887CE7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4D09245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72C50243">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800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68E5F41B">
            <w:pPr>
              <w:widowControl/>
              <w:spacing w:after="240" w:line="240" w:lineRule="atLeast"/>
              <w:jc w:val="center"/>
              <w:rPr>
                <w:rFonts w:ascii="Calibri" w:hAnsi="Calibri" w:cs="Calibri"/>
                <w:sz w:val="18"/>
                <w:szCs w:val="18"/>
              </w:rPr>
            </w:pPr>
            <w:r>
              <w:rPr>
                <w:rFonts w:hint="eastAsia" w:ascii="Calibri" w:hAnsi="Calibri" w:cs="Calibri"/>
                <w:sz w:val="18"/>
                <w:szCs w:val="18"/>
              </w:rPr>
              <w:t>2</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58D2A2BF">
            <w:pPr>
              <w:widowControl/>
              <w:spacing w:after="240" w:line="240" w:lineRule="atLeast"/>
              <w:jc w:val="left"/>
              <w:rPr>
                <w:rFonts w:ascii="Calibri" w:hAnsi="Calibri" w:cs="Calibri"/>
                <w:sz w:val="18"/>
                <w:szCs w:val="18"/>
              </w:rPr>
            </w:pPr>
            <w:r>
              <w:rPr>
                <w:rFonts w:hint="eastAsia" w:ascii="Calibri" w:hAnsi="Calibri" w:cs="Calibri"/>
                <w:sz w:val="18"/>
                <w:szCs w:val="18"/>
              </w:rPr>
              <w:t>≤100mm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23BA6BA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41C0BF9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1A828FC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1DD24DD6">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4DD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439ECD33">
            <w:pPr>
              <w:widowControl/>
              <w:spacing w:after="240" w:line="240" w:lineRule="atLeast"/>
              <w:jc w:val="center"/>
              <w:rPr>
                <w:rFonts w:ascii="Calibri" w:hAnsi="Calibri" w:cs="Calibri"/>
                <w:sz w:val="18"/>
                <w:szCs w:val="18"/>
              </w:rPr>
            </w:pPr>
            <w:r>
              <w:rPr>
                <w:rFonts w:hint="eastAsia" w:ascii="Calibri" w:hAnsi="Calibri" w:cs="Calibri"/>
                <w:sz w:val="18"/>
                <w:szCs w:val="18"/>
              </w:rPr>
              <w:t>3</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3E32FB43">
            <w:pPr>
              <w:widowControl/>
              <w:spacing w:after="240" w:line="240" w:lineRule="atLeast"/>
              <w:jc w:val="left"/>
              <w:rPr>
                <w:rFonts w:ascii="Calibri" w:hAnsi="Calibri" w:cs="Calibri"/>
                <w:sz w:val="18"/>
                <w:szCs w:val="18"/>
              </w:rPr>
            </w:pPr>
            <w:r>
              <w:rPr>
                <w:rFonts w:hint="eastAsia" w:ascii="Calibri" w:hAnsi="Calibri" w:cs="Calibri"/>
                <w:sz w:val="18"/>
                <w:szCs w:val="18"/>
              </w:rPr>
              <w:t>≤150mm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44DE1C1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17E8ADF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5467CAF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2CE2D3A1">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2C7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13D69876">
            <w:pPr>
              <w:widowControl/>
              <w:spacing w:after="240" w:line="240" w:lineRule="atLeast"/>
              <w:jc w:val="center"/>
              <w:rPr>
                <w:rFonts w:ascii="Calibri" w:hAnsi="Calibri" w:cs="Calibri"/>
                <w:sz w:val="18"/>
                <w:szCs w:val="18"/>
              </w:rPr>
            </w:pPr>
            <w:r>
              <w:rPr>
                <w:rFonts w:hint="eastAsia" w:ascii="Calibri" w:hAnsi="Calibri" w:cs="Calibri"/>
                <w:sz w:val="18"/>
                <w:szCs w:val="18"/>
              </w:rPr>
              <w:t>4</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2AA39A1F">
            <w:pPr>
              <w:widowControl/>
              <w:spacing w:after="240" w:line="240" w:lineRule="atLeast"/>
              <w:jc w:val="left"/>
              <w:rPr>
                <w:rFonts w:ascii="Calibri" w:hAnsi="Calibri" w:cs="Calibri"/>
                <w:sz w:val="18"/>
                <w:szCs w:val="18"/>
              </w:rPr>
            </w:pPr>
            <w:r>
              <w:rPr>
                <w:rFonts w:hint="eastAsia" w:ascii="Calibri" w:hAnsi="Calibri" w:cs="Calibri"/>
                <w:sz w:val="18"/>
                <w:szCs w:val="18"/>
              </w:rPr>
              <w:t>≤200mm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615C540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E10764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48970EB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661C326F">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76E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21AE5A61">
            <w:pPr>
              <w:widowControl/>
              <w:spacing w:after="240" w:line="240" w:lineRule="atLeast"/>
              <w:jc w:val="center"/>
              <w:rPr>
                <w:rFonts w:ascii="Calibri" w:hAnsi="Calibri" w:cs="Calibri"/>
                <w:sz w:val="18"/>
                <w:szCs w:val="18"/>
              </w:rPr>
            </w:pPr>
            <w:r>
              <w:rPr>
                <w:rFonts w:hint="eastAsia" w:ascii="Calibri" w:hAnsi="Calibri" w:cs="Calibri"/>
                <w:sz w:val="18"/>
                <w:szCs w:val="18"/>
              </w:rPr>
              <w:t>5</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38CDF7DB">
            <w:pPr>
              <w:widowControl/>
              <w:spacing w:after="240" w:line="240" w:lineRule="atLeast"/>
              <w:jc w:val="left"/>
              <w:rPr>
                <w:rFonts w:ascii="Calibri" w:hAnsi="Calibri" w:cs="Calibri"/>
                <w:sz w:val="18"/>
                <w:szCs w:val="18"/>
              </w:rPr>
            </w:pPr>
            <w:r>
              <w:rPr>
                <w:rFonts w:hint="eastAsia" w:ascii="Calibri" w:hAnsi="Calibri" w:cs="Calibri"/>
                <w:sz w:val="18"/>
                <w:szCs w:val="18"/>
              </w:rPr>
              <w:t>≤250mm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50AA646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33D98C3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3BE515E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5E86761E">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3628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ADA9AF7">
            <w:pPr>
              <w:widowControl/>
              <w:spacing w:after="240" w:line="240" w:lineRule="atLeast"/>
              <w:jc w:val="center"/>
              <w:rPr>
                <w:rFonts w:ascii="Calibri" w:hAnsi="Calibri" w:cs="Calibri"/>
                <w:sz w:val="18"/>
                <w:szCs w:val="18"/>
              </w:rPr>
            </w:pPr>
            <w:r>
              <w:rPr>
                <w:rFonts w:hint="eastAsia" w:ascii="Calibri" w:hAnsi="Calibri" w:cs="Calibri"/>
                <w:sz w:val="18"/>
                <w:szCs w:val="18"/>
              </w:rPr>
              <w:t>6</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7F77A408">
            <w:pPr>
              <w:widowControl/>
              <w:spacing w:after="240" w:line="240" w:lineRule="atLeast"/>
              <w:jc w:val="left"/>
              <w:rPr>
                <w:rFonts w:ascii="Calibri" w:hAnsi="Calibri" w:cs="Calibri"/>
                <w:sz w:val="18"/>
                <w:szCs w:val="18"/>
              </w:rPr>
            </w:pPr>
            <w:r>
              <w:rPr>
                <w:rFonts w:hint="eastAsia" w:ascii="Calibri" w:hAnsi="Calibri" w:cs="Calibri"/>
                <w:sz w:val="18"/>
                <w:szCs w:val="18"/>
              </w:rPr>
              <w:t>≤300mm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2BDCD0D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5144FE1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5ED5338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34262366">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5E8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568FAB22">
            <w:pPr>
              <w:widowControl/>
              <w:spacing w:after="240" w:line="240" w:lineRule="atLeast"/>
              <w:jc w:val="center"/>
              <w:rPr>
                <w:rFonts w:ascii="Calibri" w:hAnsi="Calibri" w:cs="Calibri"/>
                <w:sz w:val="18"/>
                <w:szCs w:val="18"/>
              </w:rPr>
            </w:pPr>
            <w:r>
              <w:rPr>
                <w:rFonts w:hint="eastAsia" w:ascii="Calibri" w:hAnsi="Calibri" w:cs="Calibri"/>
                <w:sz w:val="18"/>
                <w:szCs w:val="18"/>
              </w:rPr>
              <w:t>9</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60A510F7">
            <w:pPr>
              <w:widowControl/>
              <w:spacing w:after="240" w:line="240" w:lineRule="atLeast"/>
              <w:jc w:val="left"/>
              <w:rPr>
                <w:rFonts w:ascii="Calibri" w:hAnsi="Calibri" w:cs="Calibri"/>
                <w:sz w:val="18"/>
                <w:szCs w:val="18"/>
              </w:rPr>
            </w:pPr>
            <w:r>
              <w:rPr>
                <w:rFonts w:hint="eastAsia" w:ascii="Calibri" w:hAnsi="Calibri" w:cs="Calibri"/>
                <w:sz w:val="18"/>
                <w:szCs w:val="18"/>
              </w:rPr>
              <w:t>Others</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788B6D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12DBFBA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1C52E8F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33BF8899">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771B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3204591">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819AEA8">
            <w:pPr>
              <w:widowControl/>
              <w:spacing w:after="240" w:line="240" w:lineRule="atLeast"/>
              <w:jc w:val="left"/>
              <w:rPr>
                <w:rFonts w:ascii="Calibri" w:hAnsi="Calibri" w:cs="Calibri"/>
                <w:sz w:val="18"/>
                <w:szCs w:val="18"/>
              </w:rPr>
            </w:pPr>
            <w:r>
              <w:rPr>
                <w:rFonts w:hint="eastAsia" w:ascii="Calibri" w:hAnsi="Calibri" w:cs="Calibri"/>
                <w:sz w:val="18"/>
                <w:szCs w:val="18"/>
              </w:rPr>
              <w:t>F</w:t>
            </w:r>
            <w:r>
              <w:rPr>
                <w:rFonts w:ascii="Calibri" w:hAnsi="Calibri" w:cs="Calibri"/>
                <w:sz w:val="18"/>
                <w:szCs w:val="18"/>
              </w:rPr>
              <w:t>illing fluid</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C4E3ADA">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0346C2E">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626CFEA">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A032E7B">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0099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6471CC05">
            <w:pPr>
              <w:widowControl/>
              <w:spacing w:after="240" w:line="240" w:lineRule="atLeast"/>
              <w:jc w:val="center"/>
              <w:rPr>
                <w:rFonts w:ascii="Calibri" w:hAnsi="Calibri" w:cs="Calibri"/>
                <w:sz w:val="18"/>
                <w:szCs w:val="18"/>
              </w:rPr>
            </w:pPr>
            <w:r>
              <w:rPr>
                <w:rFonts w:hint="eastAsia" w:ascii="Calibri" w:hAnsi="Calibri" w:cs="Calibri"/>
                <w:sz w:val="18"/>
                <w:szCs w:val="18"/>
              </w:rPr>
              <w:t>S</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7CACBABF">
            <w:pPr>
              <w:widowControl/>
              <w:spacing w:after="240" w:line="240" w:lineRule="atLeast"/>
              <w:jc w:val="left"/>
              <w:rPr>
                <w:rFonts w:ascii="Calibri" w:hAnsi="Calibri" w:cs="Calibri"/>
                <w:sz w:val="18"/>
                <w:szCs w:val="18"/>
              </w:rPr>
            </w:pPr>
            <w:r>
              <w:rPr>
                <w:rFonts w:ascii="Calibri" w:hAnsi="Calibri" w:cs="Calibri"/>
                <w:sz w:val="18"/>
                <w:szCs w:val="18"/>
              </w:rPr>
              <w:t>Silicone oil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098536E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5698567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2D3B156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4EB13DBA">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4BC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2B55FEE5">
            <w:pPr>
              <w:widowControl/>
              <w:spacing w:after="240" w:line="240" w:lineRule="atLeast"/>
              <w:jc w:val="center"/>
              <w:rPr>
                <w:rFonts w:ascii="Calibri" w:hAnsi="Calibri" w:cs="Calibri"/>
                <w:sz w:val="18"/>
                <w:szCs w:val="18"/>
              </w:rPr>
            </w:pPr>
            <w:r>
              <w:rPr>
                <w:rFonts w:hint="eastAsia" w:ascii="Calibri" w:hAnsi="Calibri" w:cs="Calibri"/>
                <w:sz w:val="18"/>
                <w:szCs w:val="18"/>
              </w:rPr>
              <w:t>D</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1D2060C6">
            <w:pPr>
              <w:widowControl/>
              <w:spacing w:after="240" w:line="240" w:lineRule="atLeast"/>
              <w:jc w:val="left"/>
              <w:rPr>
                <w:rFonts w:ascii="Calibri" w:hAnsi="Calibri" w:cs="Calibri"/>
                <w:sz w:val="18"/>
                <w:szCs w:val="18"/>
              </w:rPr>
            </w:pPr>
            <w:r>
              <w:rPr>
                <w:rFonts w:ascii="Calibri" w:hAnsi="Calibri" w:cs="Calibri"/>
                <w:sz w:val="18"/>
                <w:szCs w:val="18"/>
              </w:rPr>
              <w:t>Low temperature silicone oil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7E2D592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CC1AE0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1D3E330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7637C637">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7262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4F5CF6D3">
            <w:pPr>
              <w:widowControl/>
              <w:spacing w:after="240" w:line="240" w:lineRule="atLeast"/>
              <w:jc w:val="center"/>
              <w:rPr>
                <w:rFonts w:ascii="Calibri" w:hAnsi="Calibri" w:cs="Calibri"/>
                <w:sz w:val="18"/>
                <w:szCs w:val="18"/>
              </w:rPr>
            </w:pPr>
            <w:r>
              <w:rPr>
                <w:rFonts w:hint="eastAsia" w:ascii="Calibri" w:hAnsi="Calibri" w:cs="Calibri"/>
                <w:sz w:val="18"/>
                <w:szCs w:val="18"/>
              </w:rPr>
              <w:t>H</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3C75DA03">
            <w:pPr>
              <w:widowControl/>
              <w:spacing w:after="240" w:line="240" w:lineRule="atLeast"/>
              <w:jc w:val="left"/>
              <w:rPr>
                <w:rFonts w:ascii="Calibri" w:hAnsi="Calibri" w:cs="Calibri"/>
                <w:sz w:val="18"/>
                <w:szCs w:val="18"/>
              </w:rPr>
            </w:pPr>
            <w:r>
              <w:rPr>
                <w:rFonts w:ascii="Calibri" w:hAnsi="Calibri" w:cs="Calibri"/>
                <w:sz w:val="18"/>
                <w:szCs w:val="18"/>
              </w:rPr>
              <w:t>High temperature silicone oil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10398B5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0AA46CA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60E9959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7C1CA7E8">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4EA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41E0A1E3">
            <w:pPr>
              <w:widowControl/>
              <w:spacing w:after="240" w:line="240" w:lineRule="atLeast"/>
              <w:jc w:val="center"/>
              <w:rPr>
                <w:rFonts w:ascii="Calibri" w:hAnsi="Calibri" w:cs="Calibri"/>
                <w:sz w:val="18"/>
                <w:szCs w:val="18"/>
              </w:rPr>
            </w:pPr>
            <w:r>
              <w:rPr>
                <w:rFonts w:hint="eastAsia" w:ascii="Calibri" w:hAnsi="Calibri" w:cs="Calibri"/>
                <w:sz w:val="18"/>
                <w:szCs w:val="18"/>
              </w:rPr>
              <w:t>F</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61AF4712">
            <w:pPr>
              <w:widowControl/>
              <w:spacing w:after="240" w:line="240" w:lineRule="atLeast"/>
              <w:jc w:val="left"/>
              <w:rPr>
                <w:rFonts w:ascii="Calibri" w:hAnsi="Calibri" w:cs="Calibri"/>
                <w:sz w:val="18"/>
                <w:szCs w:val="18"/>
              </w:rPr>
            </w:pPr>
            <w:r>
              <w:rPr>
                <w:rFonts w:ascii="Calibri" w:hAnsi="Calibri" w:cs="Calibri"/>
                <w:sz w:val="18"/>
                <w:szCs w:val="18"/>
              </w:rPr>
              <w:t>Fluoro oil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1C4673E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55DA24A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2CBC5D6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515715BF">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672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77C5A928">
            <w:pPr>
              <w:widowControl/>
              <w:spacing w:after="240" w:line="240" w:lineRule="atLeast"/>
              <w:jc w:val="center"/>
              <w:rPr>
                <w:rFonts w:ascii="Calibri" w:hAnsi="Calibri" w:cs="Calibri"/>
                <w:sz w:val="18"/>
                <w:szCs w:val="18"/>
              </w:rPr>
            </w:pPr>
            <w:r>
              <w:rPr>
                <w:rFonts w:hint="eastAsia" w:ascii="Calibri" w:hAnsi="Calibri" w:cs="Calibri"/>
                <w:sz w:val="18"/>
                <w:szCs w:val="18"/>
              </w:rPr>
              <w:t>O</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74F75B90">
            <w:pPr>
              <w:widowControl/>
              <w:spacing w:after="240" w:line="240" w:lineRule="atLeast"/>
              <w:jc w:val="left"/>
              <w:rPr>
                <w:rFonts w:ascii="Calibri" w:hAnsi="Calibri" w:cs="Calibri"/>
                <w:sz w:val="18"/>
                <w:szCs w:val="18"/>
              </w:rPr>
            </w:pPr>
            <w:r>
              <w:rPr>
                <w:rFonts w:ascii="Calibri" w:hAnsi="Calibri" w:cs="Calibri"/>
                <w:sz w:val="18"/>
                <w:szCs w:val="18"/>
              </w:rPr>
              <w:t>Vegetable oil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5080A33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7202513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5DF29BD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3F50B668">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23B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5D4E5BB">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37E22D5">
            <w:pPr>
              <w:widowControl/>
              <w:spacing w:after="240" w:line="240" w:lineRule="atLeast"/>
              <w:jc w:val="left"/>
              <w:rPr>
                <w:rFonts w:ascii="Calibri" w:hAnsi="Calibri" w:cs="Calibri"/>
                <w:sz w:val="18"/>
                <w:szCs w:val="18"/>
              </w:rPr>
            </w:pPr>
            <w:r>
              <w:rPr>
                <w:rFonts w:hint="eastAsia" w:ascii="Calibri" w:hAnsi="Calibri" w:cs="Calibri"/>
                <w:sz w:val="18"/>
                <w:szCs w:val="18"/>
              </w:rPr>
              <w:t>S</w:t>
            </w:r>
            <w:r>
              <w:rPr>
                <w:rFonts w:ascii="Calibri" w:hAnsi="Calibri" w:cs="Calibri"/>
                <w:sz w:val="18"/>
                <w:szCs w:val="18"/>
              </w:rPr>
              <w:t>eals</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90B0E6F">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83595FC">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AC7C055">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C2A6A47">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1284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5E2A70CE">
            <w:pPr>
              <w:widowControl/>
              <w:spacing w:after="240" w:line="240" w:lineRule="atLeast"/>
              <w:jc w:val="center"/>
              <w:rPr>
                <w:rFonts w:ascii="Calibri" w:hAnsi="Calibri" w:cs="Calibri"/>
                <w:sz w:val="18"/>
                <w:szCs w:val="18"/>
              </w:rPr>
            </w:pPr>
            <w:r>
              <w:rPr>
                <w:rFonts w:hint="eastAsia" w:ascii="Calibri" w:hAnsi="Calibri" w:cs="Calibri"/>
                <w:sz w:val="18"/>
                <w:szCs w:val="18"/>
              </w:rPr>
              <w:t>RF</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1D36721E">
            <w:pPr>
              <w:widowControl/>
              <w:spacing w:after="240" w:line="240" w:lineRule="atLeast"/>
              <w:jc w:val="left"/>
              <w:rPr>
                <w:rFonts w:ascii="Calibri" w:hAnsi="Calibri" w:cs="Calibri"/>
                <w:sz w:val="18"/>
                <w:szCs w:val="18"/>
              </w:rPr>
            </w:pPr>
            <w:r>
              <w:rPr>
                <w:rFonts w:ascii="Calibri" w:hAnsi="Calibri" w:cs="Calibri"/>
                <w:sz w:val="18"/>
                <w:szCs w:val="18"/>
              </w:rPr>
              <w:t>Split flange seal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4CC4B63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318F93E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6C2AE88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45275F6E">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8C1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D4A447A">
            <w:pPr>
              <w:widowControl/>
              <w:spacing w:after="240" w:line="240" w:lineRule="atLeast"/>
              <w:jc w:val="center"/>
              <w:rPr>
                <w:rFonts w:ascii="Calibri" w:hAnsi="Calibri" w:cs="Calibri"/>
                <w:sz w:val="18"/>
                <w:szCs w:val="18"/>
              </w:rPr>
            </w:pPr>
            <w:r>
              <w:rPr>
                <w:rFonts w:ascii="Calibri" w:hAnsi="Calibri" w:cs="Calibri"/>
                <w:sz w:val="18"/>
                <w:szCs w:val="18"/>
              </w:rPr>
              <w:t>FF</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7531ACCC">
            <w:pPr>
              <w:widowControl/>
              <w:spacing w:after="240" w:line="240" w:lineRule="atLeast"/>
              <w:jc w:val="left"/>
              <w:rPr>
                <w:rFonts w:ascii="Calibri" w:hAnsi="Calibri" w:cs="Calibri"/>
                <w:sz w:val="18"/>
                <w:szCs w:val="18"/>
              </w:rPr>
            </w:pPr>
            <w:r>
              <w:rPr>
                <w:rFonts w:ascii="Calibri" w:hAnsi="Calibri" w:cs="Calibri"/>
                <w:sz w:val="18"/>
                <w:szCs w:val="18"/>
              </w:rPr>
              <w:t>Flat flange seal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0DBEFBF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72D4A49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62BA423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1E8B156B">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BF7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100F6F83">
            <w:pPr>
              <w:widowControl/>
              <w:spacing w:after="240" w:line="240" w:lineRule="atLeast"/>
              <w:jc w:val="center"/>
              <w:rPr>
                <w:rFonts w:ascii="Calibri" w:hAnsi="Calibri" w:cs="Calibri"/>
                <w:sz w:val="18"/>
                <w:szCs w:val="18"/>
              </w:rPr>
            </w:pPr>
            <w:r>
              <w:rPr>
                <w:rFonts w:hint="eastAsia" w:ascii="Calibri" w:hAnsi="Calibri" w:cs="Calibri"/>
                <w:sz w:val="18"/>
                <w:szCs w:val="18"/>
              </w:rPr>
              <w:t>E</w:t>
            </w:r>
            <w:r>
              <w:rPr>
                <w:rFonts w:ascii="Calibri" w:hAnsi="Calibri" w:cs="Calibri"/>
                <w:sz w:val="18"/>
                <w:szCs w:val="18"/>
              </w:rPr>
              <w:t>F</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3B35AE6F">
            <w:pPr>
              <w:widowControl/>
              <w:spacing w:after="240" w:line="240" w:lineRule="atLeast"/>
              <w:jc w:val="left"/>
              <w:rPr>
                <w:rFonts w:ascii="Calibri" w:hAnsi="Calibri" w:cs="Calibri"/>
                <w:sz w:val="18"/>
                <w:szCs w:val="18"/>
              </w:rPr>
            </w:pPr>
            <w:r>
              <w:rPr>
                <w:rFonts w:ascii="Calibri" w:hAnsi="Calibri" w:cs="Calibri"/>
                <w:sz w:val="18"/>
                <w:szCs w:val="18"/>
              </w:rPr>
              <w:t>Extended flange seal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1571BAD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471A37E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53E06D2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63C8DDF1">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F99E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47570F09">
            <w:pPr>
              <w:widowControl/>
              <w:spacing w:after="240" w:line="240" w:lineRule="atLeast"/>
              <w:jc w:val="center"/>
              <w:rPr>
                <w:rFonts w:ascii="Calibri" w:hAnsi="Calibri" w:cs="Calibri"/>
                <w:sz w:val="18"/>
                <w:szCs w:val="18"/>
              </w:rPr>
            </w:pPr>
            <w:r>
              <w:rPr>
                <w:rFonts w:hint="eastAsia" w:ascii="Calibri" w:hAnsi="Calibri" w:cs="Calibri"/>
                <w:sz w:val="18"/>
                <w:szCs w:val="18"/>
              </w:rPr>
              <w:t>R</w:t>
            </w:r>
            <w:r>
              <w:rPr>
                <w:rFonts w:ascii="Calibri" w:hAnsi="Calibri" w:cs="Calibri"/>
                <w:sz w:val="18"/>
                <w:szCs w:val="18"/>
              </w:rPr>
              <w:t>T</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71E8A043">
            <w:pPr>
              <w:widowControl/>
              <w:spacing w:after="240" w:line="240" w:lineRule="atLeast"/>
              <w:jc w:val="left"/>
              <w:rPr>
                <w:rFonts w:ascii="Calibri" w:hAnsi="Calibri" w:cs="Calibri"/>
                <w:sz w:val="18"/>
                <w:szCs w:val="18"/>
              </w:rPr>
            </w:pPr>
            <w:r>
              <w:rPr>
                <w:rFonts w:ascii="Calibri" w:hAnsi="Calibri" w:cs="Calibri"/>
                <w:sz w:val="18"/>
                <w:szCs w:val="18"/>
              </w:rPr>
              <w:t>Split threaded seal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04591BE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6991616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0951EA5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269790C7">
            <w:pPr>
              <w:widowControl/>
              <w:spacing w:after="240" w:line="240" w:lineRule="atLeast"/>
              <w:jc w:val="center"/>
              <w:rPr>
                <w:rFonts w:ascii="Calibri" w:hAnsi="Calibri" w:cs="Calibri"/>
                <w:sz w:val="18"/>
                <w:szCs w:val="18"/>
              </w:rPr>
            </w:pPr>
            <w:r>
              <w:rPr>
                <w:rFonts w:ascii="Calibri" w:hAnsi="Calibri" w:cs="Calibri"/>
                <w:sz w:val="18"/>
                <w:szCs w:val="18"/>
              </w:rPr>
              <w:t>●</w:t>
            </w:r>
          </w:p>
        </w:tc>
      </w:tr>
    </w:tbl>
    <w:p w14:paraId="404D1EE4">
      <w:pPr>
        <w:tabs>
          <w:tab w:val="left" w:pos="715"/>
        </w:tabs>
        <w:spacing w:after="240"/>
      </w:pPr>
    </w:p>
    <w:p w14:paraId="47F1A9C5">
      <w:pPr>
        <w:tabs>
          <w:tab w:val="left" w:pos="715"/>
        </w:tabs>
        <w:spacing w:after="240"/>
      </w:pPr>
      <w:r>
        <w:t>Example of selection for remote diaphragm seal with single-sided capillary tube:</w:t>
      </w:r>
    </w:p>
    <w:p w14:paraId="5D75068F">
      <w:pPr>
        <w:tabs>
          <w:tab w:val="left" w:pos="715"/>
        </w:tabs>
        <w:spacing w:after="240"/>
      </w:pPr>
      <w:r>
        <w:t>Basic transmitter selection+5B4S0SRFT (5m). The length of the capillary tube is indicated in parentheses</w:t>
      </w:r>
    </w:p>
    <w:p w14:paraId="1ED07298">
      <w:pPr>
        <w:pStyle w:val="44"/>
        <w:jc w:val="center"/>
      </w:pPr>
      <w:bookmarkStart w:id="246" w:name="_Toc18449"/>
      <w:bookmarkStart w:id="247" w:name="_Toc199429874"/>
      <w:r>
        <w:t>NCS-PT105IIM Pressure Transmitter Doulble-side Diaphragm Seals</w:t>
      </w:r>
      <w:bookmarkEnd w:id="246"/>
      <w:r>
        <w:t xml:space="preserve"> Selection</w:t>
      </w:r>
      <w:bookmarkEnd w:id="247"/>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4269"/>
        <w:gridCol w:w="1065"/>
        <w:gridCol w:w="1035"/>
        <w:gridCol w:w="1057"/>
        <w:gridCol w:w="1059"/>
      </w:tblGrid>
      <w:tr w14:paraId="15E4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15AACBF">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EA1E8EF">
            <w:pPr>
              <w:widowControl/>
              <w:spacing w:after="240" w:line="240" w:lineRule="atLeast"/>
              <w:jc w:val="left"/>
              <w:rPr>
                <w:rFonts w:ascii="Calibri" w:hAnsi="Calibri" w:cs="Calibri"/>
                <w:sz w:val="18"/>
                <w:szCs w:val="18"/>
              </w:rPr>
            </w:pPr>
            <w:r>
              <w:rPr>
                <w:rFonts w:hint="eastAsia" w:ascii="Calibri" w:hAnsi="Calibri" w:cs="Calibri"/>
                <w:sz w:val="18"/>
                <w:szCs w:val="18"/>
              </w:rPr>
              <w:t>Class</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47218F4">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834137E">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0DCB439">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DFAB450">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49EC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73FBB050">
            <w:pPr>
              <w:widowControl/>
              <w:spacing w:after="240" w:line="240" w:lineRule="atLeast"/>
              <w:jc w:val="center"/>
              <w:rPr>
                <w:rFonts w:ascii="Calibri" w:hAnsi="Calibri" w:cs="Calibri"/>
                <w:sz w:val="18"/>
                <w:szCs w:val="18"/>
              </w:rPr>
            </w:pPr>
            <w:r>
              <w:rPr>
                <w:rFonts w:hint="eastAsia" w:ascii="Calibri" w:hAnsi="Calibri" w:cs="Calibri"/>
                <w:sz w:val="18"/>
                <w:szCs w:val="18"/>
              </w:rPr>
              <w:t>1</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19A7EF97">
            <w:pPr>
              <w:widowControl/>
              <w:spacing w:after="240" w:line="240" w:lineRule="atLeast"/>
              <w:jc w:val="left"/>
              <w:rPr>
                <w:rFonts w:ascii="Calibri" w:hAnsi="Calibri" w:cs="Calibri"/>
                <w:sz w:val="18"/>
                <w:szCs w:val="18"/>
              </w:rPr>
            </w:pPr>
            <w:r>
              <w:rPr>
                <w:rFonts w:ascii="Calibri" w:hAnsi="Calibri" w:cs="Calibri"/>
                <w:sz w:val="18"/>
                <w:szCs w:val="18"/>
              </w:rPr>
              <w:t>ANSI 150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5A9F378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9219D9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09A8880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2176140F">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0B70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AA43E7E">
            <w:pPr>
              <w:widowControl/>
              <w:spacing w:after="240" w:line="240" w:lineRule="atLeast"/>
              <w:jc w:val="center"/>
              <w:rPr>
                <w:rFonts w:ascii="Calibri" w:hAnsi="Calibri" w:cs="Calibri"/>
                <w:sz w:val="18"/>
                <w:szCs w:val="18"/>
              </w:rPr>
            </w:pPr>
            <w:r>
              <w:rPr>
                <w:rFonts w:hint="eastAsia" w:ascii="Calibri" w:hAnsi="Calibri" w:cs="Calibri"/>
                <w:sz w:val="18"/>
                <w:szCs w:val="18"/>
              </w:rPr>
              <w:t>2</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59FE10E8">
            <w:pPr>
              <w:widowControl/>
              <w:spacing w:after="240" w:line="240" w:lineRule="atLeast"/>
              <w:jc w:val="left"/>
              <w:rPr>
                <w:rFonts w:ascii="Calibri" w:hAnsi="Calibri" w:cs="Calibri"/>
                <w:sz w:val="18"/>
                <w:szCs w:val="18"/>
              </w:rPr>
            </w:pPr>
            <w:r>
              <w:rPr>
                <w:rFonts w:ascii="Calibri" w:hAnsi="Calibri" w:cs="Calibri"/>
                <w:sz w:val="18"/>
                <w:szCs w:val="18"/>
              </w:rPr>
              <w:t>ANSI 300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02DB89C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3B411D3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4C0A87D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4B0B4C07">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0070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7949189C">
            <w:pPr>
              <w:widowControl/>
              <w:spacing w:after="240" w:line="240" w:lineRule="atLeast"/>
              <w:jc w:val="center"/>
              <w:rPr>
                <w:rFonts w:ascii="Calibri" w:hAnsi="Calibri" w:cs="Calibri"/>
                <w:sz w:val="18"/>
                <w:szCs w:val="18"/>
              </w:rPr>
            </w:pPr>
            <w:r>
              <w:rPr>
                <w:rFonts w:hint="eastAsia" w:ascii="Calibri" w:hAnsi="Calibri" w:cs="Calibri"/>
                <w:sz w:val="18"/>
                <w:szCs w:val="18"/>
              </w:rPr>
              <w:t>3</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04422085">
            <w:pPr>
              <w:widowControl/>
              <w:spacing w:after="240" w:line="240" w:lineRule="atLeast"/>
              <w:jc w:val="left"/>
              <w:rPr>
                <w:rFonts w:ascii="Calibri" w:hAnsi="Calibri" w:cs="Calibri"/>
                <w:sz w:val="18"/>
                <w:szCs w:val="18"/>
              </w:rPr>
            </w:pPr>
            <w:r>
              <w:rPr>
                <w:rFonts w:ascii="Calibri" w:hAnsi="Calibri" w:cs="Calibri"/>
                <w:sz w:val="18"/>
                <w:szCs w:val="18"/>
              </w:rPr>
              <w:t>ANSI 600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77E64DE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5948857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4E35168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65AEDD69">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3B1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98848C9">
            <w:pPr>
              <w:widowControl/>
              <w:spacing w:after="240" w:line="240" w:lineRule="atLeast"/>
              <w:jc w:val="center"/>
              <w:rPr>
                <w:rFonts w:ascii="Calibri" w:hAnsi="Calibri" w:cs="Calibri"/>
                <w:sz w:val="18"/>
                <w:szCs w:val="18"/>
              </w:rPr>
            </w:pPr>
            <w:r>
              <w:rPr>
                <w:rFonts w:hint="eastAsia" w:ascii="Calibri" w:hAnsi="Calibri" w:cs="Calibri"/>
                <w:sz w:val="18"/>
                <w:szCs w:val="18"/>
              </w:rPr>
              <w:t>4</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4C5CFE18">
            <w:pPr>
              <w:widowControl/>
              <w:spacing w:after="240" w:line="240" w:lineRule="atLeast"/>
              <w:jc w:val="left"/>
              <w:rPr>
                <w:rFonts w:ascii="Calibri" w:hAnsi="Calibri" w:cs="Calibri"/>
                <w:sz w:val="18"/>
                <w:szCs w:val="18"/>
              </w:rPr>
            </w:pPr>
            <w:r>
              <w:rPr>
                <w:rFonts w:ascii="Calibri" w:hAnsi="Calibri" w:cs="Calibri"/>
                <w:sz w:val="18"/>
                <w:szCs w:val="18"/>
              </w:rPr>
              <w:t>DIN PN 10/16</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268CB11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7E73147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1FE4701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19AD2D5A">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0E9B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6C94D267">
            <w:pPr>
              <w:widowControl/>
              <w:spacing w:after="240" w:line="240" w:lineRule="atLeast"/>
              <w:jc w:val="center"/>
              <w:rPr>
                <w:rFonts w:ascii="Calibri" w:hAnsi="Calibri" w:cs="Calibri"/>
                <w:sz w:val="18"/>
                <w:szCs w:val="18"/>
              </w:rPr>
            </w:pPr>
            <w:r>
              <w:rPr>
                <w:rFonts w:hint="eastAsia" w:ascii="Calibri" w:hAnsi="Calibri" w:cs="Calibri"/>
                <w:sz w:val="18"/>
                <w:szCs w:val="18"/>
              </w:rPr>
              <w:t>5</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2458BD98">
            <w:pPr>
              <w:widowControl/>
              <w:spacing w:after="240" w:line="240" w:lineRule="atLeast"/>
              <w:jc w:val="left"/>
              <w:rPr>
                <w:rFonts w:ascii="Calibri" w:hAnsi="Calibri" w:cs="Calibri"/>
                <w:sz w:val="18"/>
                <w:szCs w:val="18"/>
              </w:rPr>
            </w:pPr>
            <w:r>
              <w:rPr>
                <w:rFonts w:ascii="Calibri" w:hAnsi="Calibri" w:cs="Calibri"/>
                <w:sz w:val="18"/>
                <w:szCs w:val="18"/>
              </w:rPr>
              <w:t>DIN PN 25/40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7B6E339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4DBD99E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7DC6AE9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4A2528CE">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DD5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74D3811A">
            <w:pPr>
              <w:widowControl/>
              <w:spacing w:after="240" w:line="240" w:lineRule="atLeast"/>
              <w:jc w:val="center"/>
              <w:rPr>
                <w:rFonts w:ascii="Calibri" w:hAnsi="Calibri" w:cs="Calibri"/>
                <w:sz w:val="18"/>
                <w:szCs w:val="18"/>
              </w:rPr>
            </w:pPr>
            <w:r>
              <w:rPr>
                <w:rFonts w:hint="eastAsia" w:ascii="Calibri" w:hAnsi="Calibri" w:cs="Calibri"/>
                <w:sz w:val="18"/>
                <w:szCs w:val="18"/>
              </w:rPr>
              <w:t>6</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710CC7E4">
            <w:pPr>
              <w:widowControl/>
              <w:spacing w:after="240" w:line="240" w:lineRule="atLeast"/>
              <w:jc w:val="left"/>
              <w:rPr>
                <w:rFonts w:ascii="Calibri" w:hAnsi="Calibri" w:cs="Calibri"/>
                <w:sz w:val="18"/>
                <w:szCs w:val="18"/>
              </w:rPr>
            </w:pPr>
            <w:r>
              <w:rPr>
                <w:rFonts w:ascii="Calibri" w:hAnsi="Calibri" w:cs="Calibri"/>
                <w:sz w:val="18"/>
                <w:szCs w:val="18"/>
              </w:rPr>
              <w:t>DIN PN 64</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125D630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3ABC38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0F77F0C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075DA026">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0609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732A8F8B">
            <w:pPr>
              <w:widowControl/>
              <w:spacing w:after="240" w:line="240" w:lineRule="atLeast"/>
              <w:jc w:val="center"/>
              <w:rPr>
                <w:rFonts w:ascii="Calibri" w:hAnsi="Calibri" w:cs="Calibri"/>
                <w:sz w:val="18"/>
                <w:szCs w:val="18"/>
              </w:rPr>
            </w:pPr>
            <w:r>
              <w:rPr>
                <w:rFonts w:hint="eastAsia" w:ascii="Calibri" w:hAnsi="Calibri" w:cs="Calibri"/>
                <w:sz w:val="18"/>
                <w:szCs w:val="18"/>
              </w:rPr>
              <w:t>7</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42D1AAB4">
            <w:pPr>
              <w:widowControl/>
              <w:spacing w:after="240" w:line="240" w:lineRule="atLeast"/>
              <w:jc w:val="left"/>
              <w:rPr>
                <w:rFonts w:ascii="Calibri" w:hAnsi="Calibri" w:cs="Calibri"/>
                <w:sz w:val="18"/>
                <w:szCs w:val="18"/>
              </w:rPr>
            </w:pPr>
            <w:r>
              <w:rPr>
                <w:rFonts w:ascii="Calibri" w:hAnsi="Calibri" w:cs="Calibri"/>
                <w:sz w:val="18"/>
                <w:szCs w:val="18"/>
              </w:rPr>
              <w:t>DIN PN 100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008E81C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76146BB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0875BBA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27ABD4A6">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7413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3CD39A01">
            <w:pPr>
              <w:widowControl/>
              <w:spacing w:after="240" w:line="240" w:lineRule="atLeast"/>
              <w:jc w:val="center"/>
              <w:rPr>
                <w:rFonts w:ascii="Calibri" w:hAnsi="Calibri" w:cs="Calibri"/>
                <w:sz w:val="18"/>
                <w:szCs w:val="18"/>
              </w:rPr>
            </w:pPr>
            <w:r>
              <w:rPr>
                <w:rFonts w:hint="eastAsia" w:ascii="Calibri" w:hAnsi="Calibri" w:cs="Calibri"/>
                <w:sz w:val="18"/>
                <w:szCs w:val="18"/>
              </w:rPr>
              <w:t>9</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1CC7F248">
            <w:pPr>
              <w:widowControl/>
              <w:spacing w:after="240" w:line="240" w:lineRule="atLeast"/>
              <w:jc w:val="left"/>
              <w:rPr>
                <w:rFonts w:ascii="Calibri" w:hAnsi="Calibri" w:cs="Calibri"/>
                <w:sz w:val="18"/>
                <w:szCs w:val="18"/>
              </w:rPr>
            </w:pPr>
            <w:r>
              <w:rPr>
                <w:rFonts w:hint="eastAsia" w:ascii="Calibri" w:hAnsi="Calibri" w:cs="Calibri"/>
                <w:sz w:val="18"/>
                <w:szCs w:val="18"/>
              </w:rPr>
              <w:t>Others</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DA6666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33B4859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2F75E6D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5924CE85">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3956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03CAF7B">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324C4BF">
            <w:pPr>
              <w:widowControl/>
              <w:spacing w:after="240" w:line="240" w:lineRule="atLeast"/>
              <w:jc w:val="left"/>
              <w:rPr>
                <w:rFonts w:ascii="Calibri" w:hAnsi="Calibri" w:cs="Calibri"/>
                <w:sz w:val="18"/>
                <w:szCs w:val="18"/>
              </w:rPr>
            </w:pPr>
            <w:r>
              <w:rPr>
                <w:rFonts w:hint="eastAsia" w:ascii="Calibri" w:hAnsi="Calibri" w:cs="Calibri"/>
                <w:sz w:val="18"/>
                <w:szCs w:val="18"/>
              </w:rPr>
              <w:t>Dimension</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49C9CAA">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7331853">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E38F794">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A7EB0ED">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7335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38C32961">
            <w:pPr>
              <w:widowControl/>
              <w:spacing w:after="240" w:line="240" w:lineRule="atLeast"/>
              <w:jc w:val="center"/>
              <w:rPr>
                <w:rFonts w:ascii="Calibri" w:hAnsi="Calibri" w:cs="Calibri"/>
                <w:sz w:val="18"/>
                <w:szCs w:val="18"/>
              </w:rPr>
            </w:pPr>
            <w:r>
              <w:rPr>
                <w:rFonts w:hint="eastAsia" w:ascii="Calibri" w:hAnsi="Calibri" w:cs="Calibri"/>
                <w:sz w:val="18"/>
                <w:szCs w:val="18"/>
              </w:rPr>
              <w:t>A</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321730C7">
            <w:pPr>
              <w:widowControl/>
              <w:spacing w:after="240" w:line="240" w:lineRule="atLeast"/>
              <w:jc w:val="left"/>
              <w:rPr>
                <w:rFonts w:ascii="Calibri" w:hAnsi="Calibri" w:cs="Calibri"/>
                <w:sz w:val="18"/>
                <w:szCs w:val="18"/>
              </w:rPr>
            </w:pPr>
            <w:r>
              <w:rPr>
                <w:rFonts w:ascii="Calibri" w:hAnsi="Calibri" w:cs="Calibri"/>
                <w:sz w:val="18"/>
                <w:szCs w:val="18"/>
              </w:rPr>
              <w:t>1-inch(DN25)</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EB7012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0DB4449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57B7D4E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42708F45">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3868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56D7E229">
            <w:pPr>
              <w:widowControl/>
              <w:spacing w:after="240" w:line="240" w:lineRule="atLeast"/>
              <w:jc w:val="center"/>
              <w:rPr>
                <w:rFonts w:ascii="Calibri" w:hAnsi="Calibri" w:cs="Calibri"/>
                <w:sz w:val="18"/>
                <w:szCs w:val="18"/>
              </w:rPr>
            </w:pPr>
            <w:r>
              <w:rPr>
                <w:rFonts w:hint="eastAsia" w:ascii="Calibri" w:hAnsi="Calibri" w:cs="Calibri"/>
                <w:sz w:val="18"/>
                <w:szCs w:val="18"/>
              </w:rPr>
              <w:t>B</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330C301D">
            <w:pPr>
              <w:widowControl/>
              <w:spacing w:after="240" w:line="240" w:lineRule="atLeast"/>
              <w:jc w:val="left"/>
              <w:rPr>
                <w:rFonts w:ascii="Calibri" w:hAnsi="Calibri" w:cs="Calibri"/>
                <w:sz w:val="18"/>
                <w:szCs w:val="18"/>
              </w:rPr>
            </w:pPr>
            <w:r>
              <w:rPr>
                <w:rFonts w:ascii="Calibri" w:hAnsi="Calibri" w:cs="Calibri"/>
                <w:sz w:val="18"/>
                <w:szCs w:val="18"/>
              </w:rPr>
              <w:t>2-inch(DN50)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759E8D9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5EABD25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00B2569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54B17F2E">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3993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2A5CBE77">
            <w:pPr>
              <w:widowControl/>
              <w:spacing w:after="240" w:line="240" w:lineRule="atLeast"/>
              <w:jc w:val="center"/>
              <w:rPr>
                <w:rFonts w:ascii="Calibri" w:hAnsi="Calibri" w:cs="Calibri"/>
                <w:sz w:val="18"/>
                <w:szCs w:val="18"/>
              </w:rPr>
            </w:pPr>
            <w:r>
              <w:rPr>
                <w:rFonts w:hint="eastAsia" w:ascii="Calibri" w:hAnsi="Calibri" w:cs="Calibri"/>
                <w:sz w:val="18"/>
                <w:szCs w:val="18"/>
              </w:rPr>
              <w:t>C</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43039C6B">
            <w:pPr>
              <w:widowControl/>
              <w:spacing w:after="240" w:line="240" w:lineRule="atLeast"/>
              <w:jc w:val="left"/>
              <w:rPr>
                <w:rFonts w:ascii="Calibri" w:hAnsi="Calibri" w:cs="Calibri"/>
                <w:sz w:val="18"/>
                <w:szCs w:val="18"/>
              </w:rPr>
            </w:pPr>
            <w:r>
              <w:rPr>
                <w:rFonts w:ascii="Calibri" w:hAnsi="Calibri" w:cs="Calibri"/>
                <w:sz w:val="18"/>
                <w:szCs w:val="18"/>
              </w:rPr>
              <w:t>3-inch(DN80)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7C948FC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6A5BEBF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6378C23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2AC097FF">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B36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76FD642F">
            <w:pPr>
              <w:widowControl/>
              <w:spacing w:after="240" w:line="240" w:lineRule="atLeast"/>
              <w:jc w:val="center"/>
              <w:rPr>
                <w:rFonts w:ascii="Calibri" w:hAnsi="Calibri" w:cs="Calibri"/>
                <w:sz w:val="18"/>
                <w:szCs w:val="18"/>
              </w:rPr>
            </w:pPr>
            <w:r>
              <w:rPr>
                <w:rFonts w:hint="eastAsia" w:ascii="Calibri" w:hAnsi="Calibri" w:cs="Calibri"/>
                <w:sz w:val="18"/>
                <w:szCs w:val="18"/>
              </w:rPr>
              <w:t>D</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71F95A2E">
            <w:pPr>
              <w:widowControl/>
              <w:spacing w:after="240" w:line="240" w:lineRule="atLeast"/>
              <w:jc w:val="left"/>
              <w:rPr>
                <w:rFonts w:ascii="Calibri" w:hAnsi="Calibri" w:cs="Calibri"/>
                <w:sz w:val="18"/>
                <w:szCs w:val="18"/>
              </w:rPr>
            </w:pPr>
            <w:r>
              <w:rPr>
                <w:rFonts w:ascii="Calibri" w:hAnsi="Calibri" w:cs="Calibri"/>
                <w:sz w:val="18"/>
                <w:szCs w:val="18"/>
              </w:rPr>
              <w:t>4-inch(DN100)</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0605815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1C3F860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4C048BF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657A2DAA">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AFE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1BFE15F4">
            <w:pPr>
              <w:widowControl/>
              <w:spacing w:after="240" w:line="240" w:lineRule="atLeast"/>
              <w:jc w:val="center"/>
              <w:rPr>
                <w:rFonts w:ascii="Calibri" w:hAnsi="Calibri" w:cs="Calibri"/>
                <w:sz w:val="18"/>
                <w:szCs w:val="18"/>
              </w:rPr>
            </w:pPr>
            <w:r>
              <w:rPr>
                <w:rFonts w:hint="eastAsia" w:ascii="Calibri" w:hAnsi="Calibri" w:cs="Calibri"/>
                <w:sz w:val="18"/>
                <w:szCs w:val="18"/>
              </w:rPr>
              <w:t>9</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7D9CFB84">
            <w:pPr>
              <w:widowControl/>
              <w:spacing w:after="240" w:line="240" w:lineRule="atLeast"/>
              <w:jc w:val="left"/>
              <w:rPr>
                <w:rFonts w:ascii="Calibri" w:hAnsi="Calibri" w:cs="Calibri"/>
                <w:sz w:val="18"/>
                <w:szCs w:val="18"/>
              </w:rPr>
            </w:pPr>
            <w:r>
              <w:rPr>
                <w:rFonts w:hint="eastAsia" w:ascii="Calibri" w:hAnsi="Calibri" w:cs="Calibri"/>
                <w:sz w:val="18"/>
                <w:szCs w:val="18"/>
              </w:rPr>
              <w:t>Others</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0A69FAE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1ECB44D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771BB1A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7C7C6368">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91F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2C3EDAD">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181BF8B">
            <w:pPr>
              <w:widowControl/>
              <w:spacing w:after="240" w:line="240" w:lineRule="atLeast"/>
              <w:jc w:val="left"/>
              <w:rPr>
                <w:rFonts w:ascii="Calibri" w:hAnsi="Calibri" w:cs="Calibri"/>
                <w:sz w:val="18"/>
                <w:szCs w:val="18"/>
              </w:rPr>
            </w:pPr>
            <w:r>
              <w:rPr>
                <w:rFonts w:hint="eastAsia" w:ascii="Calibri" w:hAnsi="Calibri" w:cs="Calibri"/>
                <w:sz w:val="18"/>
                <w:szCs w:val="18"/>
              </w:rPr>
              <w:t>Material of structure</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99E0C16">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F42AAF8">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BA5B30C">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ED2D417">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4A47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679984E9">
            <w:pPr>
              <w:widowControl/>
              <w:spacing w:after="240" w:line="240" w:lineRule="atLeast"/>
              <w:jc w:val="center"/>
              <w:rPr>
                <w:rFonts w:ascii="Calibri" w:hAnsi="Calibri" w:cs="Calibri"/>
                <w:sz w:val="18"/>
                <w:szCs w:val="18"/>
              </w:rPr>
            </w:pPr>
            <w:r>
              <w:rPr>
                <w:rFonts w:hint="eastAsia" w:ascii="Calibri" w:hAnsi="Calibri" w:cs="Calibri"/>
                <w:sz w:val="18"/>
                <w:szCs w:val="18"/>
              </w:rPr>
              <w:t>7</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078CC8F9">
            <w:pPr>
              <w:widowControl/>
              <w:spacing w:after="240" w:line="240" w:lineRule="atLeast"/>
              <w:jc w:val="left"/>
              <w:rPr>
                <w:rFonts w:ascii="Calibri" w:hAnsi="Calibri" w:cs="Calibri"/>
                <w:sz w:val="18"/>
                <w:szCs w:val="18"/>
              </w:rPr>
            </w:pPr>
            <w:r>
              <w:rPr>
                <w:rFonts w:hint="eastAsia" w:ascii="Calibri" w:hAnsi="Calibri" w:cs="Calibri"/>
                <w:sz w:val="18"/>
                <w:szCs w:val="18"/>
              </w:rPr>
              <w:t>SS316</w:t>
            </w:r>
            <w:r>
              <w:rPr>
                <w:rFonts w:ascii="Calibri" w:hAnsi="Calibri" w:cs="Calibri"/>
                <w:sz w:val="18"/>
                <w:szCs w:val="18"/>
              </w:rPr>
              <w:t>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F06A24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7C8BF22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1FD6A2A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0829E51D">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631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CB6EE56">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0E22EAA">
            <w:pPr>
              <w:widowControl/>
              <w:spacing w:after="240" w:line="240" w:lineRule="atLeast"/>
              <w:jc w:val="left"/>
              <w:rPr>
                <w:rFonts w:ascii="Calibri" w:hAnsi="Calibri" w:cs="Calibri"/>
                <w:sz w:val="18"/>
                <w:szCs w:val="18"/>
              </w:rPr>
            </w:pPr>
            <w:r>
              <w:rPr>
                <w:rFonts w:hint="eastAsia" w:ascii="Calibri" w:hAnsi="Calibri" w:cs="Calibri"/>
                <w:sz w:val="18"/>
                <w:szCs w:val="18"/>
              </w:rPr>
              <w:t>MOC</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024E5EF">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295C1D1">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639328B">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B54FB1A">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79C2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4F3D3AB">
            <w:pPr>
              <w:widowControl/>
              <w:spacing w:after="240" w:line="240" w:lineRule="atLeast"/>
              <w:jc w:val="center"/>
              <w:rPr>
                <w:rFonts w:ascii="Calibri" w:hAnsi="Calibri" w:cs="Calibri"/>
                <w:sz w:val="18"/>
                <w:szCs w:val="18"/>
              </w:rPr>
            </w:pPr>
            <w:r>
              <w:rPr>
                <w:rFonts w:hint="eastAsia" w:ascii="Calibri" w:hAnsi="Calibri" w:cs="Calibri"/>
                <w:sz w:val="18"/>
                <w:szCs w:val="18"/>
              </w:rPr>
              <w:t>S</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190C035E">
            <w:pPr>
              <w:widowControl/>
              <w:spacing w:after="240" w:line="240" w:lineRule="atLeast"/>
              <w:jc w:val="left"/>
              <w:rPr>
                <w:rFonts w:ascii="Calibri" w:hAnsi="Calibri" w:cs="Calibri"/>
                <w:sz w:val="18"/>
                <w:szCs w:val="18"/>
              </w:rPr>
            </w:pPr>
            <w:r>
              <w:rPr>
                <w:rFonts w:hint="eastAsia" w:ascii="Calibri" w:hAnsi="Calibri" w:cs="Calibri"/>
                <w:sz w:val="18"/>
                <w:szCs w:val="18"/>
              </w:rPr>
              <w:t>S</w:t>
            </w:r>
            <w:r>
              <w:rPr>
                <w:rFonts w:ascii="Calibri" w:hAnsi="Calibri" w:cs="Calibri"/>
                <w:sz w:val="18"/>
                <w:szCs w:val="18"/>
              </w:rPr>
              <w:t>S</w:t>
            </w:r>
            <w:r>
              <w:rPr>
                <w:rFonts w:hint="eastAsia" w:ascii="Calibri" w:hAnsi="Calibri" w:cs="Calibri"/>
                <w:sz w:val="18"/>
                <w:szCs w:val="18"/>
              </w:rPr>
              <w:t>316L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7CE9E21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3394A93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692C507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6417A285">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331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3E2C43AA">
            <w:pPr>
              <w:widowControl/>
              <w:spacing w:after="240" w:line="240" w:lineRule="atLeast"/>
              <w:jc w:val="center"/>
              <w:rPr>
                <w:rFonts w:ascii="Calibri" w:hAnsi="Calibri" w:cs="Calibri"/>
                <w:sz w:val="18"/>
                <w:szCs w:val="18"/>
              </w:rPr>
            </w:pPr>
            <w:r>
              <w:rPr>
                <w:rFonts w:hint="eastAsia" w:ascii="Calibri" w:hAnsi="Calibri" w:cs="Calibri"/>
                <w:sz w:val="18"/>
                <w:szCs w:val="18"/>
              </w:rPr>
              <w:t>H</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432CA9B3">
            <w:pPr>
              <w:widowControl/>
              <w:spacing w:after="240" w:line="240" w:lineRule="atLeast"/>
              <w:jc w:val="left"/>
              <w:rPr>
                <w:rFonts w:ascii="Calibri" w:hAnsi="Calibri" w:cs="Calibri"/>
                <w:sz w:val="18"/>
                <w:szCs w:val="18"/>
              </w:rPr>
            </w:pPr>
            <w:r>
              <w:rPr>
                <w:rFonts w:ascii="Calibri" w:hAnsi="Calibri" w:cs="Calibri"/>
                <w:sz w:val="18"/>
                <w:szCs w:val="18"/>
              </w:rPr>
              <w:t>Hastelloy</w:t>
            </w:r>
            <w:r>
              <w:rPr>
                <w:rFonts w:hint="eastAsia" w:ascii="Calibri" w:hAnsi="Calibri" w:cs="Calibri"/>
                <w:sz w:val="18"/>
                <w:szCs w:val="18"/>
              </w:rPr>
              <w:t xml:space="preserve"> C-276</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237702C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7B37D5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2BDB562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18850C2F">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7E97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4E4FFF55">
            <w:pPr>
              <w:widowControl/>
              <w:spacing w:after="240" w:line="240" w:lineRule="atLeast"/>
              <w:jc w:val="center"/>
              <w:rPr>
                <w:rFonts w:ascii="Calibri" w:hAnsi="Calibri" w:cs="Calibri"/>
                <w:sz w:val="18"/>
                <w:szCs w:val="18"/>
              </w:rPr>
            </w:pPr>
            <w:r>
              <w:rPr>
                <w:rFonts w:hint="eastAsia" w:ascii="Calibri" w:hAnsi="Calibri" w:cs="Calibri"/>
                <w:sz w:val="18"/>
                <w:szCs w:val="18"/>
              </w:rPr>
              <w:t>T</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6E0347E0">
            <w:pPr>
              <w:widowControl/>
              <w:spacing w:after="240" w:line="240" w:lineRule="atLeast"/>
              <w:jc w:val="left"/>
              <w:rPr>
                <w:rFonts w:ascii="Calibri" w:hAnsi="Calibri" w:cs="Calibri"/>
                <w:sz w:val="18"/>
                <w:szCs w:val="18"/>
              </w:rPr>
            </w:pPr>
            <w:r>
              <w:rPr>
                <w:rFonts w:hint="eastAsia" w:ascii="Calibri" w:hAnsi="Calibri" w:cs="Calibri"/>
                <w:sz w:val="18"/>
                <w:szCs w:val="18"/>
              </w:rPr>
              <w:t>T</w:t>
            </w:r>
            <w:r>
              <w:rPr>
                <w:rFonts w:ascii="Calibri" w:hAnsi="Calibri" w:cs="Calibri"/>
                <w:sz w:val="18"/>
                <w:szCs w:val="18"/>
              </w:rPr>
              <w:t>antalum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0EE9611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A3DE3C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2357326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6334E08C">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DBA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A93DFC7">
            <w:pPr>
              <w:widowControl/>
              <w:spacing w:after="240" w:line="240" w:lineRule="atLeast"/>
              <w:jc w:val="center"/>
              <w:rPr>
                <w:rFonts w:ascii="Calibri" w:hAnsi="Calibri" w:cs="Calibri"/>
                <w:sz w:val="18"/>
                <w:szCs w:val="18"/>
              </w:rPr>
            </w:pPr>
            <w:r>
              <w:rPr>
                <w:rFonts w:hint="eastAsia" w:ascii="Calibri" w:hAnsi="Calibri" w:cs="Calibri"/>
                <w:sz w:val="18"/>
                <w:szCs w:val="18"/>
              </w:rPr>
              <w:t>G</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65FC9EF2">
            <w:pPr>
              <w:widowControl/>
              <w:spacing w:after="240" w:line="240" w:lineRule="atLeast"/>
              <w:jc w:val="left"/>
              <w:rPr>
                <w:rFonts w:ascii="Calibri" w:hAnsi="Calibri" w:cs="Calibri"/>
                <w:sz w:val="18"/>
                <w:szCs w:val="18"/>
              </w:rPr>
            </w:pPr>
            <w:r>
              <w:rPr>
                <w:rFonts w:hint="eastAsia" w:ascii="Calibri" w:hAnsi="Calibri" w:cs="Calibri"/>
                <w:sz w:val="18"/>
                <w:szCs w:val="18"/>
              </w:rPr>
              <w:t>SS316L G</w:t>
            </w:r>
            <w:r>
              <w:rPr>
                <w:rFonts w:ascii="Calibri" w:hAnsi="Calibri" w:cs="Calibri"/>
                <w:sz w:val="18"/>
                <w:szCs w:val="18"/>
              </w:rPr>
              <w:t>old-plating</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276A98F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3F7AD03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65918B77">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1BA03FC1">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4F3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2AF3A134">
            <w:pPr>
              <w:widowControl/>
              <w:spacing w:after="240" w:line="240" w:lineRule="atLeast"/>
              <w:jc w:val="center"/>
              <w:rPr>
                <w:rFonts w:ascii="Calibri" w:hAnsi="Calibri" w:cs="Calibri"/>
                <w:sz w:val="18"/>
                <w:szCs w:val="18"/>
              </w:rPr>
            </w:pPr>
            <w:r>
              <w:rPr>
                <w:rFonts w:hint="eastAsia" w:ascii="Calibri" w:hAnsi="Calibri" w:cs="Calibri"/>
                <w:sz w:val="18"/>
                <w:szCs w:val="18"/>
              </w:rPr>
              <w:t>M</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5F7C21E1">
            <w:pPr>
              <w:widowControl/>
              <w:spacing w:after="240" w:line="240" w:lineRule="atLeast"/>
              <w:jc w:val="left"/>
              <w:rPr>
                <w:rFonts w:ascii="Calibri" w:hAnsi="Calibri" w:cs="Calibri"/>
                <w:sz w:val="18"/>
                <w:szCs w:val="18"/>
              </w:rPr>
            </w:pPr>
            <w:r>
              <w:rPr>
                <w:rFonts w:ascii="Calibri" w:hAnsi="Calibri" w:cs="Calibri"/>
                <w:sz w:val="18"/>
                <w:szCs w:val="18"/>
              </w:rPr>
              <w:t>Monel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82C945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143EB7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45AD9CA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305FC41B">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D23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5AAAC3D1">
            <w:pPr>
              <w:widowControl/>
              <w:spacing w:after="240" w:line="240" w:lineRule="atLeast"/>
              <w:jc w:val="center"/>
              <w:rPr>
                <w:rFonts w:ascii="Calibri" w:hAnsi="Calibri" w:cs="Calibri"/>
                <w:sz w:val="18"/>
                <w:szCs w:val="18"/>
              </w:rPr>
            </w:pPr>
            <w:r>
              <w:rPr>
                <w:rFonts w:hint="eastAsia" w:ascii="Calibri" w:hAnsi="Calibri" w:cs="Calibri"/>
                <w:sz w:val="18"/>
                <w:szCs w:val="18"/>
              </w:rPr>
              <w:t>P</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64270097">
            <w:pPr>
              <w:widowControl/>
              <w:spacing w:after="240" w:line="240" w:lineRule="atLeast"/>
              <w:jc w:val="left"/>
              <w:rPr>
                <w:rFonts w:ascii="Calibri" w:hAnsi="Calibri" w:cs="Calibri"/>
                <w:sz w:val="18"/>
                <w:szCs w:val="18"/>
              </w:rPr>
            </w:pPr>
            <w:r>
              <w:rPr>
                <w:rFonts w:hint="eastAsia" w:ascii="Calibri" w:hAnsi="Calibri" w:cs="Calibri"/>
                <w:sz w:val="18"/>
                <w:szCs w:val="18"/>
              </w:rPr>
              <w:t xml:space="preserve">PTFE </w:t>
            </w:r>
            <w:r>
              <w:rPr>
                <w:rFonts w:ascii="Calibri" w:hAnsi="Calibri" w:cs="Calibri"/>
                <w:sz w:val="18"/>
                <w:szCs w:val="18"/>
              </w:rPr>
              <w:t>coating</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474E8EA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BC26DF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5D00538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70920703">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E54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45BC8FB">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03A2C95">
            <w:pPr>
              <w:widowControl/>
              <w:spacing w:after="240" w:line="240" w:lineRule="atLeast"/>
              <w:jc w:val="left"/>
              <w:rPr>
                <w:rFonts w:ascii="Calibri" w:hAnsi="Calibri" w:cs="Calibri"/>
                <w:sz w:val="18"/>
                <w:szCs w:val="18"/>
              </w:rPr>
            </w:pPr>
            <w:r>
              <w:rPr>
                <w:rFonts w:hint="eastAsia" w:ascii="Calibri" w:hAnsi="Calibri" w:cs="Calibri"/>
                <w:sz w:val="18"/>
                <w:szCs w:val="18"/>
              </w:rPr>
              <w:t>Diaphragm protrusion length</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2CD4372">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7A134CC">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E733B6B">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5BB5263">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2421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367ECBCA">
            <w:pPr>
              <w:widowControl/>
              <w:spacing w:after="240" w:line="240" w:lineRule="atLeast"/>
              <w:jc w:val="center"/>
              <w:rPr>
                <w:rFonts w:ascii="Calibri" w:hAnsi="Calibri" w:cs="Calibri"/>
                <w:sz w:val="18"/>
                <w:szCs w:val="18"/>
              </w:rPr>
            </w:pPr>
            <w:r>
              <w:rPr>
                <w:rFonts w:hint="eastAsia" w:ascii="Calibri" w:hAnsi="Calibri" w:cs="Calibri"/>
                <w:sz w:val="18"/>
                <w:szCs w:val="18"/>
              </w:rPr>
              <w:t>0</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395CD621">
            <w:pPr>
              <w:widowControl/>
              <w:spacing w:after="240" w:line="240" w:lineRule="atLeast"/>
              <w:jc w:val="left"/>
              <w:rPr>
                <w:rFonts w:ascii="Calibri" w:hAnsi="Calibri" w:cs="Calibri"/>
                <w:sz w:val="18"/>
                <w:szCs w:val="18"/>
              </w:rPr>
            </w:pPr>
            <w:r>
              <w:rPr>
                <w:rFonts w:ascii="Calibri" w:hAnsi="Calibri" w:cs="Calibri"/>
                <w:sz w:val="18"/>
                <w:szCs w:val="18"/>
              </w:rPr>
              <w:t>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98F905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53A1706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736344D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4253CE62">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79B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2D51DB01">
            <w:pPr>
              <w:widowControl/>
              <w:spacing w:after="240" w:line="240" w:lineRule="atLeast"/>
              <w:jc w:val="center"/>
              <w:rPr>
                <w:rFonts w:ascii="Calibri" w:hAnsi="Calibri" w:cs="Calibri"/>
                <w:sz w:val="18"/>
                <w:szCs w:val="18"/>
              </w:rPr>
            </w:pPr>
            <w:r>
              <w:rPr>
                <w:rFonts w:hint="eastAsia" w:ascii="Calibri" w:hAnsi="Calibri" w:cs="Calibri"/>
                <w:sz w:val="18"/>
                <w:szCs w:val="18"/>
              </w:rPr>
              <w:t>1</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384B7547">
            <w:pPr>
              <w:widowControl/>
              <w:spacing w:after="240" w:line="240" w:lineRule="atLeast"/>
              <w:jc w:val="left"/>
              <w:rPr>
                <w:rFonts w:ascii="Calibri" w:hAnsi="Calibri" w:cs="Calibri"/>
                <w:sz w:val="18"/>
                <w:szCs w:val="18"/>
              </w:rPr>
            </w:pPr>
            <w:r>
              <w:rPr>
                <w:rFonts w:hint="eastAsia" w:ascii="Calibri" w:hAnsi="Calibri" w:cs="Calibri"/>
                <w:sz w:val="18"/>
                <w:szCs w:val="18"/>
              </w:rPr>
              <w:t>≤50mm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41DEFC4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282428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7A3F417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67BF0E7A">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690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0B896EC1">
            <w:pPr>
              <w:widowControl/>
              <w:spacing w:after="240" w:line="240" w:lineRule="atLeast"/>
              <w:jc w:val="center"/>
              <w:rPr>
                <w:rFonts w:ascii="Calibri" w:hAnsi="Calibri" w:cs="Calibri"/>
                <w:sz w:val="18"/>
                <w:szCs w:val="18"/>
              </w:rPr>
            </w:pPr>
            <w:r>
              <w:rPr>
                <w:rFonts w:hint="eastAsia" w:ascii="Calibri" w:hAnsi="Calibri" w:cs="Calibri"/>
                <w:sz w:val="18"/>
                <w:szCs w:val="18"/>
              </w:rPr>
              <w:t>2</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326AAB2B">
            <w:pPr>
              <w:widowControl/>
              <w:spacing w:after="240" w:line="240" w:lineRule="atLeast"/>
              <w:jc w:val="left"/>
              <w:rPr>
                <w:rFonts w:ascii="Calibri" w:hAnsi="Calibri" w:cs="Calibri"/>
                <w:sz w:val="18"/>
                <w:szCs w:val="18"/>
              </w:rPr>
            </w:pPr>
            <w:r>
              <w:rPr>
                <w:rFonts w:hint="eastAsia" w:ascii="Calibri" w:hAnsi="Calibri" w:cs="Calibri"/>
                <w:sz w:val="18"/>
                <w:szCs w:val="18"/>
              </w:rPr>
              <w:t>≤100mm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41356E4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39D49BF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2C6F59F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46DA7A3F">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6A2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3491807A">
            <w:pPr>
              <w:widowControl/>
              <w:spacing w:after="240" w:line="240" w:lineRule="atLeast"/>
              <w:jc w:val="center"/>
              <w:rPr>
                <w:rFonts w:ascii="Calibri" w:hAnsi="Calibri" w:cs="Calibri"/>
                <w:sz w:val="18"/>
                <w:szCs w:val="18"/>
              </w:rPr>
            </w:pPr>
            <w:r>
              <w:rPr>
                <w:rFonts w:hint="eastAsia" w:ascii="Calibri" w:hAnsi="Calibri" w:cs="Calibri"/>
                <w:sz w:val="18"/>
                <w:szCs w:val="18"/>
              </w:rPr>
              <w:t>3</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4CFA95A5">
            <w:pPr>
              <w:widowControl/>
              <w:spacing w:after="240" w:line="240" w:lineRule="atLeast"/>
              <w:jc w:val="left"/>
              <w:rPr>
                <w:rFonts w:ascii="Calibri" w:hAnsi="Calibri" w:cs="Calibri"/>
                <w:sz w:val="18"/>
                <w:szCs w:val="18"/>
              </w:rPr>
            </w:pPr>
            <w:r>
              <w:rPr>
                <w:rFonts w:hint="eastAsia" w:ascii="Calibri" w:hAnsi="Calibri" w:cs="Calibri"/>
                <w:sz w:val="18"/>
                <w:szCs w:val="18"/>
              </w:rPr>
              <w:t>≤150mm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444BC62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9FE105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12C51C8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2EE4B28D">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406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74D1D474">
            <w:pPr>
              <w:widowControl/>
              <w:spacing w:after="240" w:line="240" w:lineRule="atLeast"/>
              <w:jc w:val="center"/>
              <w:rPr>
                <w:rFonts w:ascii="Calibri" w:hAnsi="Calibri" w:cs="Calibri"/>
                <w:sz w:val="18"/>
                <w:szCs w:val="18"/>
              </w:rPr>
            </w:pPr>
            <w:r>
              <w:rPr>
                <w:rFonts w:hint="eastAsia" w:ascii="Calibri" w:hAnsi="Calibri" w:cs="Calibri"/>
                <w:sz w:val="18"/>
                <w:szCs w:val="18"/>
              </w:rPr>
              <w:t>4</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30D0539D">
            <w:pPr>
              <w:widowControl/>
              <w:spacing w:after="240" w:line="240" w:lineRule="atLeast"/>
              <w:jc w:val="left"/>
              <w:rPr>
                <w:rFonts w:ascii="Calibri" w:hAnsi="Calibri" w:cs="Calibri"/>
                <w:sz w:val="18"/>
                <w:szCs w:val="18"/>
              </w:rPr>
            </w:pPr>
            <w:r>
              <w:rPr>
                <w:rFonts w:hint="eastAsia" w:ascii="Calibri" w:hAnsi="Calibri" w:cs="Calibri"/>
                <w:sz w:val="18"/>
                <w:szCs w:val="18"/>
              </w:rPr>
              <w:t>≤200mm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4324700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67EB572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4A7C128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14DF4280">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7FDF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252F2322">
            <w:pPr>
              <w:widowControl/>
              <w:spacing w:after="240" w:line="240" w:lineRule="atLeast"/>
              <w:jc w:val="center"/>
              <w:rPr>
                <w:rFonts w:ascii="Calibri" w:hAnsi="Calibri" w:cs="Calibri"/>
                <w:sz w:val="18"/>
                <w:szCs w:val="18"/>
              </w:rPr>
            </w:pPr>
            <w:r>
              <w:rPr>
                <w:rFonts w:hint="eastAsia" w:ascii="Calibri" w:hAnsi="Calibri" w:cs="Calibri"/>
                <w:sz w:val="18"/>
                <w:szCs w:val="18"/>
              </w:rPr>
              <w:t>5</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1C639C01">
            <w:pPr>
              <w:widowControl/>
              <w:spacing w:after="240" w:line="240" w:lineRule="atLeast"/>
              <w:jc w:val="left"/>
              <w:rPr>
                <w:rFonts w:ascii="Calibri" w:hAnsi="Calibri" w:cs="Calibri"/>
                <w:sz w:val="18"/>
                <w:szCs w:val="18"/>
              </w:rPr>
            </w:pPr>
            <w:r>
              <w:rPr>
                <w:rFonts w:hint="eastAsia" w:ascii="Calibri" w:hAnsi="Calibri" w:cs="Calibri"/>
                <w:sz w:val="18"/>
                <w:szCs w:val="18"/>
              </w:rPr>
              <w:t>≤250mm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464A53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1423C49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3B39ADD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2ED015C3">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01C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3F3742D9">
            <w:pPr>
              <w:widowControl/>
              <w:spacing w:after="240" w:line="240" w:lineRule="atLeast"/>
              <w:jc w:val="center"/>
              <w:rPr>
                <w:rFonts w:ascii="Calibri" w:hAnsi="Calibri" w:cs="Calibri"/>
                <w:sz w:val="18"/>
                <w:szCs w:val="18"/>
              </w:rPr>
            </w:pPr>
            <w:r>
              <w:rPr>
                <w:rFonts w:hint="eastAsia" w:ascii="Calibri" w:hAnsi="Calibri" w:cs="Calibri"/>
                <w:sz w:val="18"/>
                <w:szCs w:val="18"/>
              </w:rPr>
              <w:t>6</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460C4B09">
            <w:pPr>
              <w:widowControl/>
              <w:spacing w:after="240" w:line="240" w:lineRule="atLeast"/>
              <w:jc w:val="left"/>
              <w:rPr>
                <w:rFonts w:ascii="Calibri" w:hAnsi="Calibri" w:cs="Calibri"/>
                <w:sz w:val="18"/>
                <w:szCs w:val="18"/>
              </w:rPr>
            </w:pPr>
            <w:r>
              <w:rPr>
                <w:rFonts w:hint="eastAsia" w:ascii="Calibri" w:hAnsi="Calibri" w:cs="Calibri"/>
                <w:sz w:val="18"/>
                <w:szCs w:val="18"/>
              </w:rPr>
              <w:t>≤300mm</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60A767B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1141DFD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2734520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1D3CC9F7">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047B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2BAED4EF">
            <w:pPr>
              <w:widowControl/>
              <w:spacing w:after="240" w:line="240" w:lineRule="atLeast"/>
              <w:jc w:val="center"/>
              <w:rPr>
                <w:rFonts w:ascii="Calibri" w:hAnsi="Calibri" w:cs="Calibri"/>
                <w:sz w:val="18"/>
                <w:szCs w:val="18"/>
              </w:rPr>
            </w:pPr>
            <w:r>
              <w:rPr>
                <w:rFonts w:hint="eastAsia" w:ascii="Calibri" w:hAnsi="Calibri" w:cs="Calibri"/>
                <w:sz w:val="18"/>
                <w:szCs w:val="18"/>
              </w:rPr>
              <w:t>9</w:t>
            </w:r>
          </w:p>
        </w:tc>
        <w:tc>
          <w:tcPr>
            <w:tcW w:w="2141" w:type="pct"/>
            <w:tcBorders>
              <w:top w:val="single" w:color="auto" w:sz="4" w:space="0"/>
              <w:left w:val="single" w:color="auto" w:sz="4" w:space="0"/>
              <w:bottom w:val="single" w:color="auto" w:sz="4" w:space="0"/>
              <w:right w:val="single" w:color="auto" w:sz="4" w:space="0"/>
            </w:tcBorders>
            <w:shd w:val="clear" w:color="auto" w:fill="FFFFFF"/>
            <w:vAlign w:val="center"/>
          </w:tcPr>
          <w:p w14:paraId="6D2B9782">
            <w:pPr>
              <w:widowControl/>
              <w:spacing w:after="240" w:line="240" w:lineRule="atLeast"/>
              <w:jc w:val="left"/>
              <w:rPr>
                <w:rFonts w:ascii="Calibri" w:hAnsi="Calibri" w:cs="Calibri"/>
                <w:sz w:val="18"/>
                <w:szCs w:val="18"/>
              </w:rPr>
            </w:pPr>
            <w:r>
              <w:rPr>
                <w:rFonts w:hint="eastAsia" w:ascii="Calibri" w:hAnsi="Calibri" w:cs="Calibri"/>
                <w:sz w:val="18"/>
                <w:szCs w:val="18"/>
              </w:rPr>
              <w:t>Others</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C60496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54EC623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0B80862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5CA6C25B">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F81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FE81E7C">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6E68106">
            <w:pPr>
              <w:widowControl/>
              <w:spacing w:after="240" w:line="240" w:lineRule="atLeast"/>
              <w:jc w:val="left"/>
              <w:rPr>
                <w:rFonts w:ascii="Calibri" w:hAnsi="Calibri" w:cs="Calibri"/>
                <w:sz w:val="18"/>
                <w:szCs w:val="18"/>
              </w:rPr>
            </w:pPr>
            <w:r>
              <w:rPr>
                <w:rFonts w:hint="eastAsia" w:ascii="Calibri" w:hAnsi="Calibri" w:cs="Calibri"/>
                <w:sz w:val="18"/>
                <w:szCs w:val="18"/>
              </w:rPr>
              <w:t>Filling fluid</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3F06DF6">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9B76BB4">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CABC377">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476755D">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4F0A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29F6DD64">
            <w:pPr>
              <w:widowControl/>
              <w:spacing w:after="240" w:line="240" w:lineRule="atLeast"/>
              <w:jc w:val="center"/>
              <w:rPr>
                <w:rFonts w:ascii="Calibri" w:hAnsi="Calibri" w:cs="Calibri"/>
                <w:sz w:val="18"/>
                <w:szCs w:val="18"/>
              </w:rPr>
            </w:pPr>
            <w:r>
              <w:rPr>
                <w:rFonts w:hint="eastAsia" w:ascii="Calibri" w:hAnsi="Calibri" w:cs="Calibri"/>
                <w:sz w:val="18"/>
                <w:szCs w:val="18"/>
              </w:rPr>
              <w:t>S</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7E980CBB">
            <w:pPr>
              <w:widowControl/>
              <w:spacing w:after="240" w:line="240" w:lineRule="atLeast"/>
              <w:jc w:val="left"/>
              <w:rPr>
                <w:rFonts w:ascii="Calibri" w:hAnsi="Calibri" w:cs="Calibri"/>
                <w:sz w:val="18"/>
                <w:szCs w:val="18"/>
              </w:rPr>
            </w:pPr>
            <w:r>
              <w:rPr>
                <w:rFonts w:ascii="Calibri" w:hAnsi="Calibri" w:cs="Calibri"/>
                <w:sz w:val="18"/>
                <w:szCs w:val="18"/>
              </w:rPr>
              <w:t>Silicone oil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2A2D661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AB3038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309B5D9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53611908">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0865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51675D73">
            <w:pPr>
              <w:widowControl/>
              <w:spacing w:after="240" w:line="240" w:lineRule="atLeast"/>
              <w:jc w:val="center"/>
              <w:rPr>
                <w:rFonts w:ascii="Calibri" w:hAnsi="Calibri" w:cs="Calibri"/>
                <w:sz w:val="18"/>
                <w:szCs w:val="18"/>
              </w:rPr>
            </w:pPr>
            <w:r>
              <w:rPr>
                <w:rFonts w:hint="eastAsia" w:ascii="Calibri" w:hAnsi="Calibri" w:cs="Calibri"/>
                <w:sz w:val="18"/>
                <w:szCs w:val="18"/>
              </w:rPr>
              <w:t>D</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0578D5DB">
            <w:pPr>
              <w:widowControl/>
              <w:spacing w:after="240" w:line="240" w:lineRule="atLeast"/>
              <w:jc w:val="left"/>
              <w:rPr>
                <w:rFonts w:ascii="Calibri" w:hAnsi="Calibri" w:cs="Calibri"/>
                <w:sz w:val="18"/>
                <w:szCs w:val="18"/>
              </w:rPr>
            </w:pPr>
            <w:r>
              <w:rPr>
                <w:rFonts w:ascii="Calibri" w:hAnsi="Calibri" w:cs="Calibri"/>
                <w:sz w:val="18"/>
                <w:szCs w:val="18"/>
              </w:rPr>
              <w:t>Low temperature silicone oil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07B0D43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25C997B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41CE5CF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24D13185">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103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391B539B">
            <w:pPr>
              <w:widowControl/>
              <w:spacing w:after="240" w:line="240" w:lineRule="atLeast"/>
              <w:jc w:val="center"/>
              <w:rPr>
                <w:rFonts w:ascii="Calibri" w:hAnsi="Calibri" w:cs="Calibri"/>
                <w:sz w:val="18"/>
                <w:szCs w:val="18"/>
              </w:rPr>
            </w:pPr>
            <w:r>
              <w:rPr>
                <w:rFonts w:hint="eastAsia" w:ascii="Calibri" w:hAnsi="Calibri" w:cs="Calibri"/>
                <w:sz w:val="18"/>
                <w:szCs w:val="18"/>
              </w:rPr>
              <w:t>H</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68632A5D">
            <w:pPr>
              <w:widowControl/>
              <w:spacing w:after="240" w:line="240" w:lineRule="atLeast"/>
              <w:jc w:val="left"/>
              <w:rPr>
                <w:rFonts w:ascii="Calibri" w:hAnsi="Calibri" w:cs="Calibri"/>
                <w:sz w:val="18"/>
                <w:szCs w:val="18"/>
              </w:rPr>
            </w:pPr>
            <w:r>
              <w:rPr>
                <w:rFonts w:ascii="Calibri" w:hAnsi="Calibri" w:cs="Calibri"/>
                <w:sz w:val="18"/>
                <w:szCs w:val="18"/>
              </w:rPr>
              <w:t>High temperature silicone oil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3F5D0F7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7026643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0BDEE5E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01277012">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998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4E288C5C">
            <w:pPr>
              <w:widowControl/>
              <w:spacing w:after="240" w:line="240" w:lineRule="atLeast"/>
              <w:jc w:val="center"/>
              <w:rPr>
                <w:rFonts w:ascii="Calibri" w:hAnsi="Calibri" w:cs="Calibri"/>
                <w:sz w:val="18"/>
                <w:szCs w:val="18"/>
              </w:rPr>
            </w:pPr>
            <w:r>
              <w:rPr>
                <w:rFonts w:hint="eastAsia" w:ascii="Calibri" w:hAnsi="Calibri" w:cs="Calibri"/>
                <w:sz w:val="18"/>
                <w:szCs w:val="18"/>
              </w:rPr>
              <w:t>F</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049D7E37">
            <w:pPr>
              <w:widowControl/>
              <w:spacing w:after="240" w:line="240" w:lineRule="atLeast"/>
              <w:jc w:val="left"/>
              <w:rPr>
                <w:rFonts w:ascii="Calibri" w:hAnsi="Calibri" w:cs="Calibri"/>
                <w:sz w:val="18"/>
                <w:szCs w:val="18"/>
              </w:rPr>
            </w:pPr>
            <w:r>
              <w:rPr>
                <w:rFonts w:ascii="Calibri" w:hAnsi="Calibri" w:cs="Calibri"/>
                <w:sz w:val="18"/>
                <w:szCs w:val="18"/>
              </w:rPr>
              <w:t>Fluoro oil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28FFC0D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7695250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52B9AD1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38316262">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1DA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39D43768">
            <w:pPr>
              <w:widowControl/>
              <w:spacing w:after="240" w:line="240" w:lineRule="atLeast"/>
              <w:jc w:val="center"/>
              <w:rPr>
                <w:rFonts w:ascii="Calibri" w:hAnsi="Calibri" w:cs="Calibri"/>
                <w:sz w:val="18"/>
                <w:szCs w:val="18"/>
              </w:rPr>
            </w:pPr>
            <w:r>
              <w:rPr>
                <w:rFonts w:hint="eastAsia" w:ascii="Calibri" w:hAnsi="Calibri" w:cs="Calibri"/>
                <w:sz w:val="18"/>
                <w:szCs w:val="18"/>
              </w:rPr>
              <w:t>O</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1D5E7663">
            <w:pPr>
              <w:widowControl/>
              <w:spacing w:after="240" w:line="240" w:lineRule="atLeast"/>
              <w:jc w:val="left"/>
              <w:rPr>
                <w:rFonts w:ascii="Calibri" w:hAnsi="Calibri" w:cs="Calibri"/>
                <w:sz w:val="18"/>
                <w:szCs w:val="18"/>
              </w:rPr>
            </w:pPr>
            <w:r>
              <w:rPr>
                <w:rFonts w:ascii="Calibri" w:hAnsi="Calibri" w:cs="Calibri"/>
                <w:sz w:val="18"/>
                <w:szCs w:val="18"/>
              </w:rPr>
              <w:t>Vegetable oil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4BF0732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627D978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072BB88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33536871">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406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5017A06">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214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4B30A61">
            <w:pPr>
              <w:widowControl/>
              <w:spacing w:after="240" w:line="240" w:lineRule="atLeast"/>
              <w:jc w:val="left"/>
              <w:rPr>
                <w:rFonts w:ascii="Calibri" w:hAnsi="Calibri" w:cs="Calibri"/>
                <w:sz w:val="18"/>
                <w:szCs w:val="18"/>
              </w:rPr>
            </w:pPr>
            <w:r>
              <w:rPr>
                <w:rFonts w:hint="eastAsia" w:ascii="Calibri" w:hAnsi="Calibri" w:cs="Calibri"/>
                <w:sz w:val="18"/>
                <w:szCs w:val="18"/>
              </w:rPr>
              <w:t>Seals</w:t>
            </w:r>
          </w:p>
        </w:tc>
        <w:tc>
          <w:tcPr>
            <w:tcW w:w="5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3A1E8AE">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519"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56832F5">
            <w:pPr>
              <w:widowControl/>
              <w:spacing w:after="240" w:line="240" w:lineRule="atLeast"/>
              <w:jc w:val="center"/>
              <w:rPr>
                <w:rFonts w:ascii="Calibri" w:hAnsi="Calibri" w:cs="Calibri"/>
                <w:sz w:val="18"/>
                <w:szCs w:val="18"/>
              </w:rPr>
            </w:pPr>
            <w:r>
              <w:rPr>
                <w:rFonts w:ascii="Calibri" w:hAnsi="Calibri" w:cs="Calibri"/>
                <w:sz w:val="18"/>
                <w:szCs w:val="18"/>
              </w:rPr>
              <w:t>SA</w:t>
            </w:r>
          </w:p>
        </w:tc>
        <w:tc>
          <w:tcPr>
            <w:tcW w:w="530"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9778905">
            <w:pPr>
              <w:widowControl/>
              <w:spacing w:after="240" w:line="240" w:lineRule="atLeast"/>
              <w:jc w:val="center"/>
              <w:rPr>
                <w:rFonts w:ascii="Calibri" w:hAnsi="Calibri" w:cs="Calibri"/>
                <w:sz w:val="18"/>
                <w:szCs w:val="18"/>
              </w:rPr>
            </w:pPr>
            <w:r>
              <w:rPr>
                <w:rFonts w:ascii="Calibri" w:hAnsi="Calibri" w:cs="Calibri"/>
                <w:sz w:val="18"/>
                <w:szCs w:val="18"/>
              </w:rPr>
              <w:t>SD</w:t>
            </w:r>
          </w:p>
        </w:tc>
        <w:tc>
          <w:tcPr>
            <w:tcW w:w="531"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9D03824">
            <w:pPr>
              <w:widowControl/>
              <w:spacing w:after="240" w:line="240" w:lineRule="atLeast"/>
              <w:jc w:val="center"/>
              <w:rPr>
                <w:rFonts w:ascii="Calibri" w:hAnsi="Calibri" w:cs="Calibri"/>
                <w:sz w:val="18"/>
                <w:szCs w:val="18"/>
              </w:rPr>
            </w:pPr>
            <w:r>
              <w:rPr>
                <w:rFonts w:hint="eastAsia" w:ascii="Calibri" w:hAnsi="Calibri" w:cs="Calibri"/>
                <w:sz w:val="18"/>
                <w:szCs w:val="18"/>
              </w:rPr>
              <w:t>SH</w:t>
            </w:r>
          </w:p>
        </w:tc>
      </w:tr>
      <w:tr w14:paraId="7FD6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1E484AFB">
            <w:pPr>
              <w:widowControl/>
              <w:spacing w:after="240" w:line="240" w:lineRule="atLeast"/>
              <w:jc w:val="center"/>
              <w:rPr>
                <w:rFonts w:ascii="Calibri" w:hAnsi="Calibri" w:cs="Calibri"/>
                <w:sz w:val="18"/>
                <w:szCs w:val="18"/>
              </w:rPr>
            </w:pPr>
            <w:r>
              <w:rPr>
                <w:rFonts w:hint="eastAsia" w:ascii="Calibri" w:hAnsi="Calibri" w:cs="Calibri"/>
                <w:sz w:val="18"/>
                <w:szCs w:val="18"/>
              </w:rPr>
              <w:t>RF</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56714CA9">
            <w:pPr>
              <w:widowControl/>
              <w:spacing w:after="240" w:line="240" w:lineRule="atLeast"/>
              <w:jc w:val="left"/>
              <w:rPr>
                <w:rFonts w:ascii="Calibri" w:hAnsi="Calibri" w:cs="Calibri"/>
                <w:sz w:val="18"/>
                <w:szCs w:val="18"/>
              </w:rPr>
            </w:pPr>
            <w:r>
              <w:rPr>
                <w:rFonts w:ascii="Calibri" w:hAnsi="Calibri" w:cs="Calibri"/>
                <w:sz w:val="18"/>
                <w:szCs w:val="18"/>
              </w:rPr>
              <w:t>Split flange seal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5396C23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59A4A0A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1BB2F74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3BC496B6">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2FE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68F7C058">
            <w:pPr>
              <w:widowControl/>
              <w:spacing w:after="240" w:line="240" w:lineRule="atLeast"/>
              <w:jc w:val="center"/>
              <w:rPr>
                <w:rFonts w:ascii="Calibri" w:hAnsi="Calibri" w:cs="Calibri"/>
                <w:sz w:val="18"/>
                <w:szCs w:val="18"/>
              </w:rPr>
            </w:pPr>
            <w:r>
              <w:rPr>
                <w:rFonts w:ascii="Calibri" w:hAnsi="Calibri" w:cs="Calibri"/>
                <w:sz w:val="18"/>
                <w:szCs w:val="18"/>
              </w:rPr>
              <w:t>FF</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039AE097">
            <w:pPr>
              <w:widowControl/>
              <w:spacing w:after="240" w:line="240" w:lineRule="atLeast"/>
              <w:jc w:val="left"/>
              <w:rPr>
                <w:rFonts w:ascii="Calibri" w:hAnsi="Calibri" w:cs="Calibri"/>
                <w:sz w:val="18"/>
                <w:szCs w:val="18"/>
              </w:rPr>
            </w:pPr>
            <w:r>
              <w:rPr>
                <w:rFonts w:ascii="Calibri" w:hAnsi="Calibri" w:cs="Calibri"/>
                <w:sz w:val="18"/>
                <w:szCs w:val="18"/>
              </w:rPr>
              <w:t>Flat flange seal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67A6B48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0169922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4A19224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414519DF">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132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40CFE8A1">
            <w:pPr>
              <w:widowControl/>
              <w:spacing w:after="240" w:line="240" w:lineRule="atLeast"/>
              <w:jc w:val="center"/>
              <w:rPr>
                <w:rFonts w:ascii="Calibri" w:hAnsi="Calibri" w:cs="Calibri"/>
                <w:sz w:val="18"/>
                <w:szCs w:val="18"/>
              </w:rPr>
            </w:pPr>
            <w:r>
              <w:rPr>
                <w:rFonts w:hint="eastAsia" w:ascii="Calibri" w:hAnsi="Calibri" w:cs="Calibri"/>
                <w:sz w:val="18"/>
                <w:szCs w:val="18"/>
              </w:rPr>
              <w:t>E</w:t>
            </w:r>
            <w:r>
              <w:rPr>
                <w:rFonts w:ascii="Calibri" w:hAnsi="Calibri" w:cs="Calibri"/>
                <w:sz w:val="18"/>
                <w:szCs w:val="18"/>
              </w:rPr>
              <w:t>F</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031C3E49">
            <w:pPr>
              <w:widowControl/>
              <w:spacing w:after="240" w:line="240" w:lineRule="atLeast"/>
              <w:jc w:val="left"/>
              <w:rPr>
                <w:rFonts w:ascii="Calibri" w:hAnsi="Calibri" w:cs="Calibri"/>
                <w:sz w:val="18"/>
                <w:szCs w:val="18"/>
              </w:rPr>
            </w:pPr>
            <w:r>
              <w:rPr>
                <w:rFonts w:ascii="Calibri" w:hAnsi="Calibri" w:cs="Calibri"/>
                <w:sz w:val="18"/>
                <w:szCs w:val="18"/>
              </w:rPr>
              <w:t>Extended flange seal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6D8E292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01CE4EB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62AF534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7B1B4BA5">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9D9B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5" w:type="pct"/>
            <w:tcBorders>
              <w:top w:val="single" w:color="auto" w:sz="4" w:space="0"/>
              <w:left w:val="single" w:color="auto" w:sz="4" w:space="0"/>
              <w:bottom w:val="single" w:color="auto" w:sz="4" w:space="0"/>
              <w:right w:val="single" w:color="auto" w:sz="4" w:space="0"/>
            </w:tcBorders>
            <w:shd w:val="clear" w:color="auto" w:fill="FFFFFF"/>
            <w:vAlign w:val="center"/>
          </w:tcPr>
          <w:p w14:paraId="56B3E0CE">
            <w:pPr>
              <w:widowControl/>
              <w:spacing w:after="240" w:line="240" w:lineRule="atLeast"/>
              <w:jc w:val="center"/>
              <w:rPr>
                <w:rFonts w:ascii="Calibri" w:hAnsi="Calibri" w:cs="Calibri"/>
                <w:sz w:val="18"/>
                <w:szCs w:val="18"/>
              </w:rPr>
            </w:pPr>
            <w:r>
              <w:rPr>
                <w:rFonts w:hint="eastAsia" w:ascii="Calibri" w:hAnsi="Calibri" w:cs="Calibri"/>
                <w:sz w:val="18"/>
                <w:szCs w:val="18"/>
              </w:rPr>
              <w:t>R</w:t>
            </w:r>
            <w:r>
              <w:rPr>
                <w:rFonts w:ascii="Calibri" w:hAnsi="Calibri" w:cs="Calibri"/>
                <w:sz w:val="18"/>
                <w:szCs w:val="18"/>
              </w:rPr>
              <w:t>T</w:t>
            </w:r>
          </w:p>
        </w:tc>
        <w:tc>
          <w:tcPr>
            <w:tcW w:w="2141" w:type="pct"/>
            <w:tcBorders>
              <w:top w:val="single" w:color="auto" w:sz="4" w:space="0"/>
              <w:left w:val="single" w:color="auto" w:sz="4" w:space="0"/>
              <w:bottom w:val="single" w:color="auto" w:sz="4" w:space="0"/>
              <w:right w:val="single" w:color="auto" w:sz="4" w:space="0"/>
            </w:tcBorders>
            <w:shd w:val="clear" w:color="auto" w:fill="FFFFFF"/>
          </w:tcPr>
          <w:p w14:paraId="4DC412E8">
            <w:pPr>
              <w:widowControl/>
              <w:spacing w:after="240" w:line="240" w:lineRule="atLeast"/>
              <w:jc w:val="left"/>
              <w:rPr>
                <w:rFonts w:ascii="Calibri" w:hAnsi="Calibri" w:cs="Calibri"/>
                <w:sz w:val="18"/>
                <w:szCs w:val="18"/>
              </w:rPr>
            </w:pPr>
            <w:r>
              <w:rPr>
                <w:rFonts w:ascii="Calibri" w:hAnsi="Calibri" w:cs="Calibri"/>
                <w:sz w:val="18"/>
                <w:szCs w:val="18"/>
              </w:rPr>
              <w:t>Split threaded seal</w:t>
            </w:r>
          </w:p>
        </w:tc>
        <w:tc>
          <w:tcPr>
            <w:tcW w:w="534" w:type="pct"/>
            <w:tcBorders>
              <w:top w:val="single" w:color="auto" w:sz="4" w:space="0"/>
              <w:left w:val="single" w:color="auto" w:sz="4" w:space="0"/>
              <w:bottom w:val="single" w:color="auto" w:sz="4" w:space="0"/>
              <w:right w:val="single" w:color="auto" w:sz="4" w:space="0"/>
            </w:tcBorders>
            <w:shd w:val="clear" w:color="auto" w:fill="FFFFFF"/>
            <w:vAlign w:val="center"/>
          </w:tcPr>
          <w:p w14:paraId="7616207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19" w:type="pct"/>
            <w:tcBorders>
              <w:top w:val="single" w:color="auto" w:sz="4" w:space="0"/>
              <w:left w:val="single" w:color="auto" w:sz="4" w:space="0"/>
              <w:bottom w:val="single" w:color="auto" w:sz="4" w:space="0"/>
              <w:right w:val="single" w:color="auto" w:sz="4" w:space="0"/>
            </w:tcBorders>
            <w:shd w:val="clear" w:color="auto" w:fill="FFFFFF"/>
            <w:vAlign w:val="center"/>
          </w:tcPr>
          <w:p w14:paraId="49E8CC2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0" w:type="pct"/>
            <w:tcBorders>
              <w:top w:val="single" w:color="auto" w:sz="4" w:space="0"/>
              <w:left w:val="single" w:color="auto" w:sz="4" w:space="0"/>
              <w:bottom w:val="single" w:color="auto" w:sz="4" w:space="0"/>
              <w:right w:val="single" w:color="auto" w:sz="4" w:space="0"/>
            </w:tcBorders>
            <w:shd w:val="clear" w:color="auto" w:fill="FFFFFF"/>
            <w:vAlign w:val="center"/>
          </w:tcPr>
          <w:p w14:paraId="02EBBF5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531" w:type="pct"/>
            <w:tcBorders>
              <w:top w:val="single" w:color="auto" w:sz="4" w:space="0"/>
              <w:left w:val="single" w:color="auto" w:sz="4" w:space="0"/>
              <w:bottom w:val="single" w:color="auto" w:sz="4" w:space="0"/>
              <w:right w:val="single" w:color="auto" w:sz="4" w:space="0"/>
            </w:tcBorders>
            <w:shd w:val="clear" w:color="auto" w:fill="FFFFFF"/>
            <w:vAlign w:val="center"/>
          </w:tcPr>
          <w:p w14:paraId="29194786">
            <w:pPr>
              <w:widowControl/>
              <w:spacing w:after="240" w:line="240" w:lineRule="atLeast"/>
              <w:jc w:val="center"/>
              <w:rPr>
                <w:rFonts w:ascii="Calibri" w:hAnsi="Calibri" w:cs="Calibri"/>
                <w:sz w:val="18"/>
                <w:szCs w:val="18"/>
              </w:rPr>
            </w:pPr>
            <w:r>
              <w:rPr>
                <w:rFonts w:ascii="Calibri" w:hAnsi="Calibri" w:cs="Calibri"/>
                <w:sz w:val="18"/>
                <w:szCs w:val="18"/>
              </w:rPr>
              <w:t>●</w:t>
            </w:r>
          </w:p>
        </w:tc>
      </w:tr>
    </w:tbl>
    <w:p w14:paraId="3DC8F661">
      <w:pPr>
        <w:spacing w:after="240"/>
        <w:ind w:right="525"/>
        <w:rPr>
          <w:rFonts w:ascii="Calibri" w:hAnsi="Calibri" w:cs="Calibri"/>
        </w:rPr>
      </w:pPr>
    </w:p>
    <w:p w14:paraId="0652D342">
      <w:pPr>
        <w:tabs>
          <w:tab w:val="left" w:pos="715"/>
        </w:tabs>
        <w:spacing w:after="240"/>
      </w:pPr>
      <w:r>
        <w:t>Example of selection for remote diaphragm seal with double-sided capillary tube:</w:t>
      </w:r>
    </w:p>
    <w:p w14:paraId="327F3BAE">
      <w:pPr>
        <w:tabs>
          <w:tab w:val="left" w:pos="715"/>
        </w:tabs>
        <w:spacing w:after="240"/>
      </w:pPr>
      <w:r>
        <w:t>Basic transmitter selection+5B4S0SRFT (5m, 5m). The length of the capillary tube in parentheses is (H-end length, L-end length, if one side is directly installed, it should be 0m)</w:t>
      </w:r>
    </w:p>
    <w:p w14:paraId="19F2876C">
      <w:pPr>
        <w:pStyle w:val="40"/>
        <w:spacing w:after="240" w:line="320" w:lineRule="exact"/>
        <w:ind w:left="0" w:firstLine="420" w:firstLineChars="200"/>
        <w:rPr>
          <w:rFonts w:ascii="Calibri" w:hAnsi="Calibri"/>
          <w:sz w:val="21"/>
          <w:szCs w:val="21"/>
        </w:rPr>
      </w:pPr>
    </w:p>
    <w:p w14:paraId="2272C9E0">
      <w:pPr>
        <w:pStyle w:val="44"/>
      </w:pPr>
      <w:bookmarkStart w:id="248" w:name="_Toc199429875"/>
      <w:r>
        <w:t>NCS-PT105IISM Intelligent Pressure Transmitter Selection</w:t>
      </w:r>
      <w:bookmarkEnd w:id="248"/>
    </w:p>
    <w:bookmarkEnd w:id="245"/>
    <w:p w14:paraId="28B758FD">
      <w:pPr>
        <w:spacing w:after="240"/>
        <w:jc w:val="right"/>
        <w:rPr>
          <w:rFonts w:cstheme="minorHAnsi"/>
        </w:rPr>
      </w:pPr>
      <w:r>
        <w:rPr>
          <w:rFonts w:cstheme="minorHAnsi"/>
        </w:rPr>
        <w:t>●Supplied   ○ Not supplied</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1733"/>
        <w:gridCol w:w="5437"/>
        <w:gridCol w:w="762"/>
        <w:gridCol w:w="760"/>
      </w:tblGrid>
      <w:tr w14:paraId="5629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1510" w:type="pct"/>
            <w:gridSpan w:val="2"/>
            <w:shd w:val="clear" w:color="auto" w:fill="CCCCCC"/>
            <w:vAlign w:val="center"/>
          </w:tcPr>
          <w:p w14:paraId="1CDDA7BF">
            <w:pPr>
              <w:widowControl/>
              <w:spacing w:after="240"/>
              <w:jc w:val="center"/>
              <w:rPr>
                <w:rFonts w:cstheme="minorHAnsi"/>
                <w:sz w:val="18"/>
                <w:szCs w:val="18"/>
              </w:rPr>
            </w:pPr>
            <w:r>
              <w:rPr>
                <w:rFonts w:cstheme="minorHAnsi"/>
                <w:sz w:val="18"/>
                <w:szCs w:val="18"/>
              </w:rPr>
              <w:t xml:space="preserve">Model </w:t>
            </w:r>
          </w:p>
        </w:tc>
        <w:tc>
          <w:tcPr>
            <w:tcW w:w="2727" w:type="pct"/>
            <w:shd w:val="clear" w:color="auto" w:fill="CCCCCC"/>
            <w:vAlign w:val="center"/>
          </w:tcPr>
          <w:p w14:paraId="7E7908F3">
            <w:pPr>
              <w:widowControl/>
              <w:spacing w:after="240"/>
              <w:jc w:val="center"/>
              <w:rPr>
                <w:rFonts w:cstheme="minorHAnsi"/>
                <w:sz w:val="18"/>
                <w:szCs w:val="18"/>
              </w:rPr>
            </w:pPr>
            <w:r>
              <w:rPr>
                <w:rFonts w:cstheme="minorHAnsi"/>
                <w:sz w:val="18"/>
                <w:szCs w:val="18"/>
              </w:rPr>
              <w:t xml:space="preserve">Transmitter </w:t>
            </w:r>
          </w:p>
        </w:tc>
        <w:tc>
          <w:tcPr>
            <w:tcW w:w="382" w:type="pct"/>
            <w:shd w:val="clear" w:color="auto" w:fill="CCCCCC"/>
            <w:vAlign w:val="center"/>
          </w:tcPr>
          <w:p w14:paraId="045945D2">
            <w:pPr>
              <w:widowControl/>
              <w:spacing w:after="240"/>
              <w:jc w:val="center"/>
              <w:rPr>
                <w:rFonts w:cstheme="minorHAnsi"/>
                <w:sz w:val="18"/>
                <w:szCs w:val="18"/>
              </w:rPr>
            </w:pPr>
            <w:r>
              <w:rPr>
                <w:rFonts w:cstheme="minorHAnsi"/>
                <w:sz w:val="18"/>
                <w:szCs w:val="18"/>
              </w:rPr>
              <w:t>SG</w:t>
            </w:r>
          </w:p>
        </w:tc>
        <w:tc>
          <w:tcPr>
            <w:tcW w:w="381" w:type="pct"/>
            <w:shd w:val="clear" w:color="auto" w:fill="CCCCCC"/>
            <w:vAlign w:val="center"/>
          </w:tcPr>
          <w:p w14:paraId="6FD8405C">
            <w:pPr>
              <w:widowControl/>
              <w:spacing w:after="240"/>
              <w:jc w:val="center"/>
              <w:rPr>
                <w:rFonts w:cstheme="minorHAnsi"/>
                <w:sz w:val="18"/>
                <w:szCs w:val="18"/>
              </w:rPr>
            </w:pPr>
            <w:r>
              <w:rPr>
                <w:rFonts w:cstheme="minorHAnsi"/>
                <w:sz w:val="18"/>
                <w:szCs w:val="18"/>
              </w:rPr>
              <w:t>SA</w:t>
            </w:r>
          </w:p>
        </w:tc>
      </w:tr>
      <w:tr w14:paraId="2C49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1510" w:type="pct"/>
            <w:gridSpan w:val="2"/>
            <w:shd w:val="clear" w:color="auto" w:fill="auto"/>
            <w:vAlign w:val="center"/>
          </w:tcPr>
          <w:p w14:paraId="22E8D1AB">
            <w:pPr>
              <w:widowControl/>
              <w:spacing w:after="240"/>
              <w:jc w:val="center"/>
              <w:rPr>
                <w:rFonts w:cstheme="minorHAnsi"/>
                <w:sz w:val="18"/>
                <w:szCs w:val="18"/>
              </w:rPr>
            </w:pPr>
            <w:r>
              <w:rPr>
                <w:rFonts w:cstheme="minorHAnsi"/>
                <w:sz w:val="18"/>
                <w:szCs w:val="18"/>
              </w:rPr>
              <w:t>NCS-PT105IISM SG</w:t>
            </w:r>
          </w:p>
        </w:tc>
        <w:tc>
          <w:tcPr>
            <w:tcW w:w="2727" w:type="pct"/>
            <w:shd w:val="clear" w:color="auto" w:fill="auto"/>
            <w:vAlign w:val="center"/>
          </w:tcPr>
          <w:p w14:paraId="58C054E7">
            <w:pPr>
              <w:widowControl/>
              <w:spacing w:after="240"/>
              <w:rPr>
                <w:rFonts w:cstheme="minorHAnsi"/>
                <w:sz w:val="18"/>
                <w:szCs w:val="18"/>
              </w:rPr>
            </w:pPr>
            <w:r>
              <w:rPr>
                <w:rFonts w:cstheme="minorHAnsi"/>
                <w:sz w:val="18"/>
                <w:szCs w:val="18"/>
              </w:rPr>
              <w:t xml:space="preserve">Gague pressure transmitter </w:t>
            </w:r>
          </w:p>
        </w:tc>
        <w:tc>
          <w:tcPr>
            <w:tcW w:w="382" w:type="pct"/>
            <w:shd w:val="clear" w:color="auto" w:fill="auto"/>
            <w:vAlign w:val="center"/>
          </w:tcPr>
          <w:p w14:paraId="6585FC34">
            <w:pPr>
              <w:widowControl/>
              <w:spacing w:after="240"/>
              <w:jc w:val="center"/>
              <w:rPr>
                <w:rFonts w:cstheme="minorHAnsi"/>
                <w:sz w:val="18"/>
                <w:szCs w:val="18"/>
                <w:lang w:eastAsia="en-US"/>
              </w:rPr>
            </w:pPr>
            <w:r>
              <w:rPr>
                <w:rFonts w:cstheme="minorHAnsi"/>
                <w:sz w:val="18"/>
                <w:szCs w:val="18"/>
              </w:rPr>
              <w:t>●</w:t>
            </w:r>
          </w:p>
        </w:tc>
        <w:tc>
          <w:tcPr>
            <w:tcW w:w="381" w:type="pct"/>
            <w:shd w:val="clear" w:color="auto" w:fill="auto"/>
            <w:vAlign w:val="center"/>
          </w:tcPr>
          <w:p w14:paraId="6029525F">
            <w:pPr>
              <w:widowControl/>
              <w:spacing w:after="240"/>
              <w:jc w:val="center"/>
              <w:rPr>
                <w:rFonts w:cstheme="minorHAnsi"/>
                <w:sz w:val="18"/>
                <w:szCs w:val="18"/>
                <w:lang w:eastAsia="en-US"/>
              </w:rPr>
            </w:pPr>
            <w:r>
              <w:rPr>
                <w:rFonts w:cstheme="minorHAnsi"/>
                <w:sz w:val="18"/>
                <w:szCs w:val="18"/>
              </w:rPr>
              <w:t>○</w:t>
            </w:r>
          </w:p>
        </w:tc>
      </w:tr>
      <w:tr w14:paraId="3BFC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1510" w:type="pct"/>
            <w:gridSpan w:val="2"/>
            <w:tcBorders>
              <w:bottom w:val="single" w:color="auto" w:sz="4" w:space="0"/>
            </w:tcBorders>
            <w:shd w:val="clear" w:color="auto" w:fill="auto"/>
            <w:vAlign w:val="center"/>
          </w:tcPr>
          <w:p w14:paraId="2B2A979B">
            <w:pPr>
              <w:widowControl/>
              <w:spacing w:after="240"/>
              <w:jc w:val="center"/>
              <w:rPr>
                <w:rFonts w:cstheme="minorHAnsi"/>
                <w:sz w:val="18"/>
                <w:szCs w:val="18"/>
              </w:rPr>
            </w:pPr>
            <w:r>
              <w:rPr>
                <w:rFonts w:cstheme="minorHAnsi"/>
                <w:sz w:val="18"/>
                <w:szCs w:val="18"/>
              </w:rPr>
              <w:t>NCS-PT105IISM SA</w:t>
            </w:r>
          </w:p>
        </w:tc>
        <w:tc>
          <w:tcPr>
            <w:tcW w:w="2727" w:type="pct"/>
            <w:tcBorders>
              <w:bottom w:val="single" w:color="auto" w:sz="4" w:space="0"/>
            </w:tcBorders>
            <w:shd w:val="clear" w:color="auto" w:fill="auto"/>
            <w:vAlign w:val="center"/>
          </w:tcPr>
          <w:p w14:paraId="1C06F24C">
            <w:pPr>
              <w:widowControl/>
              <w:spacing w:after="240"/>
              <w:rPr>
                <w:rFonts w:cstheme="minorHAnsi"/>
                <w:sz w:val="18"/>
                <w:szCs w:val="18"/>
              </w:rPr>
            </w:pPr>
            <w:r>
              <w:rPr>
                <w:rFonts w:cstheme="minorHAnsi"/>
                <w:sz w:val="18"/>
                <w:szCs w:val="18"/>
              </w:rPr>
              <w:t>Absolute pressure transmitter</w:t>
            </w:r>
          </w:p>
        </w:tc>
        <w:tc>
          <w:tcPr>
            <w:tcW w:w="382" w:type="pct"/>
            <w:tcBorders>
              <w:bottom w:val="single" w:color="auto" w:sz="4" w:space="0"/>
            </w:tcBorders>
            <w:shd w:val="clear" w:color="auto" w:fill="auto"/>
            <w:vAlign w:val="center"/>
          </w:tcPr>
          <w:p w14:paraId="518A110B">
            <w:pPr>
              <w:widowControl/>
              <w:spacing w:after="240"/>
              <w:jc w:val="center"/>
              <w:rPr>
                <w:rFonts w:cstheme="minorHAnsi"/>
                <w:sz w:val="18"/>
                <w:szCs w:val="18"/>
                <w:lang w:eastAsia="en-US"/>
              </w:rPr>
            </w:pPr>
            <w:r>
              <w:rPr>
                <w:rFonts w:cstheme="minorHAnsi"/>
                <w:sz w:val="18"/>
                <w:szCs w:val="18"/>
              </w:rPr>
              <w:t>○</w:t>
            </w:r>
          </w:p>
        </w:tc>
        <w:tc>
          <w:tcPr>
            <w:tcW w:w="381" w:type="pct"/>
            <w:tcBorders>
              <w:bottom w:val="single" w:color="auto" w:sz="4" w:space="0"/>
            </w:tcBorders>
            <w:shd w:val="clear" w:color="auto" w:fill="auto"/>
            <w:vAlign w:val="center"/>
          </w:tcPr>
          <w:p w14:paraId="38BCBF1E">
            <w:pPr>
              <w:widowControl/>
              <w:spacing w:after="240"/>
              <w:jc w:val="center"/>
              <w:rPr>
                <w:rFonts w:cstheme="minorHAnsi"/>
                <w:sz w:val="18"/>
                <w:szCs w:val="18"/>
                <w:lang w:eastAsia="en-US"/>
              </w:rPr>
            </w:pPr>
            <w:r>
              <w:rPr>
                <w:rFonts w:cstheme="minorHAnsi"/>
                <w:sz w:val="18"/>
                <w:szCs w:val="18"/>
              </w:rPr>
              <w:t>●</w:t>
            </w:r>
          </w:p>
        </w:tc>
      </w:tr>
      <w:tr w14:paraId="25A5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CCCCCC"/>
            <w:vAlign w:val="center"/>
          </w:tcPr>
          <w:p w14:paraId="6A592C38">
            <w:pPr>
              <w:widowControl/>
              <w:spacing w:after="240"/>
              <w:jc w:val="center"/>
              <w:rPr>
                <w:rFonts w:cstheme="minorHAnsi"/>
                <w:sz w:val="18"/>
                <w:szCs w:val="18"/>
              </w:rPr>
            </w:pPr>
            <w:r>
              <w:rPr>
                <w:rFonts w:cstheme="minorHAnsi"/>
                <w:sz w:val="18"/>
                <w:szCs w:val="18"/>
              </w:rPr>
              <w:t>Code</w:t>
            </w:r>
          </w:p>
        </w:tc>
        <w:tc>
          <w:tcPr>
            <w:tcW w:w="3596" w:type="pct"/>
            <w:gridSpan w:val="2"/>
            <w:shd w:val="clear" w:color="auto" w:fill="CCCCCC"/>
            <w:vAlign w:val="center"/>
          </w:tcPr>
          <w:p w14:paraId="7A023D40">
            <w:pPr>
              <w:widowControl/>
              <w:spacing w:after="240"/>
              <w:jc w:val="center"/>
              <w:rPr>
                <w:rFonts w:cstheme="minorHAnsi"/>
                <w:sz w:val="18"/>
                <w:szCs w:val="18"/>
              </w:rPr>
            </w:pPr>
            <w:r>
              <w:rPr>
                <w:rFonts w:cstheme="minorHAnsi"/>
                <w:sz w:val="18"/>
                <w:szCs w:val="18"/>
              </w:rPr>
              <w:t xml:space="preserve">Range </w:t>
            </w:r>
          </w:p>
        </w:tc>
        <w:tc>
          <w:tcPr>
            <w:tcW w:w="382" w:type="pct"/>
            <w:shd w:val="clear" w:color="auto" w:fill="CCCCCC"/>
            <w:vAlign w:val="center"/>
          </w:tcPr>
          <w:p w14:paraId="42F4C972">
            <w:pPr>
              <w:widowControl/>
              <w:spacing w:after="240"/>
              <w:jc w:val="center"/>
              <w:rPr>
                <w:rFonts w:cstheme="minorHAnsi"/>
                <w:sz w:val="18"/>
                <w:szCs w:val="18"/>
              </w:rPr>
            </w:pPr>
            <w:r>
              <w:rPr>
                <w:rFonts w:cstheme="minorHAnsi"/>
                <w:sz w:val="18"/>
                <w:szCs w:val="18"/>
              </w:rPr>
              <w:t>SG</w:t>
            </w:r>
          </w:p>
        </w:tc>
        <w:tc>
          <w:tcPr>
            <w:tcW w:w="381" w:type="pct"/>
            <w:shd w:val="clear" w:color="auto" w:fill="CCCCCC"/>
            <w:vAlign w:val="center"/>
          </w:tcPr>
          <w:p w14:paraId="43E0E45E">
            <w:pPr>
              <w:widowControl/>
              <w:spacing w:after="240"/>
              <w:jc w:val="center"/>
              <w:rPr>
                <w:rFonts w:cstheme="minorHAnsi"/>
                <w:sz w:val="18"/>
                <w:szCs w:val="18"/>
              </w:rPr>
            </w:pPr>
            <w:r>
              <w:rPr>
                <w:rFonts w:cstheme="minorHAnsi"/>
                <w:sz w:val="18"/>
                <w:szCs w:val="18"/>
              </w:rPr>
              <w:t>SA</w:t>
            </w:r>
          </w:p>
        </w:tc>
      </w:tr>
      <w:tr w14:paraId="57D5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64F7A016">
            <w:pPr>
              <w:widowControl/>
              <w:spacing w:after="240"/>
              <w:jc w:val="center"/>
              <w:rPr>
                <w:rFonts w:ascii="Calibri" w:hAnsi="Calibri" w:cs="Calibri"/>
                <w:sz w:val="18"/>
                <w:szCs w:val="18"/>
              </w:rPr>
            </w:pPr>
            <w:r>
              <w:rPr>
                <w:rFonts w:ascii="Calibri" w:hAnsi="Calibri" w:cs="Calibri"/>
                <w:sz w:val="18"/>
                <w:szCs w:val="18"/>
              </w:rPr>
              <w:t>1</w:t>
            </w:r>
            <w:r>
              <w:rPr>
                <w:rFonts w:hint="eastAsia" w:ascii="Calibri" w:hAnsi="Calibri" w:cs="Calibri"/>
                <w:sz w:val="18"/>
                <w:szCs w:val="18"/>
              </w:rPr>
              <w:t>B</w:t>
            </w:r>
          </w:p>
        </w:tc>
        <w:tc>
          <w:tcPr>
            <w:tcW w:w="3596" w:type="pct"/>
            <w:gridSpan w:val="2"/>
            <w:shd w:val="clear" w:color="auto" w:fill="auto"/>
            <w:vAlign w:val="center"/>
          </w:tcPr>
          <w:p w14:paraId="0AC55DE3">
            <w:pPr>
              <w:widowControl/>
              <w:spacing w:after="240"/>
              <w:rPr>
                <w:rFonts w:ascii="Calibri" w:hAnsi="Calibri" w:cs="Calibri"/>
                <w:sz w:val="18"/>
                <w:szCs w:val="18"/>
              </w:rPr>
            </w:pPr>
            <w:r>
              <w:rPr>
                <w:rFonts w:hint="eastAsia" w:ascii="Calibri" w:hAnsi="Calibri" w:cs="Calibri"/>
                <w:sz w:val="18"/>
                <w:szCs w:val="18"/>
              </w:rPr>
              <w:t>3</w:t>
            </w:r>
            <w:r>
              <w:rPr>
                <w:rFonts w:ascii="Calibri" w:hAnsi="Calibri" w:cs="Calibri"/>
                <w:sz w:val="18"/>
                <w:szCs w:val="18"/>
              </w:rPr>
              <w:t>kPa</w:t>
            </w:r>
          </w:p>
        </w:tc>
        <w:tc>
          <w:tcPr>
            <w:tcW w:w="382" w:type="pct"/>
            <w:shd w:val="clear" w:color="auto" w:fill="auto"/>
            <w:vAlign w:val="center"/>
          </w:tcPr>
          <w:p w14:paraId="50AF8489">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787C6903">
            <w:pPr>
              <w:widowControl/>
              <w:spacing w:after="240"/>
              <w:jc w:val="center"/>
              <w:rPr>
                <w:rFonts w:ascii="Calibri" w:hAnsi="Calibri" w:cs="Calibri"/>
                <w:sz w:val="18"/>
                <w:szCs w:val="18"/>
              </w:rPr>
            </w:pPr>
            <w:r>
              <w:rPr>
                <w:rFonts w:ascii="Calibri" w:hAnsi="Calibri" w:cs="Calibri"/>
                <w:sz w:val="18"/>
                <w:szCs w:val="18"/>
              </w:rPr>
              <w:t>○</w:t>
            </w:r>
          </w:p>
        </w:tc>
      </w:tr>
      <w:tr w14:paraId="4C31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3749121E">
            <w:pPr>
              <w:widowControl/>
              <w:spacing w:after="240"/>
              <w:jc w:val="center"/>
              <w:rPr>
                <w:rFonts w:ascii="Calibri" w:hAnsi="Calibri" w:cs="Calibri"/>
                <w:sz w:val="18"/>
                <w:szCs w:val="18"/>
              </w:rPr>
            </w:pPr>
            <w:r>
              <w:rPr>
                <w:rFonts w:ascii="Calibri" w:hAnsi="Calibri" w:cs="Calibri"/>
                <w:sz w:val="18"/>
                <w:szCs w:val="18"/>
              </w:rPr>
              <w:t>1C</w:t>
            </w:r>
          </w:p>
        </w:tc>
        <w:tc>
          <w:tcPr>
            <w:tcW w:w="3596" w:type="pct"/>
            <w:gridSpan w:val="2"/>
            <w:shd w:val="clear" w:color="auto" w:fill="auto"/>
            <w:vAlign w:val="center"/>
          </w:tcPr>
          <w:p w14:paraId="0948CC0A">
            <w:pPr>
              <w:widowControl/>
              <w:spacing w:after="240"/>
              <w:rPr>
                <w:rFonts w:ascii="Calibri" w:hAnsi="Calibri" w:cs="Calibri"/>
                <w:sz w:val="18"/>
                <w:szCs w:val="18"/>
              </w:rPr>
            </w:pPr>
            <w:r>
              <w:rPr>
                <w:rFonts w:ascii="Calibri" w:hAnsi="Calibri" w:cs="Calibri"/>
                <w:sz w:val="18"/>
                <w:szCs w:val="18"/>
              </w:rPr>
              <w:t>6kPa</w:t>
            </w:r>
          </w:p>
        </w:tc>
        <w:tc>
          <w:tcPr>
            <w:tcW w:w="382" w:type="pct"/>
            <w:shd w:val="clear" w:color="auto" w:fill="auto"/>
            <w:vAlign w:val="center"/>
          </w:tcPr>
          <w:p w14:paraId="48C84584">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461FC766">
            <w:pPr>
              <w:widowControl/>
              <w:spacing w:after="240"/>
              <w:jc w:val="center"/>
              <w:rPr>
                <w:rFonts w:ascii="Calibri" w:hAnsi="Calibri" w:cs="Calibri"/>
                <w:sz w:val="18"/>
                <w:szCs w:val="18"/>
              </w:rPr>
            </w:pPr>
            <w:r>
              <w:rPr>
                <w:rFonts w:ascii="Calibri" w:hAnsi="Calibri" w:cs="Calibri"/>
                <w:sz w:val="18"/>
                <w:szCs w:val="18"/>
              </w:rPr>
              <w:t>○</w:t>
            </w:r>
          </w:p>
        </w:tc>
      </w:tr>
      <w:tr w14:paraId="24F1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1DD08D32">
            <w:pPr>
              <w:widowControl/>
              <w:spacing w:after="240"/>
              <w:jc w:val="center"/>
              <w:rPr>
                <w:rFonts w:ascii="Calibri" w:hAnsi="Calibri" w:cs="Calibri"/>
                <w:sz w:val="18"/>
                <w:szCs w:val="18"/>
              </w:rPr>
            </w:pPr>
            <w:r>
              <w:rPr>
                <w:rFonts w:ascii="Calibri" w:hAnsi="Calibri" w:cs="Calibri"/>
                <w:sz w:val="18"/>
                <w:szCs w:val="18"/>
              </w:rPr>
              <w:t>1E</w:t>
            </w:r>
          </w:p>
        </w:tc>
        <w:tc>
          <w:tcPr>
            <w:tcW w:w="3596" w:type="pct"/>
            <w:gridSpan w:val="2"/>
            <w:shd w:val="clear" w:color="auto" w:fill="auto"/>
          </w:tcPr>
          <w:p w14:paraId="64C57953">
            <w:pPr>
              <w:widowControl/>
              <w:spacing w:after="240"/>
              <w:rPr>
                <w:rFonts w:ascii="Calibri" w:hAnsi="Calibri" w:cs="Calibri"/>
                <w:sz w:val="18"/>
                <w:szCs w:val="18"/>
              </w:rPr>
            </w:pPr>
            <w:r>
              <w:rPr>
                <w:rFonts w:ascii="Calibri" w:hAnsi="Calibri" w:cs="Calibri"/>
                <w:sz w:val="18"/>
                <w:szCs w:val="18"/>
              </w:rPr>
              <w:t>40kPa</w:t>
            </w:r>
          </w:p>
        </w:tc>
        <w:tc>
          <w:tcPr>
            <w:tcW w:w="382" w:type="pct"/>
            <w:shd w:val="clear" w:color="auto" w:fill="auto"/>
            <w:vAlign w:val="center"/>
          </w:tcPr>
          <w:p w14:paraId="06CC4DE8">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66D56E35">
            <w:pPr>
              <w:widowControl/>
              <w:spacing w:after="240"/>
              <w:jc w:val="center"/>
              <w:rPr>
                <w:rFonts w:ascii="Calibri" w:hAnsi="Calibri" w:cs="Calibri"/>
                <w:sz w:val="18"/>
                <w:szCs w:val="18"/>
              </w:rPr>
            </w:pPr>
            <w:r>
              <w:rPr>
                <w:rFonts w:ascii="Calibri" w:hAnsi="Calibri" w:cs="Calibri"/>
                <w:sz w:val="18"/>
                <w:szCs w:val="18"/>
              </w:rPr>
              <w:t>○</w:t>
            </w:r>
          </w:p>
        </w:tc>
      </w:tr>
      <w:tr w14:paraId="52DD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6D0D3EE9">
            <w:pPr>
              <w:widowControl/>
              <w:spacing w:after="240"/>
              <w:jc w:val="center"/>
              <w:rPr>
                <w:rFonts w:ascii="Calibri" w:hAnsi="Calibri" w:cs="Calibri"/>
                <w:sz w:val="18"/>
                <w:szCs w:val="18"/>
              </w:rPr>
            </w:pPr>
            <w:r>
              <w:rPr>
                <w:rFonts w:hint="eastAsia" w:ascii="Calibri" w:hAnsi="Calibri" w:cs="Calibri"/>
                <w:sz w:val="18"/>
                <w:szCs w:val="18"/>
              </w:rPr>
              <w:t>1</w:t>
            </w:r>
            <w:r>
              <w:rPr>
                <w:rFonts w:ascii="Calibri" w:hAnsi="Calibri" w:cs="Calibri"/>
                <w:sz w:val="18"/>
                <w:szCs w:val="18"/>
              </w:rPr>
              <w:t>F</w:t>
            </w:r>
          </w:p>
        </w:tc>
        <w:tc>
          <w:tcPr>
            <w:tcW w:w="3596" w:type="pct"/>
            <w:gridSpan w:val="2"/>
            <w:shd w:val="clear" w:color="auto" w:fill="auto"/>
          </w:tcPr>
          <w:p w14:paraId="3033587F">
            <w:pPr>
              <w:spacing w:after="240"/>
              <w:rPr>
                <w:rFonts w:ascii="Calibri" w:hAnsi="Calibri" w:cs="Calibri"/>
                <w:sz w:val="18"/>
                <w:szCs w:val="18"/>
              </w:rPr>
            </w:pPr>
            <w:r>
              <w:rPr>
                <w:rFonts w:ascii="Calibri" w:hAnsi="Calibri" w:cs="Calibri"/>
                <w:sz w:val="18"/>
                <w:szCs w:val="18"/>
              </w:rPr>
              <w:t>250kPa</w:t>
            </w:r>
          </w:p>
        </w:tc>
        <w:tc>
          <w:tcPr>
            <w:tcW w:w="382" w:type="pct"/>
            <w:shd w:val="clear" w:color="auto" w:fill="auto"/>
            <w:vAlign w:val="center"/>
          </w:tcPr>
          <w:p w14:paraId="3CD6D0AF">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1810AD88">
            <w:pPr>
              <w:widowControl/>
              <w:spacing w:after="240"/>
              <w:jc w:val="center"/>
              <w:rPr>
                <w:rFonts w:ascii="Calibri" w:hAnsi="Calibri" w:cs="Calibri"/>
                <w:sz w:val="18"/>
                <w:szCs w:val="18"/>
              </w:rPr>
            </w:pPr>
            <w:r>
              <w:rPr>
                <w:rFonts w:ascii="Calibri" w:hAnsi="Calibri" w:cs="Calibri"/>
                <w:sz w:val="18"/>
                <w:szCs w:val="18"/>
              </w:rPr>
              <w:t>○</w:t>
            </w:r>
          </w:p>
        </w:tc>
      </w:tr>
      <w:tr w14:paraId="503C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28C1F457">
            <w:pPr>
              <w:widowControl/>
              <w:spacing w:after="240"/>
              <w:jc w:val="center"/>
              <w:rPr>
                <w:rFonts w:ascii="Calibri" w:hAnsi="Calibri" w:cs="Calibri"/>
                <w:sz w:val="18"/>
                <w:szCs w:val="18"/>
              </w:rPr>
            </w:pPr>
            <w:r>
              <w:rPr>
                <w:rFonts w:ascii="Calibri" w:hAnsi="Calibri" w:cs="Calibri"/>
                <w:sz w:val="18"/>
                <w:szCs w:val="18"/>
              </w:rPr>
              <w:t>1H</w:t>
            </w:r>
          </w:p>
        </w:tc>
        <w:tc>
          <w:tcPr>
            <w:tcW w:w="3596" w:type="pct"/>
            <w:gridSpan w:val="2"/>
            <w:shd w:val="clear" w:color="auto" w:fill="auto"/>
          </w:tcPr>
          <w:p w14:paraId="33C7880C">
            <w:pPr>
              <w:widowControl/>
              <w:spacing w:after="240"/>
              <w:rPr>
                <w:rFonts w:ascii="Calibri" w:hAnsi="Calibri" w:cs="Calibri"/>
                <w:sz w:val="18"/>
                <w:szCs w:val="18"/>
              </w:rPr>
            </w:pPr>
            <w:r>
              <w:rPr>
                <w:rFonts w:ascii="Calibri" w:hAnsi="Calibri" w:cs="Calibri"/>
                <w:sz w:val="18"/>
                <w:szCs w:val="18"/>
              </w:rPr>
              <w:t>1MPa</w:t>
            </w:r>
          </w:p>
        </w:tc>
        <w:tc>
          <w:tcPr>
            <w:tcW w:w="382" w:type="pct"/>
            <w:shd w:val="clear" w:color="auto" w:fill="auto"/>
            <w:vAlign w:val="center"/>
          </w:tcPr>
          <w:p w14:paraId="08BAF10E">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06BE5E83">
            <w:pPr>
              <w:widowControl/>
              <w:spacing w:after="240"/>
              <w:jc w:val="center"/>
              <w:rPr>
                <w:rFonts w:ascii="Calibri" w:hAnsi="Calibri" w:cs="Calibri"/>
                <w:sz w:val="18"/>
                <w:szCs w:val="18"/>
              </w:rPr>
            </w:pPr>
            <w:r>
              <w:rPr>
                <w:rFonts w:ascii="Calibri" w:hAnsi="Calibri" w:cs="Calibri"/>
                <w:sz w:val="18"/>
                <w:szCs w:val="18"/>
              </w:rPr>
              <w:t>○</w:t>
            </w:r>
          </w:p>
        </w:tc>
      </w:tr>
      <w:tr w14:paraId="0058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39FF7BB9">
            <w:pPr>
              <w:widowControl/>
              <w:spacing w:after="240"/>
              <w:jc w:val="center"/>
              <w:rPr>
                <w:rFonts w:ascii="Calibri" w:hAnsi="Calibri" w:cs="Calibri"/>
                <w:sz w:val="18"/>
                <w:szCs w:val="18"/>
              </w:rPr>
            </w:pPr>
            <w:r>
              <w:rPr>
                <w:rFonts w:ascii="Calibri" w:hAnsi="Calibri" w:cs="Calibri"/>
                <w:sz w:val="18"/>
                <w:szCs w:val="18"/>
              </w:rPr>
              <w:t>1K</w:t>
            </w:r>
          </w:p>
        </w:tc>
        <w:tc>
          <w:tcPr>
            <w:tcW w:w="3596" w:type="pct"/>
            <w:gridSpan w:val="2"/>
            <w:shd w:val="clear" w:color="auto" w:fill="auto"/>
          </w:tcPr>
          <w:p w14:paraId="193A28CC">
            <w:pPr>
              <w:widowControl/>
              <w:spacing w:after="240"/>
              <w:rPr>
                <w:rFonts w:ascii="Calibri" w:hAnsi="Calibri" w:cs="Calibri"/>
                <w:sz w:val="18"/>
                <w:szCs w:val="18"/>
              </w:rPr>
            </w:pPr>
            <w:r>
              <w:rPr>
                <w:rFonts w:ascii="Calibri" w:hAnsi="Calibri" w:cs="Calibri"/>
                <w:sz w:val="18"/>
                <w:szCs w:val="18"/>
              </w:rPr>
              <w:t>3MPa</w:t>
            </w:r>
          </w:p>
        </w:tc>
        <w:tc>
          <w:tcPr>
            <w:tcW w:w="382" w:type="pct"/>
            <w:shd w:val="clear" w:color="auto" w:fill="auto"/>
            <w:vAlign w:val="center"/>
          </w:tcPr>
          <w:p w14:paraId="673BE39D">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7F97DF23">
            <w:pPr>
              <w:widowControl/>
              <w:spacing w:after="240"/>
              <w:jc w:val="center"/>
              <w:rPr>
                <w:rFonts w:ascii="Calibri" w:hAnsi="Calibri" w:cs="Calibri"/>
                <w:sz w:val="18"/>
                <w:szCs w:val="18"/>
              </w:rPr>
            </w:pPr>
            <w:r>
              <w:rPr>
                <w:rFonts w:ascii="Calibri" w:hAnsi="Calibri" w:cs="Calibri"/>
                <w:sz w:val="18"/>
                <w:szCs w:val="18"/>
              </w:rPr>
              <w:t>○</w:t>
            </w:r>
          </w:p>
        </w:tc>
      </w:tr>
      <w:tr w14:paraId="06BA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573B8B38">
            <w:pPr>
              <w:widowControl/>
              <w:spacing w:after="240"/>
              <w:jc w:val="center"/>
              <w:rPr>
                <w:rFonts w:ascii="Calibri" w:hAnsi="Calibri" w:cs="Calibri"/>
                <w:sz w:val="18"/>
                <w:szCs w:val="18"/>
              </w:rPr>
            </w:pPr>
            <w:r>
              <w:rPr>
                <w:rFonts w:ascii="Calibri" w:hAnsi="Calibri" w:cs="Calibri"/>
                <w:sz w:val="18"/>
                <w:szCs w:val="18"/>
              </w:rPr>
              <w:t>1M</w:t>
            </w:r>
          </w:p>
        </w:tc>
        <w:tc>
          <w:tcPr>
            <w:tcW w:w="3596" w:type="pct"/>
            <w:gridSpan w:val="2"/>
            <w:shd w:val="clear" w:color="auto" w:fill="auto"/>
          </w:tcPr>
          <w:p w14:paraId="2258B685">
            <w:pPr>
              <w:widowControl/>
              <w:spacing w:after="240"/>
              <w:rPr>
                <w:rFonts w:ascii="Calibri" w:hAnsi="Calibri" w:cs="Calibri"/>
                <w:sz w:val="18"/>
                <w:szCs w:val="18"/>
              </w:rPr>
            </w:pPr>
            <w:r>
              <w:rPr>
                <w:rFonts w:ascii="Calibri" w:hAnsi="Calibri" w:cs="Calibri"/>
                <w:sz w:val="18"/>
                <w:szCs w:val="18"/>
              </w:rPr>
              <w:t>10MPa</w:t>
            </w:r>
          </w:p>
        </w:tc>
        <w:tc>
          <w:tcPr>
            <w:tcW w:w="382" w:type="pct"/>
            <w:shd w:val="clear" w:color="auto" w:fill="auto"/>
            <w:vAlign w:val="center"/>
          </w:tcPr>
          <w:p w14:paraId="405EBFA5">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0DEAE0AE">
            <w:pPr>
              <w:widowControl/>
              <w:spacing w:after="240"/>
              <w:jc w:val="center"/>
              <w:rPr>
                <w:rFonts w:ascii="Calibri" w:hAnsi="Calibri" w:cs="Calibri"/>
                <w:sz w:val="18"/>
                <w:szCs w:val="18"/>
              </w:rPr>
            </w:pPr>
            <w:r>
              <w:rPr>
                <w:rFonts w:ascii="Calibri" w:hAnsi="Calibri" w:cs="Calibri"/>
                <w:sz w:val="18"/>
                <w:szCs w:val="18"/>
              </w:rPr>
              <w:t>○</w:t>
            </w:r>
          </w:p>
        </w:tc>
      </w:tr>
      <w:tr w14:paraId="3146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2F95F229">
            <w:pPr>
              <w:widowControl/>
              <w:spacing w:after="240"/>
              <w:jc w:val="center"/>
              <w:rPr>
                <w:rFonts w:ascii="Calibri" w:hAnsi="Calibri" w:cs="Calibri"/>
                <w:sz w:val="18"/>
                <w:szCs w:val="18"/>
              </w:rPr>
            </w:pPr>
            <w:r>
              <w:rPr>
                <w:rFonts w:ascii="Calibri" w:hAnsi="Calibri" w:cs="Calibri"/>
                <w:sz w:val="18"/>
                <w:szCs w:val="18"/>
              </w:rPr>
              <w:t>1P</w:t>
            </w:r>
          </w:p>
        </w:tc>
        <w:tc>
          <w:tcPr>
            <w:tcW w:w="3596" w:type="pct"/>
            <w:gridSpan w:val="2"/>
            <w:shd w:val="clear" w:color="auto" w:fill="auto"/>
          </w:tcPr>
          <w:p w14:paraId="2677E1B1">
            <w:pPr>
              <w:widowControl/>
              <w:spacing w:after="240"/>
              <w:rPr>
                <w:rFonts w:ascii="Calibri" w:hAnsi="Calibri" w:cs="Calibri"/>
                <w:sz w:val="18"/>
                <w:szCs w:val="18"/>
              </w:rPr>
            </w:pPr>
            <w:r>
              <w:rPr>
                <w:rFonts w:ascii="Calibri" w:hAnsi="Calibri" w:cs="Calibri"/>
                <w:sz w:val="18"/>
                <w:szCs w:val="18"/>
              </w:rPr>
              <w:t>40MPa</w:t>
            </w:r>
          </w:p>
        </w:tc>
        <w:tc>
          <w:tcPr>
            <w:tcW w:w="382" w:type="pct"/>
            <w:shd w:val="clear" w:color="auto" w:fill="auto"/>
            <w:vAlign w:val="center"/>
          </w:tcPr>
          <w:p w14:paraId="601A1220">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633632C2">
            <w:pPr>
              <w:widowControl/>
              <w:spacing w:after="240"/>
              <w:jc w:val="center"/>
              <w:rPr>
                <w:rFonts w:ascii="Calibri" w:hAnsi="Calibri" w:cs="Calibri"/>
                <w:sz w:val="18"/>
                <w:szCs w:val="18"/>
              </w:rPr>
            </w:pPr>
            <w:r>
              <w:rPr>
                <w:rFonts w:ascii="Calibri" w:hAnsi="Calibri" w:cs="Calibri"/>
                <w:sz w:val="18"/>
                <w:szCs w:val="18"/>
              </w:rPr>
              <w:t>○</w:t>
            </w:r>
          </w:p>
        </w:tc>
      </w:tr>
      <w:tr w14:paraId="0712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6D4DDF7F">
            <w:pPr>
              <w:spacing w:after="240"/>
              <w:jc w:val="center"/>
              <w:rPr>
                <w:rFonts w:ascii="Calibri" w:hAnsi="Calibri" w:cs="Calibri"/>
                <w:sz w:val="18"/>
                <w:szCs w:val="18"/>
              </w:rPr>
            </w:pPr>
            <w:r>
              <w:rPr>
                <w:rFonts w:ascii="Calibri" w:hAnsi="Calibri" w:cs="Calibri"/>
                <w:sz w:val="18"/>
                <w:szCs w:val="18"/>
              </w:rPr>
              <w:t>2C</w:t>
            </w:r>
          </w:p>
        </w:tc>
        <w:tc>
          <w:tcPr>
            <w:tcW w:w="3596" w:type="pct"/>
            <w:gridSpan w:val="2"/>
            <w:shd w:val="clear" w:color="auto" w:fill="auto"/>
          </w:tcPr>
          <w:p w14:paraId="5F83E9D8">
            <w:pPr>
              <w:spacing w:after="240"/>
              <w:rPr>
                <w:rFonts w:ascii="Calibri" w:hAnsi="Calibri" w:cs="Calibri"/>
                <w:sz w:val="18"/>
                <w:szCs w:val="18"/>
              </w:rPr>
            </w:pPr>
            <w:r>
              <w:rPr>
                <w:rFonts w:ascii="Calibri" w:hAnsi="Calibri" w:cs="Calibri"/>
                <w:sz w:val="18"/>
                <w:szCs w:val="18"/>
              </w:rPr>
              <w:t>40kPa</w:t>
            </w:r>
          </w:p>
        </w:tc>
        <w:tc>
          <w:tcPr>
            <w:tcW w:w="382" w:type="pct"/>
            <w:shd w:val="clear" w:color="auto" w:fill="auto"/>
            <w:vAlign w:val="center"/>
          </w:tcPr>
          <w:p w14:paraId="62AEF416">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6CD6CA0E">
            <w:pPr>
              <w:widowControl/>
              <w:spacing w:after="240"/>
              <w:jc w:val="center"/>
              <w:rPr>
                <w:rFonts w:ascii="Calibri" w:hAnsi="Calibri" w:cs="Calibri"/>
                <w:sz w:val="18"/>
                <w:szCs w:val="18"/>
              </w:rPr>
            </w:pPr>
            <w:r>
              <w:rPr>
                <w:rFonts w:ascii="Calibri" w:hAnsi="Calibri" w:cs="Calibri"/>
                <w:sz w:val="18"/>
                <w:szCs w:val="18"/>
              </w:rPr>
              <w:t>●</w:t>
            </w:r>
          </w:p>
        </w:tc>
      </w:tr>
      <w:tr w14:paraId="6051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673983DB">
            <w:pPr>
              <w:widowControl/>
              <w:spacing w:after="240"/>
              <w:jc w:val="center"/>
              <w:rPr>
                <w:rFonts w:ascii="Calibri" w:hAnsi="Calibri" w:cs="Calibri"/>
                <w:sz w:val="18"/>
                <w:szCs w:val="18"/>
              </w:rPr>
            </w:pPr>
            <w:r>
              <w:rPr>
                <w:rFonts w:ascii="Calibri" w:hAnsi="Calibri" w:cs="Calibri"/>
                <w:sz w:val="18"/>
                <w:szCs w:val="18"/>
              </w:rPr>
              <w:t>2E</w:t>
            </w:r>
          </w:p>
        </w:tc>
        <w:tc>
          <w:tcPr>
            <w:tcW w:w="3596" w:type="pct"/>
            <w:gridSpan w:val="2"/>
            <w:shd w:val="clear" w:color="auto" w:fill="auto"/>
          </w:tcPr>
          <w:p w14:paraId="2484653E">
            <w:pPr>
              <w:widowControl/>
              <w:spacing w:after="240"/>
              <w:rPr>
                <w:rFonts w:ascii="Calibri" w:hAnsi="Calibri" w:cs="Calibri"/>
                <w:sz w:val="18"/>
                <w:szCs w:val="18"/>
              </w:rPr>
            </w:pPr>
            <w:r>
              <w:rPr>
                <w:rFonts w:ascii="Calibri" w:hAnsi="Calibri" w:cs="Calibri"/>
                <w:sz w:val="18"/>
                <w:szCs w:val="18"/>
              </w:rPr>
              <w:t>250kPa</w:t>
            </w:r>
          </w:p>
        </w:tc>
        <w:tc>
          <w:tcPr>
            <w:tcW w:w="382" w:type="pct"/>
            <w:shd w:val="clear" w:color="auto" w:fill="auto"/>
            <w:vAlign w:val="center"/>
          </w:tcPr>
          <w:p w14:paraId="062CB898">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7CB2541D">
            <w:pPr>
              <w:widowControl/>
              <w:spacing w:after="240"/>
              <w:jc w:val="center"/>
              <w:rPr>
                <w:rFonts w:ascii="Calibri" w:hAnsi="Calibri" w:cs="Calibri"/>
                <w:sz w:val="18"/>
                <w:szCs w:val="18"/>
              </w:rPr>
            </w:pPr>
            <w:r>
              <w:rPr>
                <w:rFonts w:ascii="Calibri" w:hAnsi="Calibri" w:cs="Calibri"/>
                <w:sz w:val="18"/>
                <w:szCs w:val="18"/>
              </w:rPr>
              <w:t>●</w:t>
            </w:r>
          </w:p>
        </w:tc>
      </w:tr>
      <w:tr w14:paraId="3412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40ECC0A1">
            <w:pPr>
              <w:widowControl/>
              <w:spacing w:after="240"/>
              <w:jc w:val="center"/>
              <w:rPr>
                <w:rFonts w:ascii="Calibri" w:hAnsi="Calibri" w:cs="Calibri"/>
                <w:sz w:val="18"/>
                <w:szCs w:val="18"/>
              </w:rPr>
            </w:pPr>
            <w:r>
              <w:rPr>
                <w:rFonts w:ascii="Calibri" w:hAnsi="Calibri" w:cs="Calibri"/>
                <w:sz w:val="18"/>
                <w:szCs w:val="18"/>
              </w:rPr>
              <w:t>2F</w:t>
            </w:r>
          </w:p>
        </w:tc>
        <w:tc>
          <w:tcPr>
            <w:tcW w:w="3596" w:type="pct"/>
            <w:gridSpan w:val="2"/>
            <w:shd w:val="clear" w:color="auto" w:fill="auto"/>
          </w:tcPr>
          <w:p w14:paraId="55A6BCCD">
            <w:pPr>
              <w:widowControl/>
              <w:spacing w:after="240"/>
              <w:rPr>
                <w:rFonts w:ascii="Calibri" w:hAnsi="Calibri" w:cs="Calibri"/>
                <w:sz w:val="18"/>
                <w:szCs w:val="18"/>
              </w:rPr>
            </w:pPr>
            <w:r>
              <w:rPr>
                <w:rFonts w:ascii="Calibri" w:hAnsi="Calibri" w:cs="Calibri"/>
                <w:sz w:val="18"/>
                <w:szCs w:val="18"/>
              </w:rPr>
              <w:t>1MPa</w:t>
            </w:r>
          </w:p>
        </w:tc>
        <w:tc>
          <w:tcPr>
            <w:tcW w:w="382" w:type="pct"/>
            <w:shd w:val="clear" w:color="auto" w:fill="auto"/>
            <w:vAlign w:val="center"/>
          </w:tcPr>
          <w:p w14:paraId="78A5D5EB">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0D0C8339">
            <w:pPr>
              <w:widowControl/>
              <w:spacing w:after="240"/>
              <w:jc w:val="center"/>
              <w:rPr>
                <w:rFonts w:ascii="Calibri" w:hAnsi="Calibri" w:cs="Calibri"/>
                <w:sz w:val="18"/>
                <w:szCs w:val="18"/>
              </w:rPr>
            </w:pPr>
            <w:r>
              <w:rPr>
                <w:rFonts w:ascii="Calibri" w:hAnsi="Calibri" w:cs="Calibri"/>
                <w:sz w:val="18"/>
                <w:szCs w:val="18"/>
              </w:rPr>
              <w:t>●</w:t>
            </w:r>
          </w:p>
        </w:tc>
      </w:tr>
      <w:tr w14:paraId="2116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51ABBC32">
            <w:pPr>
              <w:widowControl/>
              <w:spacing w:after="240"/>
              <w:jc w:val="center"/>
              <w:rPr>
                <w:rFonts w:ascii="Calibri" w:hAnsi="Calibri" w:cs="Calibri"/>
                <w:sz w:val="18"/>
                <w:szCs w:val="18"/>
              </w:rPr>
            </w:pPr>
            <w:r>
              <w:rPr>
                <w:rFonts w:ascii="Calibri" w:hAnsi="Calibri" w:cs="Calibri"/>
                <w:sz w:val="18"/>
                <w:szCs w:val="18"/>
              </w:rPr>
              <w:t>2H</w:t>
            </w:r>
          </w:p>
        </w:tc>
        <w:tc>
          <w:tcPr>
            <w:tcW w:w="3596" w:type="pct"/>
            <w:gridSpan w:val="2"/>
            <w:shd w:val="clear" w:color="auto" w:fill="auto"/>
          </w:tcPr>
          <w:p w14:paraId="445F9877">
            <w:pPr>
              <w:widowControl/>
              <w:spacing w:after="240"/>
              <w:rPr>
                <w:rFonts w:ascii="Calibri" w:hAnsi="Calibri" w:cs="Calibri"/>
                <w:sz w:val="18"/>
                <w:szCs w:val="18"/>
              </w:rPr>
            </w:pPr>
            <w:r>
              <w:rPr>
                <w:rFonts w:ascii="Calibri" w:hAnsi="Calibri" w:cs="Calibri"/>
                <w:sz w:val="18"/>
                <w:szCs w:val="18"/>
              </w:rPr>
              <w:t>10MPa</w:t>
            </w:r>
          </w:p>
        </w:tc>
        <w:tc>
          <w:tcPr>
            <w:tcW w:w="382" w:type="pct"/>
            <w:shd w:val="clear" w:color="auto" w:fill="auto"/>
            <w:vAlign w:val="center"/>
          </w:tcPr>
          <w:p w14:paraId="2268DFF4">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2C645B80">
            <w:pPr>
              <w:widowControl/>
              <w:spacing w:after="240"/>
              <w:jc w:val="center"/>
              <w:rPr>
                <w:rFonts w:ascii="Calibri" w:hAnsi="Calibri" w:cs="Calibri"/>
                <w:sz w:val="18"/>
                <w:szCs w:val="18"/>
              </w:rPr>
            </w:pPr>
            <w:r>
              <w:rPr>
                <w:rFonts w:ascii="Calibri" w:hAnsi="Calibri" w:cs="Calibri"/>
                <w:sz w:val="18"/>
                <w:szCs w:val="18"/>
              </w:rPr>
              <w:t>●</w:t>
            </w:r>
          </w:p>
        </w:tc>
      </w:tr>
      <w:tr w14:paraId="1C08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09440BB1">
            <w:pPr>
              <w:widowControl/>
              <w:spacing w:after="240"/>
              <w:jc w:val="center"/>
              <w:rPr>
                <w:rFonts w:ascii="Calibri" w:hAnsi="Calibri" w:cs="Calibri"/>
                <w:sz w:val="18"/>
                <w:szCs w:val="18"/>
              </w:rPr>
            </w:pPr>
            <w:r>
              <w:rPr>
                <w:rFonts w:hint="eastAsia" w:ascii="Calibri" w:hAnsi="Calibri" w:cs="Calibri"/>
                <w:sz w:val="18"/>
                <w:szCs w:val="18"/>
              </w:rPr>
              <w:t>2P</w:t>
            </w:r>
          </w:p>
        </w:tc>
        <w:tc>
          <w:tcPr>
            <w:tcW w:w="3596" w:type="pct"/>
            <w:gridSpan w:val="2"/>
            <w:shd w:val="clear" w:color="auto" w:fill="auto"/>
          </w:tcPr>
          <w:p w14:paraId="12814657">
            <w:pPr>
              <w:widowControl/>
              <w:spacing w:after="240"/>
              <w:rPr>
                <w:rFonts w:ascii="Calibri" w:hAnsi="Calibri" w:cs="Calibri"/>
                <w:sz w:val="18"/>
                <w:szCs w:val="18"/>
              </w:rPr>
            </w:pPr>
            <w:r>
              <w:rPr>
                <w:rFonts w:hint="eastAsia" w:ascii="Calibri" w:hAnsi="Calibri" w:cs="Calibri"/>
                <w:sz w:val="18"/>
                <w:szCs w:val="18"/>
              </w:rPr>
              <w:t>40MPa</w:t>
            </w:r>
          </w:p>
        </w:tc>
        <w:tc>
          <w:tcPr>
            <w:tcW w:w="382" w:type="pct"/>
            <w:shd w:val="clear" w:color="auto" w:fill="auto"/>
            <w:vAlign w:val="center"/>
          </w:tcPr>
          <w:p w14:paraId="04744490">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7B76EA54">
            <w:pPr>
              <w:widowControl/>
              <w:spacing w:after="240"/>
              <w:jc w:val="center"/>
              <w:rPr>
                <w:rFonts w:ascii="Calibri" w:hAnsi="Calibri" w:cs="Calibri"/>
                <w:sz w:val="18"/>
                <w:szCs w:val="18"/>
              </w:rPr>
            </w:pPr>
            <w:r>
              <w:rPr>
                <w:rFonts w:ascii="Calibri" w:hAnsi="Calibri" w:cs="Calibri"/>
                <w:sz w:val="18"/>
                <w:szCs w:val="18"/>
              </w:rPr>
              <w:t>●</w:t>
            </w:r>
          </w:p>
        </w:tc>
      </w:tr>
      <w:tr w14:paraId="2FB5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CCCCCC"/>
            <w:vAlign w:val="center"/>
          </w:tcPr>
          <w:p w14:paraId="0DC40007">
            <w:pPr>
              <w:widowControl/>
              <w:spacing w:after="240"/>
              <w:jc w:val="center"/>
              <w:rPr>
                <w:rFonts w:cstheme="minorHAnsi"/>
                <w:sz w:val="18"/>
                <w:szCs w:val="18"/>
              </w:rPr>
            </w:pPr>
            <w:r>
              <w:rPr>
                <w:rFonts w:cstheme="minorHAnsi"/>
                <w:sz w:val="18"/>
                <w:szCs w:val="18"/>
              </w:rPr>
              <w:t>Code</w:t>
            </w:r>
          </w:p>
        </w:tc>
        <w:tc>
          <w:tcPr>
            <w:tcW w:w="3596" w:type="pct"/>
            <w:gridSpan w:val="2"/>
            <w:shd w:val="clear" w:color="auto" w:fill="CCCCCC"/>
            <w:vAlign w:val="center"/>
          </w:tcPr>
          <w:p w14:paraId="3341D72C">
            <w:pPr>
              <w:widowControl/>
              <w:spacing w:after="240"/>
              <w:jc w:val="center"/>
              <w:rPr>
                <w:rFonts w:cstheme="minorHAnsi"/>
                <w:sz w:val="18"/>
                <w:szCs w:val="18"/>
              </w:rPr>
            </w:pPr>
            <w:r>
              <w:rPr>
                <w:rFonts w:cstheme="minorHAnsi"/>
                <w:sz w:val="18"/>
                <w:szCs w:val="18"/>
              </w:rPr>
              <w:t>Communication protocol</w:t>
            </w:r>
          </w:p>
        </w:tc>
        <w:tc>
          <w:tcPr>
            <w:tcW w:w="382" w:type="pct"/>
            <w:shd w:val="clear" w:color="auto" w:fill="CCCCCC"/>
            <w:vAlign w:val="center"/>
          </w:tcPr>
          <w:p w14:paraId="7FE88986">
            <w:pPr>
              <w:widowControl/>
              <w:spacing w:after="240"/>
              <w:jc w:val="center"/>
              <w:rPr>
                <w:rFonts w:cstheme="minorHAnsi"/>
                <w:sz w:val="18"/>
                <w:szCs w:val="18"/>
              </w:rPr>
            </w:pPr>
            <w:r>
              <w:rPr>
                <w:rFonts w:cstheme="minorHAnsi"/>
                <w:sz w:val="18"/>
                <w:szCs w:val="18"/>
              </w:rPr>
              <w:t>SG</w:t>
            </w:r>
          </w:p>
        </w:tc>
        <w:tc>
          <w:tcPr>
            <w:tcW w:w="381" w:type="pct"/>
            <w:shd w:val="clear" w:color="auto" w:fill="CCCCCC"/>
            <w:vAlign w:val="center"/>
          </w:tcPr>
          <w:p w14:paraId="16F0D204">
            <w:pPr>
              <w:widowControl/>
              <w:spacing w:after="240"/>
              <w:jc w:val="center"/>
              <w:rPr>
                <w:rFonts w:cstheme="minorHAnsi"/>
                <w:sz w:val="18"/>
                <w:szCs w:val="18"/>
              </w:rPr>
            </w:pPr>
            <w:r>
              <w:rPr>
                <w:rFonts w:cstheme="minorHAnsi"/>
                <w:sz w:val="18"/>
                <w:szCs w:val="18"/>
              </w:rPr>
              <w:t>SA</w:t>
            </w:r>
          </w:p>
        </w:tc>
      </w:tr>
      <w:tr w14:paraId="7A13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688DCA8A">
            <w:pPr>
              <w:widowControl/>
              <w:spacing w:after="240"/>
              <w:jc w:val="center"/>
              <w:rPr>
                <w:rFonts w:cstheme="minorHAnsi"/>
                <w:sz w:val="18"/>
                <w:szCs w:val="18"/>
              </w:rPr>
            </w:pPr>
            <w:r>
              <w:rPr>
                <w:rFonts w:cstheme="minorHAnsi"/>
                <w:sz w:val="18"/>
                <w:szCs w:val="18"/>
              </w:rPr>
              <w:t>H</w:t>
            </w:r>
          </w:p>
        </w:tc>
        <w:tc>
          <w:tcPr>
            <w:tcW w:w="3596" w:type="pct"/>
            <w:gridSpan w:val="2"/>
            <w:shd w:val="clear" w:color="auto" w:fill="auto"/>
            <w:vAlign w:val="center"/>
          </w:tcPr>
          <w:p w14:paraId="229FFB82">
            <w:pPr>
              <w:widowControl/>
              <w:spacing w:after="240"/>
              <w:rPr>
                <w:rFonts w:cstheme="minorHAnsi"/>
                <w:sz w:val="18"/>
                <w:szCs w:val="18"/>
              </w:rPr>
            </w:pPr>
            <w:r>
              <w:rPr>
                <w:rFonts w:cstheme="minorHAnsi"/>
                <w:sz w:val="18"/>
                <w:szCs w:val="18"/>
              </w:rPr>
              <w:t>HART</w:t>
            </w:r>
          </w:p>
        </w:tc>
        <w:tc>
          <w:tcPr>
            <w:tcW w:w="382" w:type="pct"/>
            <w:shd w:val="clear" w:color="auto" w:fill="auto"/>
            <w:vAlign w:val="center"/>
          </w:tcPr>
          <w:p w14:paraId="6E8068DD">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4F43E0CB">
            <w:pPr>
              <w:widowControl/>
              <w:spacing w:after="240"/>
              <w:jc w:val="center"/>
              <w:rPr>
                <w:rFonts w:cstheme="minorHAnsi"/>
                <w:sz w:val="18"/>
                <w:szCs w:val="18"/>
              </w:rPr>
            </w:pPr>
            <w:r>
              <w:rPr>
                <w:rFonts w:cstheme="minorHAnsi"/>
                <w:sz w:val="18"/>
                <w:szCs w:val="18"/>
              </w:rPr>
              <w:t>●</w:t>
            </w:r>
          </w:p>
        </w:tc>
      </w:tr>
      <w:tr w14:paraId="3480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5EAD3E32">
            <w:pPr>
              <w:widowControl/>
              <w:spacing w:after="240"/>
              <w:jc w:val="center"/>
              <w:rPr>
                <w:rFonts w:cstheme="minorHAnsi"/>
                <w:sz w:val="18"/>
                <w:szCs w:val="18"/>
              </w:rPr>
            </w:pPr>
            <w:r>
              <w:rPr>
                <w:rFonts w:cstheme="minorHAnsi"/>
                <w:sz w:val="18"/>
                <w:szCs w:val="18"/>
              </w:rPr>
              <w:t>F</w:t>
            </w:r>
          </w:p>
        </w:tc>
        <w:tc>
          <w:tcPr>
            <w:tcW w:w="3596" w:type="pct"/>
            <w:gridSpan w:val="2"/>
            <w:shd w:val="clear" w:color="auto" w:fill="auto"/>
            <w:vAlign w:val="center"/>
          </w:tcPr>
          <w:p w14:paraId="3737FEAC">
            <w:pPr>
              <w:widowControl/>
              <w:spacing w:after="240"/>
              <w:rPr>
                <w:rFonts w:cstheme="minorHAnsi"/>
                <w:sz w:val="18"/>
                <w:szCs w:val="18"/>
              </w:rPr>
            </w:pPr>
            <w:r>
              <w:rPr>
                <w:rFonts w:cstheme="minorHAnsi"/>
                <w:sz w:val="18"/>
                <w:szCs w:val="18"/>
              </w:rPr>
              <w:t>FF</w:t>
            </w:r>
          </w:p>
        </w:tc>
        <w:tc>
          <w:tcPr>
            <w:tcW w:w="382" w:type="pct"/>
            <w:shd w:val="clear" w:color="auto" w:fill="auto"/>
            <w:vAlign w:val="center"/>
          </w:tcPr>
          <w:p w14:paraId="7A31E5A5">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6743F0FC">
            <w:pPr>
              <w:widowControl/>
              <w:spacing w:after="240"/>
              <w:jc w:val="center"/>
              <w:rPr>
                <w:rFonts w:cstheme="minorHAnsi"/>
                <w:sz w:val="18"/>
                <w:szCs w:val="18"/>
              </w:rPr>
            </w:pPr>
            <w:r>
              <w:rPr>
                <w:rFonts w:cstheme="minorHAnsi"/>
                <w:sz w:val="18"/>
                <w:szCs w:val="18"/>
              </w:rPr>
              <w:t>●</w:t>
            </w:r>
          </w:p>
        </w:tc>
      </w:tr>
      <w:tr w14:paraId="5F74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tcBorders>
              <w:bottom w:val="single" w:color="auto" w:sz="4" w:space="0"/>
            </w:tcBorders>
            <w:shd w:val="clear" w:color="auto" w:fill="auto"/>
            <w:vAlign w:val="center"/>
          </w:tcPr>
          <w:p w14:paraId="51D4A144">
            <w:pPr>
              <w:widowControl/>
              <w:spacing w:after="240"/>
              <w:jc w:val="center"/>
              <w:rPr>
                <w:rFonts w:cstheme="minorHAnsi"/>
                <w:sz w:val="18"/>
                <w:szCs w:val="18"/>
              </w:rPr>
            </w:pPr>
            <w:r>
              <w:rPr>
                <w:rFonts w:cstheme="minorHAnsi"/>
                <w:sz w:val="18"/>
                <w:szCs w:val="18"/>
              </w:rPr>
              <w:t>P</w:t>
            </w:r>
          </w:p>
        </w:tc>
        <w:tc>
          <w:tcPr>
            <w:tcW w:w="3596" w:type="pct"/>
            <w:gridSpan w:val="2"/>
            <w:tcBorders>
              <w:bottom w:val="single" w:color="auto" w:sz="4" w:space="0"/>
            </w:tcBorders>
            <w:shd w:val="clear" w:color="auto" w:fill="auto"/>
            <w:vAlign w:val="center"/>
          </w:tcPr>
          <w:p w14:paraId="653B9507">
            <w:pPr>
              <w:widowControl/>
              <w:spacing w:after="240"/>
              <w:rPr>
                <w:rFonts w:cstheme="minorHAnsi"/>
                <w:sz w:val="18"/>
                <w:szCs w:val="18"/>
              </w:rPr>
            </w:pPr>
            <w:r>
              <w:rPr>
                <w:rFonts w:cstheme="minorHAnsi"/>
                <w:sz w:val="18"/>
                <w:szCs w:val="18"/>
              </w:rPr>
              <w:t>PA</w:t>
            </w:r>
          </w:p>
        </w:tc>
        <w:tc>
          <w:tcPr>
            <w:tcW w:w="382" w:type="pct"/>
            <w:tcBorders>
              <w:bottom w:val="single" w:color="auto" w:sz="4" w:space="0"/>
            </w:tcBorders>
            <w:shd w:val="clear" w:color="auto" w:fill="auto"/>
            <w:vAlign w:val="center"/>
          </w:tcPr>
          <w:p w14:paraId="39D119E4">
            <w:pPr>
              <w:widowControl/>
              <w:spacing w:after="240"/>
              <w:jc w:val="center"/>
              <w:rPr>
                <w:rFonts w:cstheme="minorHAnsi"/>
                <w:sz w:val="18"/>
                <w:szCs w:val="18"/>
              </w:rPr>
            </w:pPr>
            <w:r>
              <w:rPr>
                <w:rFonts w:cstheme="minorHAnsi"/>
                <w:sz w:val="18"/>
                <w:szCs w:val="18"/>
              </w:rPr>
              <w:t>●</w:t>
            </w:r>
          </w:p>
        </w:tc>
        <w:tc>
          <w:tcPr>
            <w:tcW w:w="381" w:type="pct"/>
            <w:tcBorders>
              <w:bottom w:val="single" w:color="auto" w:sz="4" w:space="0"/>
            </w:tcBorders>
            <w:shd w:val="clear" w:color="auto" w:fill="auto"/>
            <w:vAlign w:val="center"/>
          </w:tcPr>
          <w:p w14:paraId="25DB0C55">
            <w:pPr>
              <w:widowControl/>
              <w:spacing w:after="240"/>
              <w:jc w:val="center"/>
              <w:rPr>
                <w:rFonts w:cstheme="minorHAnsi"/>
                <w:sz w:val="18"/>
                <w:szCs w:val="18"/>
              </w:rPr>
            </w:pPr>
            <w:r>
              <w:rPr>
                <w:rFonts w:cstheme="minorHAnsi"/>
                <w:sz w:val="18"/>
                <w:szCs w:val="18"/>
              </w:rPr>
              <w:t>●</w:t>
            </w:r>
          </w:p>
        </w:tc>
      </w:tr>
      <w:tr w14:paraId="687C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tcBorders>
              <w:bottom w:val="single" w:color="auto" w:sz="4" w:space="0"/>
            </w:tcBorders>
            <w:shd w:val="clear" w:color="auto" w:fill="auto"/>
            <w:vAlign w:val="center"/>
          </w:tcPr>
          <w:p w14:paraId="216E529A">
            <w:pPr>
              <w:widowControl/>
              <w:spacing w:after="240"/>
              <w:jc w:val="center"/>
              <w:rPr>
                <w:rFonts w:cstheme="minorHAnsi"/>
                <w:sz w:val="18"/>
                <w:szCs w:val="18"/>
              </w:rPr>
            </w:pPr>
            <w:r>
              <w:rPr>
                <w:rFonts w:cstheme="minorHAnsi"/>
                <w:sz w:val="18"/>
                <w:szCs w:val="18"/>
              </w:rPr>
              <w:t>D</w:t>
            </w:r>
          </w:p>
        </w:tc>
        <w:tc>
          <w:tcPr>
            <w:tcW w:w="3596" w:type="pct"/>
            <w:gridSpan w:val="2"/>
            <w:tcBorders>
              <w:bottom w:val="single" w:color="auto" w:sz="4" w:space="0"/>
            </w:tcBorders>
            <w:shd w:val="clear" w:color="auto" w:fill="auto"/>
            <w:vAlign w:val="center"/>
          </w:tcPr>
          <w:p w14:paraId="20638FDA">
            <w:pPr>
              <w:widowControl/>
              <w:spacing w:after="240"/>
              <w:rPr>
                <w:rFonts w:cstheme="minorHAnsi"/>
                <w:sz w:val="18"/>
                <w:szCs w:val="18"/>
              </w:rPr>
            </w:pPr>
            <w:r>
              <w:rPr>
                <w:rFonts w:cstheme="minorHAnsi"/>
                <w:sz w:val="18"/>
                <w:szCs w:val="18"/>
              </w:rPr>
              <w:t>DP</w:t>
            </w:r>
          </w:p>
        </w:tc>
        <w:tc>
          <w:tcPr>
            <w:tcW w:w="382" w:type="pct"/>
            <w:tcBorders>
              <w:bottom w:val="single" w:color="auto" w:sz="4" w:space="0"/>
            </w:tcBorders>
            <w:shd w:val="clear" w:color="auto" w:fill="auto"/>
            <w:vAlign w:val="center"/>
          </w:tcPr>
          <w:p w14:paraId="269250A0">
            <w:pPr>
              <w:widowControl/>
              <w:spacing w:after="240"/>
              <w:jc w:val="center"/>
              <w:rPr>
                <w:rFonts w:cstheme="minorHAnsi"/>
                <w:sz w:val="18"/>
                <w:szCs w:val="18"/>
              </w:rPr>
            </w:pPr>
            <w:r>
              <w:rPr>
                <w:rFonts w:cstheme="minorHAnsi"/>
                <w:sz w:val="18"/>
                <w:szCs w:val="18"/>
              </w:rPr>
              <w:t>●</w:t>
            </w:r>
          </w:p>
        </w:tc>
        <w:tc>
          <w:tcPr>
            <w:tcW w:w="381" w:type="pct"/>
            <w:tcBorders>
              <w:bottom w:val="single" w:color="auto" w:sz="4" w:space="0"/>
            </w:tcBorders>
            <w:shd w:val="clear" w:color="auto" w:fill="auto"/>
            <w:vAlign w:val="center"/>
          </w:tcPr>
          <w:p w14:paraId="562BC6F7">
            <w:pPr>
              <w:widowControl/>
              <w:spacing w:after="240"/>
              <w:jc w:val="center"/>
              <w:rPr>
                <w:rFonts w:cstheme="minorHAnsi"/>
                <w:sz w:val="18"/>
                <w:szCs w:val="18"/>
              </w:rPr>
            </w:pPr>
            <w:r>
              <w:rPr>
                <w:rFonts w:cstheme="minorHAnsi"/>
                <w:sz w:val="18"/>
                <w:szCs w:val="18"/>
              </w:rPr>
              <w:t>●</w:t>
            </w:r>
          </w:p>
        </w:tc>
      </w:tr>
      <w:tr w14:paraId="0BEC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tcBorders>
              <w:bottom w:val="single" w:color="auto" w:sz="4" w:space="0"/>
            </w:tcBorders>
            <w:shd w:val="clear" w:color="auto" w:fill="auto"/>
            <w:vAlign w:val="center"/>
          </w:tcPr>
          <w:p w14:paraId="519752CA">
            <w:pPr>
              <w:widowControl/>
              <w:spacing w:after="240"/>
              <w:jc w:val="center"/>
              <w:rPr>
                <w:rFonts w:cstheme="minorHAnsi"/>
                <w:sz w:val="18"/>
                <w:szCs w:val="18"/>
              </w:rPr>
            </w:pPr>
            <w:r>
              <w:rPr>
                <w:rFonts w:hint="eastAsia" w:ascii="Calibri" w:hAnsi="Calibri" w:cs="Calibri"/>
                <w:sz w:val="18"/>
                <w:szCs w:val="18"/>
              </w:rPr>
              <w:t>W</w:t>
            </w:r>
          </w:p>
        </w:tc>
        <w:tc>
          <w:tcPr>
            <w:tcW w:w="3596" w:type="pct"/>
            <w:gridSpan w:val="2"/>
            <w:tcBorders>
              <w:bottom w:val="single" w:color="auto" w:sz="4" w:space="0"/>
            </w:tcBorders>
            <w:shd w:val="clear" w:color="auto" w:fill="auto"/>
            <w:vAlign w:val="center"/>
          </w:tcPr>
          <w:p w14:paraId="354FF104">
            <w:pPr>
              <w:widowControl/>
              <w:spacing w:after="240"/>
              <w:rPr>
                <w:rFonts w:cstheme="minorHAnsi"/>
                <w:sz w:val="18"/>
                <w:szCs w:val="18"/>
              </w:rPr>
            </w:pPr>
            <w:r>
              <w:rPr>
                <w:rFonts w:ascii="Calibri" w:hAnsi="Calibri" w:cs="Calibri"/>
                <w:sz w:val="18"/>
                <w:szCs w:val="18"/>
              </w:rPr>
              <w:t>WirelessHART</w:t>
            </w:r>
          </w:p>
        </w:tc>
        <w:tc>
          <w:tcPr>
            <w:tcW w:w="382" w:type="pct"/>
            <w:tcBorders>
              <w:bottom w:val="single" w:color="auto" w:sz="4" w:space="0"/>
            </w:tcBorders>
            <w:shd w:val="clear" w:color="auto" w:fill="auto"/>
            <w:vAlign w:val="center"/>
          </w:tcPr>
          <w:p w14:paraId="56DDF3EE">
            <w:pPr>
              <w:widowControl/>
              <w:spacing w:after="240"/>
              <w:jc w:val="center"/>
              <w:rPr>
                <w:rFonts w:cstheme="minorHAnsi"/>
                <w:sz w:val="18"/>
                <w:szCs w:val="18"/>
              </w:rPr>
            </w:pPr>
            <w:r>
              <w:rPr>
                <w:rFonts w:cstheme="minorHAnsi"/>
                <w:sz w:val="18"/>
                <w:szCs w:val="18"/>
              </w:rPr>
              <w:t>●</w:t>
            </w:r>
          </w:p>
        </w:tc>
        <w:tc>
          <w:tcPr>
            <w:tcW w:w="381" w:type="pct"/>
            <w:tcBorders>
              <w:bottom w:val="single" w:color="auto" w:sz="4" w:space="0"/>
            </w:tcBorders>
            <w:shd w:val="clear" w:color="auto" w:fill="auto"/>
            <w:vAlign w:val="center"/>
          </w:tcPr>
          <w:p w14:paraId="1BE3C442">
            <w:pPr>
              <w:widowControl/>
              <w:spacing w:after="240"/>
              <w:jc w:val="center"/>
              <w:rPr>
                <w:rFonts w:cstheme="minorHAnsi"/>
                <w:sz w:val="18"/>
                <w:szCs w:val="18"/>
              </w:rPr>
            </w:pPr>
            <w:r>
              <w:rPr>
                <w:rFonts w:cstheme="minorHAnsi"/>
                <w:sz w:val="18"/>
                <w:szCs w:val="18"/>
              </w:rPr>
              <w:t>●</w:t>
            </w:r>
          </w:p>
        </w:tc>
      </w:tr>
      <w:tr w14:paraId="72497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vMerge w:val="restart"/>
            <w:shd w:val="clear" w:color="auto" w:fill="CCCCCC"/>
            <w:vAlign w:val="center"/>
          </w:tcPr>
          <w:p w14:paraId="196ED120">
            <w:pPr>
              <w:spacing w:after="240"/>
              <w:jc w:val="center"/>
              <w:rPr>
                <w:rFonts w:cstheme="minorHAnsi"/>
                <w:sz w:val="18"/>
                <w:szCs w:val="18"/>
              </w:rPr>
            </w:pPr>
            <w:r>
              <w:rPr>
                <w:rFonts w:cstheme="minorHAnsi"/>
                <w:sz w:val="18"/>
                <w:szCs w:val="18"/>
              </w:rPr>
              <w:t>Code</w:t>
            </w:r>
          </w:p>
        </w:tc>
        <w:tc>
          <w:tcPr>
            <w:tcW w:w="3596" w:type="pct"/>
            <w:gridSpan w:val="2"/>
            <w:tcBorders>
              <w:bottom w:val="single" w:color="auto" w:sz="4" w:space="0"/>
            </w:tcBorders>
            <w:shd w:val="clear" w:color="auto" w:fill="CCCCCC"/>
            <w:vAlign w:val="center"/>
          </w:tcPr>
          <w:p w14:paraId="4B5968F4">
            <w:pPr>
              <w:spacing w:after="240"/>
              <w:jc w:val="center"/>
              <w:rPr>
                <w:rFonts w:cstheme="minorHAnsi"/>
                <w:sz w:val="18"/>
                <w:szCs w:val="18"/>
              </w:rPr>
            </w:pPr>
            <w:r>
              <w:rPr>
                <w:rFonts w:cstheme="minorHAnsi"/>
                <w:sz w:val="18"/>
                <w:szCs w:val="18"/>
              </w:rPr>
              <w:t xml:space="preserve">Process connection material </w:t>
            </w:r>
          </w:p>
        </w:tc>
        <w:tc>
          <w:tcPr>
            <w:tcW w:w="382" w:type="pct"/>
            <w:vMerge w:val="restart"/>
            <w:shd w:val="clear" w:color="auto" w:fill="CCCCCC"/>
            <w:vAlign w:val="center"/>
          </w:tcPr>
          <w:p w14:paraId="401C388D">
            <w:pPr>
              <w:spacing w:after="240"/>
              <w:jc w:val="center"/>
              <w:rPr>
                <w:rFonts w:cstheme="minorHAnsi"/>
                <w:sz w:val="18"/>
                <w:szCs w:val="18"/>
              </w:rPr>
            </w:pPr>
            <w:r>
              <w:rPr>
                <w:rFonts w:cstheme="minorHAnsi"/>
                <w:sz w:val="18"/>
                <w:szCs w:val="18"/>
              </w:rPr>
              <w:t>SG</w:t>
            </w:r>
          </w:p>
        </w:tc>
        <w:tc>
          <w:tcPr>
            <w:tcW w:w="381" w:type="pct"/>
            <w:vMerge w:val="restart"/>
            <w:shd w:val="clear" w:color="auto" w:fill="CCCCCC"/>
            <w:vAlign w:val="center"/>
          </w:tcPr>
          <w:p w14:paraId="15B23FE2">
            <w:pPr>
              <w:spacing w:after="240"/>
              <w:jc w:val="center"/>
              <w:rPr>
                <w:rFonts w:cstheme="minorHAnsi"/>
                <w:sz w:val="18"/>
                <w:szCs w:val="18"/>
              </w:rPr>
            </w:pPr>
            <w:r>
              <w:rPr>
                <w:rFonts w:cstheme="minorHAnsi"/>
                <w:sz w:val="18"/>
                <w:szCs w:val="18"/>
              </w:rPr>
              <w:t>SA</w:t>
            </w:r>
          </w:p>
        </w:tc>
      </w:tr>
      <w:tr w14:paraId="0396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vMerge w:val="continue"/>
            <w:shd w:val="clear" w:color="auto" w:fill="auto"/>
            <w:vAlign w:val="center"/>
          </w:tcPr>
          <w:p w14:paraId="08B0B06E">
            <w:pPr>
              <w:spacing w:after="240"/>
              <w:jc w:val="center"/>
              <w:rPr>
                <w:rFonts w:cstheme="minorHAnsi"/>
                <w:sz w:val="18"/>
                <w:szCs w:val="18"/>
              </w:rPr>
            </w:pPr>
          </w:p>
        </w:tc>
        <w:tc>
          <w:tcPr>
            <w:tcW w:w="3596" w:type="pct"/>
            <w:gridSpan w:val="2"/>
            <w:shd w:val="clear" w:color="auto" w:fill="CCCCCC"/>
            <w:vAlign w:val="center"/>
          </w:tcPr>
          <w:p w14:paraId="7D6D2713">
            <w:pPr>
              <w:spacing w:after="240"/>
              <w:jc w:val="center"/>
              <w:rPr>
                <w:rFonts w:cstheme="minorHAnsi"/>
                <w:sz w:val="18"/>
                <w:szCs w:val="18"/>
              </w:rPr>
            </w:pPr>
            <w:r>
              <w:rPr>
                <w:rFonts w:cstheme="minorHAnsi"/>
                <w:sz w:val="18"/>
                <w:szCs w:val="18"/>
              </w:rPr>
              <w:t>Thread, built-in diaphragm material</w:t>
            </w:r>
          </w:p>
        </w:tc>
        <w:tc>
          <w:tcPr>
            <w:tcW w:w="382" w:type="pct"/>
            <w:vMerge w:val="continue"/>
            <w:shd w:val="clear" w:color="auto" w:fill="auto"/>
            <w:vAlign w:val="center"/>
          </w:tcPr>
          <w:p w14:paraId="5F81102B">
            <w:pPr>
              <w:widowControl/>
              <w:spacing w:after="240"/>
              <w:jc w:val="center"/>
              <w:rPr>
                <w:rFonts w:cstheme="minorHAnsi"/>
                <w:sz w:val="18"/>
                <w:szCs w:val="18"/>
              </w:rPr>
            </w:pPr>
          </w:p>
        </w:tc>
        <w:tc>
          <w:tcPr>
            <w:tcW w:w="381" w:type="pct"/>
            <w:vMerge w:val="continue"/>
            <w:shd w:val="clear" w:color="auto" w:fill="auto"/>
            <w:vAlign w:val="center"/>
          </w:tcPr>
          <w:p w14:paraId="75561CA8">
            <w:pPr>
              <w:widowControl/>
              <w:spacing w:after="240"/>
              <w:jc w:val="center"/>
              <w:rPr>
                <w:rFonts w:cstheme="minorHAnsi"/>
                <w:sz w:val="18"/>
                <w:szCs w:val="18"/>
              </w:rPr>
            </w:pPr>
          </w:p>
        </w:tc>
      </w:tr>
      <w:tr w14:paraId="2267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3826D8EC">
            <w:pPr>
              <w:spacing w:after="240"/>
              <w:jc w:val="center"/>
              <w:rPr>
                <w:rFonts w:cstheme="minorHAnsi"/>
                <w:sz w:val="18"/>
                <w:szCs w:val="18"/>
              </w:rPr>
            </w:pPr>
            <w:r>
              <w:rPr>
                <w:rFonts w:cstheme="minorHAnsi"/>
                <w:sz w:val="18"/>
                <w:szCs w:val="18"/>
              </w:rPr>
              <w:t>GA</w:t>
            </w:r>
          </w:p>
        </w:tc>
        <w:tc>
          <w:tcPr>
            <w:tcW w:w="3596" w:type="pct"/>
            <w:gridSpan w:val="2"/>
            <w:tcBorders>
              <w:top w:val="single" w:color="auto" w:sz="4" w:space="0"/>
              <w:left w:val="single" w:color="auto" w:sz="4" w:space="0"/>
              <w:bottom w:val="single" w:color="auto" w:sz="4" w:space="0"/>
              <w:right w:val="single" w:color="auto" w:sz="4" w:space="0"/>
            </w:tcBorders>
            <w:vAlign w:val="center"/>
          </w:tcPr>
          <w:p w14:paraId="455CB7E4">
            <w:pPr>
              <w:spacing w:after="240"/>
              <w:rPr>
                <w:rFonts w:cstheme="minorHAnsi"/>
                <w:sz w:val="18"/>
                <w:szCs w:val="18"/>
              </w:rPr>
            </w:pPr>
            <w:r>
              <w:rPr>
                <w:rFonts w:cstheme="minorHAnsi"/>
                <w:sz w:val="18"/>
                <w:szCs w:val="18"/>
              </w:rPr>
              <w:t>M20*1.5 male</w:t>
            </w:r>
          </w:p>
        </w:tc>
        <w:tc>
          <w:tcPr>
            <w:tcW w:w="382" w:type="pct"/>
            <w:shd w:val="clear" w:color="auto" w:fill="auto"/>
            <w:vAlign w:val="center"/>
          </w:tcPr>
          <w:p w14:paraId="11077DB9">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676ED827">
            <w:pPr>
              <w:widowControl/>
              <w:spacing w:after="240"/>
              <w:jc w:val="center"/>
              <w:rPr>
                <w:rFonts w:cstheme="minorHAnsi"/>
                <w:sz w:val="18"/>
                <w:szCs w:val="18"/>
              </w:rPr>
            </w:pPr>
            <w:r>
              <w:rPr>
                <w:rFonts w:cstheme="minorHAnsi"/>
                <w:sz w:val="18"/>
                <w:szCs w:val="18"/>
              </w:rPr>
              <w:t>●</w:t>
            </w:r>
          </w:p>
        </w:tc>
      </w:tr>
      <w:tr w14:paraId="1722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6F412CAA">
            <w:pPr>
              <w:widowControl/>
              <w:spacing w:after="240"/>
              <w:jc w:val="center"/>
              <w:rPr>
                <w:rFonts w:cstheme="minorHAnsi"/>
                <w:sz w:val="18"/>
                <w:szCs w:val="18"/>
              </w:rPr>
            </w:pPr>
            <w:r>
              <w:rPr>
                <w:rFonts w:cstheme="minorHAnsi"/>
                <w:sz w:val="18"/>
                <w:szCs w:val="18"/>
              </w:rPr>
              <w:t>GB</w:t>
            </w:r>
          </w:p>
        </w:tc>
        <w:tc>
          <w:tcPr>
            <w:tcW w:w="3596" w:type="pct"/>
            <w:gridSpan w:val="2"/>
            <w:tcBorders>
              <w:top w:val="single" w:color="auto" w:sz="4" w:space="0"/>
              <w:left w:val="single" w:color="auto" w:sz="4" w:space="0"/>
              <w:bottom w:val="single" w:color="auto" w:sz="4" w:space="0"/>
              <w:right w:val="single" w:color="auto" w:sz="4" w:space="0"/>
            </w:tcBorders>
            <w:vAlign w:val="center"/>
          </w:tcPr>
          <w:p w14:paraId="325B76B6">
            <w:pPr>
              <w:widowControl/>
              <w:spacing w:after="240"/>
              <w:rPr>
                <w:rFonts w:cstheme="minorHAnsi"/>
                <w:sz w:val="18"/>
                <w:szCs w:val="18"/>
              </w:rPr>
            </w:pPr>
            <w:r>
              <w:rPr>
                <w:rFonts w:cstheme="minorHAnsi"/>
                <w:sz w:val="18"/>
                <w:szCs w:val="18"/>
              </w:rPr>
              <w:t>G1/2 male</w:t>
            </w:r>
          </w:p>
        </w:tc>
        <w:tc>
          <w:tcPr>
            <w:tcW w:w="382" w:type="pct"/>
            <w:shd w:val="clear" w:color="auto" w:fill="auto"/>
            <w:vAlign w:val="center"/>
          </w:tcPr>
          <w:p w14:paraId="79E5EED1">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0507CBCE">
            <w:pPr>
              <w:widowControl/>
              <w:spacing w:after="240"/>
              <w:jc w:val="center"/>
              <w:rPr>
                <w:rFonts w:cstheme="minorHAnsi"/>
                <w:sz w:val="18"/>
                <w:szCs w:val="18"/>
              </w:rPr>
            </w:pPr>
            <w:r>
              <w:rPr>
                <w:rFonts w:cstheme="minorHAnsi"/>
                <w:sz w:val="18"/>
                <w:szCs w:val="18"/>
              </w:rPr>
              <w:t>●</w:t>
            </w:r>
          </w:p>
        </w:tc>
      </w:tr>
      <w:tr w14:paraId="504E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18CA506E">
            <w:pPr>
              <w:widowControl/>
              <w:spacing w:after="240"/>
              <w:jc w:val="center"/>
              <w:rPr>
                <w:rFonts w:cstheme="minorHAnsi"/>
                <w:sz w:val="18"/>
                <w:szCs w:val="18"/>
              </w:rPr>
            </w:pPr>
            <w:r>
              <w:rPr>
                <w:rFonts w:cstheme="minorHAnsi"/>
                <w:sz w:val="18"/>
                <w:szCs w:val="18"/>
              </w:rPr>
              <w:t>GC</w:t>
            </w:r>
          </w:p>
        </w:tc>
        <w:tc>
          <w:tcPr>
            <w:tcW w:w="3596" w:type="pct"/>
            <w:gridSpan w:val="2"/>
            <w:tcBorders>
              <w:top w:val="single" w:color="auto" w:sz="4" w:space="0"/>
              <w:left w:val="single" w:color="auto" w:sz="4" w:space="0"/>
              <w:bottom w:val="single" w:color="auto" w:sz="4" w:space="0"/>
              <w:right w:val="single" w:color="auto" w:sz="4" w:space="0"/>
            </w:tcBorders>
            <w:vAlign w:val="center"/>
          </w:tcPr>
          <w:p w14:paraId="247C462F">
            <w:pPr>
              <w:widowControl/>
              <w:spacing w:after="240"/>
              <w:rPr>
                <w:rFonts w:cstheme="minorHAnsi"/>
                <w:sz w:val="18"/>
                <w:szCs w:val="18"/>
              </w:rPr>
            </w:pPr>
            <w:r>
              <w:rPr>
                <w:rFonts w:cstheme="minorHAnsi"/>
                <w:sz w:val="18"/>
                <w:szCs w:val="18"/>
              </w:rPr>
              <w:t>G1/4 male</w:t>
            </w:r>
          </w:p>
        </w:tc>
        <w:tc>
          <w:tcPr>
            <w:tcW w:w="382" w:type="pct"/>
            <w:shd w:val="clear" w:color="auto" w:fill="auto"/>
            <w:vAlign w:val="center"/>
          </w:tcPr>
          <w:p w14:paraId="4E9D31B8">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7F8945F8">
            <w:pPr>
              <w:widowControl/>
              <w:spacing w:after="240"/>
              <w:jc w:val="center"/>
              <w:rPr>
                <w:rFonts w:cstheme="minorHAnsi"/>
                <w:sz w:val="18"/>
                <w:szCs w:val="18"/>
              </w:rPr>
            </w:pPr>
            <w:r>
              <w:rPr>
                <w:rFonts w:cstheme="minorHAnsi"/>
                <w:sz w:val="18"/>
                <w:szCs w:val="18"/>
              </w:rPr>
              <w:t>●</w:t>
            </w:r>
          </w:p>
        </w:tc>
      </w:tr>
      <w:tr w14:paraId="718F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61D5E07E">
            <w:pPr>
              <w:widowControl/>
              <w:spacing w:after="240"/>
              <w:jc w:val="center"/>
              <w:rPr>
                <w:rFonts w:cstheme="minorHAnsi"/>
                <w:sz w:val="18"/>
                <w:szCs w:val="18"/>
              </w:rPr>
            </w:pPr>
            <w:r>
              <w:rPr>
                <w:rFonts w:cstheme="minorHAnsi"/>
                <w:sz w:val="18"/>
                <w:szCs w:val="18"/>
              </w:rPr>
              <w:t>GE</w:t>
            </w:r>
          </w:p>
        </w:tc>
        <w:tc>
          <w:tcPr>
            <w:tcW w:w="3596" w:type="pct"/>
            <w:gridSpan w:val="2"/>
            <w:tcBorders>
              <w:top w:val="single" w:color="auto" w:sz="4" w:space="0"/>
              <w:left w:val="single" w:color="auto" w:sz="4" w:space="0"/>
              <w:bottom w:val="single" w:color="auto" w:sz="4" w:space="0"/>
              <w:right w:val="single" w:color="auto" w:sz="4" w:space="0"/>
            </w:tcBorders>
            <w:vAlign w:val="center"/>
          </w:tcPr>
          <w:p w14:paraId="65123503">
            <w:pPr>
              <w:widowControl/>
              <w:spacing w:after="240"/>
              <w:rPr>
                <w:rFonts w:ascii="Calibri" w:hAnsi="Calibri" w:cs="Calibri"/>
                <w:sz w:val="18"/>
                <w:szCs w:val="18"/>
              </w:rPr>
            </w:pPr>
            <w:r>
              <w:rPr>
                <w:sz w:val="18"/>
                <w:szCs w:val="18"/>
              </w:rPr>
              <w:t xml:space="preserve">1/2-14NPT </w:t>
            </w:r>
            <w:r>
              <w:rPr>
                <w:rFonts w:cstheme="minorHAnsi"/>
                <w:sz w:val="18"/>
                <w:szCs w:val="18"/>
              </w:rPr>
              <w:t>male</w:t>
            </w:r>
          </w:p>
        </w:tc>
        <w:tc>
          <w:tcPr>
            <w:tcW w:w="382" w:type="pct"/>
            <w:shd w:val="clear" w:color="auto" w:fill="auto"/>
            <w:vAlign w:val="center"/>
          </w:tcPr>
          <w:p w14:paraId="06889BDF">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41D05D14">
            <w:pPr>
              <w:widowControl/>
              <w:spacing w:after="240"/>
              <w:jc w:val="center"/>
              <w:rPr>
                <w:rFonts w:cstheme="minorHAnsi"/>
                <w:sz w:val="18"/>
                <w:szCs w:val="18"/>
              </w:rPr>
            </w:pPr>
            <w:r>
              <w:rPr>
                <w:rFonts w:cstheme="minorHAnsi"/>
                <w:sz w:val="18"/>
                <w:szCs w:val="18"/>
              </w:rPr>
              <w:t>●</w:t>
            </w:r>
          </w:p>
        </w:tc>
      </w:tr>
      <w:tr w14:paraId="2BEC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2E5636F7">
            <w:pPr>
              <w:widowControl/>
              <w:spacing w:after="240"/>
              <w:jc w:val="center"/>
              <w:rPr>
                <w:rFonts w:cstheme="minorHAnsi"/>
                <w:sz w:val="18"/>
                <w:szCs w:val="18"/>
              </w:rPr>
            </w:pPr>
            <w:r>
              <w:rPr>
                <w:rFonts w:cstheme="minorHAnsi"/>
                <w:sz w:val="18"/>
                <w:szCs w:val="18"/>
              </w:rPr>
              <w:t>GF</w:t>
            </w:r>
          </w:p>
        </w:tc>
        <w:tc>
          <w:tcPr>
            <w:tcW w:w="3596" w:type="pct"/>
            <w:gridSpan w:val="2"/>
            <w:tcBorders>
              <w:top w:val="single" w:color="auto" w:sz="4" w:space="0"/>
              <w:left w:val="single" w:color="auto" w:sz="4" w:space="0"/>
              <w:bottom w:val="single" w:color="auto" w:sz="4" w:space="0"/>
              <w:right w:val="single" w:color="auto" w:sz="4" w:space="0"/>
            </w:tcBorders>
            <w:vAlign w:val="center"/>
          </w:tcPr>
          <w:p w14:paraId="3C876AC9">
            <w:pPr>
              <w:widowControl/>
              <w:spacing w:after="240"/>
              <w:rPr>
                <w:rFonts w:ascii="Calibri" w:hAnsi="Calibri" w:cs="Calibri"/>
                <w:sz w:val="18"/>
                <w:szCs w:val="18"/>
              </w:rPr>
            </w:pPr>
            <w:r>
              <w:rPr>
                <w:sz w:val="18"/>
                <w:szCs w:val="18"/>
              </w:rPr>
              <w:t>1/4-18NPT</w:t>
            </w:r>
            <w:r>
              <w:rPr>
                <w:rFonts w:hint="eastAsia"/>
                <w:sz w:val="18"/>
                <w:szCs w:val="18"/>
              </w:rPr>
              <w:t xml:space="preserve"> </w:t>
            </w:r>
            <w:r>
              <w:rPr>
                <w:rFonts w:cstheme="minorHAnsi"/>
                <w:sz w:val="18"/>
                <w:szCs w:val="18"/>
              </w:rPr>
              <w:t>male</w:t>
            </w:r>
          </w:p>
        </w:tc>
        <w:tc>
          <w:tcPr>
            <w:tcW w:w="382" w:type="pct"/>
            <w:shd w:val="clear" w:color="auto" w:fill="auto"/>
            <w:vAlign w:val="center"/>
          </w:tcPr>
          <w:p w14:paraId="32187EAE">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70C0B4FF">
            <w:pPr>
              <w:widowControl/>
              <w:spacing w:after="240"/>
              <w:jc w:val="center"/>
              <w:rPr>
                <w:rFonts w:cstheme="minorHAnsi"/>
                <w:sz w:val="18"/>
                <w:szCs w:val="18"/>
              </w:rPr>
            </w:pPr>
            <w:r>
              <w:rPr>
                <w:rFonts w:cstheme="minorHAnsi"/>
                <w:sz w:val="18"/>
                <w:szCs w:val="18"/>
              </w:rPr>
              <w:t>●</w:t>
            </w:r>
          </w:p>
        </w:tc>
      </w:tr>
      <w:tr w14:paraId="21FB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2C2B7C3D">
            <w:pPr>
              <w:widowControl/>
              <w:spacing w:after="240"/>
              <w:jc w:val="center"/>
              <w:rPr>
                <w:rFonts w:cstheme="minorHAnsi"/>
                <w:sz w:val="18"/>
                <w:szCs w:val="18"/>
              </w:rPr>
            </w:pPr>
            <w:r>
              <w:rPr>
                <w:rFonts w:cstheme="minorHAnsi"/>
                <w:sz w:val="18"/>
                <w:szCs w:val="18"/>
              </w:rPr>
              <w:t>GG</w:t>
            </w:r>
          </w:p>
        </w:tc>
        <w:tc>
          <w:tcPr>
            <w:tcW w:w="3596" w:type="pct"/>
            <w:gridSpan w:val="2"/>
            <w:tcBorders>
              <w:top w:val="single" w:color="auto" w:sz="4" w:space="0"/>
              <w:left w:val="single" w:color="auto" w:sz="4" w:space="0"/>
              <w:bottom w:val="single" w:color="auto" w:sz="4" w:space="0"/>
              <w:right w:val="single" w:color="auto" w:sz="4" w:space="0"/>
            </w:tcBorders>
            <w:vAlign w:val="center"/>
          </w:tcPr>
          <w:p w14:paraId="1B4A0821">
            <w:pPr>
              <w:widowControl/>
              <w:spacing w:after="240"/>
              <w:rPr>
                <w:rFonts w:ascii="Calibri" w:hAnsi="Calibri" w:cs="Calibri"/>
                <w:sz w:val="18"/>
                <w:szCs w:val="18"/>
              </w:rPr>
            </w:pPr>
            <w:r>
              <w:rPr>
                <w:sz w:val="18"/>
                <w:szCs w:val="18"/>
              </w:rPr>
              <w:t>1/2-14NPT</w:t>
            </w:r>
            <w:r>
              <w:rPr>
                <w:rFonts w:hint="eastAsia"/>
                <w:sz w:val="18"/>
                <w:szCs w:val="18"/>
              </w:rPr>
              <w:t xml:space="preserve"> fe</w:t>
            </w:r>
            <w:r>
              <w:rPr>
                <w:rFonts w:cstheme="minorHAnsi"/>
                <w:sz w:val="18"/>
                <w:szCs w:val="18"/>
              </w:rPr>
              <w:t>male</w:t>
            </w:r>
          </w:p>
        </w:tc>
        <w:tc>
          <w:tcPr>
            <w:tcW w:w="382" w:type="pct"/>
            <w:shd w:val="clear" w:color="auto" w:fill="auto"/>
            <w:vAlign w:val="center"/>
          </w:tcPr>
          <w:p w14:paraId="022696E9">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1D780F9C">
            <w:pPr>
              <w:widowControl/>
              <w:spacing w:after="240"/>
              <w:jc w:val="center"/>
              <w:rPr>
                <w:rFonts w:cstheme="minorHAnsi"/>
                <w:sz w:val="18"/>
                <w:szCs w:val="18"/>
              </w:rPr>
            </w:pPr>
            <w:r>
              <w:rPr>
                <w:rFonts w:cstheme="minorHAnsi"/>
                <w:sz w:val="18"/>
                <w:szCs w:val="18"/>
              </w:rPr>
              <w:t>●</w:t>
            </w:r>
          </w:p>
        </w:tc>
      </w:tr>
      <w:tr w14:paraId="1BDA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4C17877A">
            <w:pPr>
              <w:widowControl/>
              <w:spacing w:after="240"/>
              <w:jc w:val="center"/>
              <w:rPr>
                <w:rFonts w:cstheme="minorHAnsi"/>
                <w:sz w:val="18"/>
                <w:szCs w:val="18"/>
              </w:rPr>
            </w:pPr>
            <w:r>
              <w:rPr>
                <w:rFonts w:cstheme="minorHAnsi"/>
                <w:sz w:val="18"/>
                <w:szCs w:val="18"/>
              </w:rPr>
              <w:t>GH</w:t>
            </w:r>
          </w:p>
        </w:tc>
        <w:tc>
          <w:tcPr>
            <w:tcW w:w="3596" w:type="pct"/>
            <w:gridSpan w:val="2"/>
            <w:tcBorders>
              <w:top w:val="single" w:color="auto" w:sz="4" w:space="0"/>
              <w:left w:val="single" w:color="auto" w:sz="4" w:space="0"/>
              <w:bottom w:val="single" w:color="auto" w:sz="4" w:space="0"/>
              <w:right w:val="single" w:color="auto" w:sz="4" w:space="0"/>
            </w:tcBorders>
            <w:vAlign w:val="center"/>
          </w:tcPr>
          <w:p w14:paraId="3DB526A4">
            <w:pPr>
              <w:widowControl/>
              <w:spacing w:after="240"/>
              <w:rPr>
                <w:rFonts w:ascii="Calibri" w:hAnsi="Calibri" w:cs="Calibri"/>
                <w:sz w:val="18"/>
                <w:szCs w:val="18"/>
              </w:rPr>
            </w:pPr>
            <w:r>
              <w:rPr>
                <w:sz w:val="18"/>
                <w:szCs w:val="18"/>
              </w:rPr>
              <w:t>1/4-18NPT</w:t>
            </w:r>
            <w:r>
              <w:rPr>
                <w:rFonts w:hint="eastAsia"/>
                <w:sz w:val="18"/>
                <w:szCs w:val="18"/>
              </w:rPr>
              <w:t xml:space="preserve"> fe</w:t>
            </w:r>
            <w:r>
              <w:rPr>
                <w:rFonts w:cstheme="minorHAnsi"/>
                <w:sz w:val="18"/>
                <w:szCs w:val="18"/>
              </w:rPr>
              <w:t>male</w:t>
            </w:r>
          </w:p>
        </w:tc>
        <w:tc>
          <w:tcPr>
            <w:tcW w:w="382" w:type="pct"/>
            <w:shd w:val="clear" w:color="auto" w:fill="auto"/>
            <w:vAlign w:val="center"/>
          </w:tcPr>
          <w:p w14:paraId="69983AD1">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10154A95">
            <w:pPr>
              <w:widowControl/>
              <w:spacing w:after="240"/>
              <w:jc w:val="center"/>
              <w:rPr>
                <w:rFonts w:cstheme="minorHAnsi"/>
                <w:sz w:val="18"/>
                <w:szCs w:val="18"/>
              </w:rPr>
            </w:pPr>
            <w:r>
              <w:rPr>
                <w:rFonts w:cstheme="minorHAnsi"/>
                <w:sz w:val="18"/>
                <w:szCs w:val="18"/>
              </w:rPr>
              <w:t>●</w:t>
            </w:r>
          </w:p>
        </w:tc>
      </w:tr>
      <w:tr w14:paraId="468D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trPr>
        <w:tc>
          <w:tcPr>
            <w:tcW w:w="641" w:type="pct"/>
            <w:shd w:val="clear" w:color="auto" w:fill="auto"/>
            <w:vAlign w:val="center"/>
          </w:tcPr>
          <w:p w14:paraId="750FB537">
            <w:pPr>
              <w:widowControl/>
              <w:spacing w:after="240"/>
              <w:jc w:val="center"/>
              <w:rPr>
                <w:rFonts w:cstheme="minorHAnsi"/>
                <w:sz w:val="18"/>
                <w:szCs w:val="18"/>
              </w:rPr>
            </w:pPr>
            <w:r>
              <w:rPr>
                <w:rFonts w:hint="eastAsia" w:cstheme="minorHAnsi"/>
                <w:sz w:val="18"/>
                <w:szCs w:val="18"/>
              </w:rPr>
              <w:t>Note</w:t>
            </w:r>
          </w:p>
        </w:tc>
        <w:tc>
          <w:tcPr>
            <w:tcW w:w="4359" w:type="pct"/>
            <w:gridSpan w:val="4"/>
            <w:tcBorders>
              <w:top w:val="single" w:color="auto" w:sz="4" w:space="0"/>
              <w:left w:val="single" w:color="auto" w:sz="4" w:space="0"/>
              <w:bottom w:val="single" w:color="auto" w:sz="4" w:space="0"/>
            </w:tcBorders>
            <w:vAlign w:val="center"/>
          </w:tcPr>
          <w:p w14:paraId="0DA67970">
            <w:pPr>
              <w:widowControl/>
              <w:spacing w:after="240"/>
              <w:jc w:val="left"/>
              <w:rPr>
                <w:rFonts w:cstheme="minorHAnsi"/>
                <w:sz w:val="18"/>
                <w:szCs w:val="18"/>
              </w:rPr>
            </w:pPr>
            <w:r>
              <w:rPr>
                <w:sz w:val="18"/>
                <w:szCs w:val="18"/>
              </w:rPr>
              <w:t>When selecting external threads, the pressure inlet diameter is 10mm. If other sizes are required, please contact us.</w:t>
            </w:r>
          </w:p>
        </w:tc>
      </w:tr>
      <w:tr w14:paraId="7DC5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CCCCCC"/>
            <w:vAlign w:val="center"/>
          </w:tcPr>
          <w:p w14:paraId="37607B12">
            <w:pPr>
              <w:spacing w:after="240"/>
              <w:jc w:val="center"/>
              <w:rPr>
                <w:rFonts w:cstheme="minorHAnsi"/>
                <w:sz w:val="18"/>
                <w:szCs w:val="18"/>
              </w:rPr>
            </w:pPr>
            <w:r>
              <w:rPr>
                <w:rFonts w:cstheme="minorHAnsi"/>
                <w:sz w:val="18"/>
                <w:szCs w:val="18"/>
              </w:rPr>
              <w:t>Code</w:t>
            </w:r>
          </w:p>
        </w:tc>
        <w:tc>
          <w:tcPr>
            <w:tcW w:w="3596" w:type="pct"/>
            <w:gridSpan w:val="2"/>
            <w:shd w:val="clear" w:color="auto" w:fill="CCCCCC"/>
            <w:vAlign w:val="center"/>
          </w:tcPr>
          <w:p w14:paraId="0B5E231B">
            <w:pPr>
              <w:spacing w:after="240"/>
              <w:jc w:val="center"/>
              <w:rPr>
                <w:rFonts w:cstheme="minorHAnsi"/>
                <w:sz w:val="18"/>
                <w:szCs w:val="18"/>
              </w:rPr>
            </w:pPr>
            <w:r>
              <w:rPr>
                <w:rFonts w:hint="eastAsia" w:cstheme="minorHAnsi"/>
                <w:sz w:val="18"/>
                <w:szCs w:val="18"/>
              </w:rPr>
              <w:t>MOC</w:t>
            </w:r>
          </w:p>
        </w:tc>
        <w:tc>
          <w:tcPr>
            <w:tcW w:w="382" w:type="pct"/>
            <w:shd w:val="clear" w:color="auto" w:fill="CCCCCC"/>
            <w:vAlign w:val="center"/>
          </w:tcPr>
          <w:p w14:paraId="357573D0">
            <w:pPr>
              <w:widowControl/>
              <w:spacing w:after="240"/>
              <w:jc w:val="center"/>
              <w:rPr>
                <w:rFonts w:cstheme="minorHAnsi"/>
                <w:sz w:val="18"/>
                <w:szCs w:val="18"/>
              </w:rPr>
            </w:pPr>
            <w:r>
              <w:rPr>
                <w:rFonts w:cstheme="minorHAnsi"/>
                <w:sz w:val="18"/>
                <w:szCs w:val="18"/>
              </w:rPr>
              <w:t>SG</w:t>
            </w:r>
          </w:p>
        </w:tc>
        <w:tc>
          <w:tcPr>
            <w:tcW w:w="381" w:type="pct"/>
            <w:shd w:val="clear" w:color="auto" w:fill="CCCCCC"/>
            <w:vAlign w:val="center"/>
          </w:tcPr>
          <w:p w14:paraId="75E8C475">
            <w:pPr>
              <w:widowControl/>
              <w:spacing w:after="240"/>
              <w:jc w:val="center"/>
              <w:rPr>
                <w:rFonts w:cstheme="minorHAnsi"/>
                <w:sz w:val="18"/>
                <w:szCs w:val="18"/>
              </w:rPr>
            </w:pPr>
            <w:r>
              <w:rPr>
                <w:rFonts w:cstheme="minorHAnsi"/>
                <w:sz w:val="18"/>
                <w:szCs w:val="18"/>
              </w:rPr>
              <w:t>SA</w:t>
            </w:r>
          </w:p>
        </w:tc>
      </w:tr>
      <w:tr w14:paraId="27E0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23363C56">
            <w:pPr>
              <w:spacing w:after="240"/>
              <w:jc w:val="center"/>
              <w:rPr>
                <w:rFonts w:cstheme="minorHAnsi"/>
                <w:sz w:val="18"/>
                <w:szCs w:val="18"/>
              </w:rPr>
            </w:pPr>
            <w:r>
              <w:rPr>
                <w:rFonts w:cstheme="minorHAnsi"/>
                <w:sz w:val="18"/>
                <w:szCs w:val="18"/>
              </w:rPr>
              <w:t>A</w:t>
            </w:r>
          </w:p>
        </w:tc>
        <w:tc>
          <w:tcPr>
            <w:tcW w:w="3596" w:type="pct"/>
            <w:gridSpan w:val="2"/>
            <w:shd w:val="clear" w:color="auto" w:fill="auto"/>
            <w:vAlign w:val="center"/>
          </w:tcPr>
          <w:p w14:paraId="72B57C31">
            <w:pPr>
              <w:widowControl/>
              <w:spacing w:after="240"/>
              <w:rPr>
                <w:rFonts w:cstheme="minorHAnsi"/>
                <w:sz w:val="18"/>
                <w:szCs w:val="18"/>
              </w:rPr>
            </w:pPr>
            <w:r>
              <w:rPr>
                <w:rFonts w:cstheme="minorHAnsi"/>
                <w:sz w:val="18"/>
                <w:szCs w:val="18"/>
              </w:rPr>
              <w:t>SS316</w:t>
            </w:r>
            <w:r>
              <w:rPr>
                <w:rFonts w:hint="eastAsia" w:cstheme="minorHAnsi"/>
                <w:sz w:val="18"/>
                <w:szCs w:val="18"/>
              </w:rPr>
              <w:t>L</w:t>
            </w:r>
          </w:p>
        </w:tc>
        <w:tc>
          <w:tcPr>
            <w:tcW w:w="382" w:type="pct"/>
            <w:shd w:val="clear" w:color="auto" w:fill="auto"/>
            <w:vAlign w:val="center"/>
          </w:tcPr>
          <w:p w14:paraId="376A528C">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04ED8A52">
            <w:pPr>
              <w:widowControl/>
              <w:spacing w:after="240"/>
              <w:jc w:val="center"/>
              <w:rPr>
                <w:rFonts w:cstheme="minorHAnsi"/>
                <w:sz w:val="18"/>
                <w:szCs w:val="18"/>
              </w:rPr>
            </w:pPr>
            <w:r>
              <w:rPr>
                <w:rFonts w:cstheme="minorHAnsi"/>
                <w:sz w:val="18"/>
                <w:szCs w:val="18"/>
              </w:rPr>
              <w:t>●</w:t>
            </w:r>
          </w:p>
        </w:tc>
      </w:tr>
      <w:tr w14:paraId="08EB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5E4CCC28">
            <w:pPr>
              <w:spacing w:after="240"/>
              <w:jc w:val="center"/>
              <w:rPr>
                <w:rFonts w:cstheme="minorHAnsi"/>
                <w:sz w:val="18"/>
                <w:szCs w:val="18"/>
              </w:rPr>
            </w:pPr>
            <w:r>
              <w:rPr>
                <w:rFonts w:hint="eastAsia" w:cstheme="minorHAnsi"/>
                <w:sz w:val="18"/>
                <w:szCs w:val="18"/>
              </w:rPr>
              <w:t>B</w:t>
            </w:r>
            <w:r>
              <w:rPr>
                <w:rFonts w:cstheme="minorHAnsi"/>
                <w:sz w:val="18"/>
                <w:szCs w:val="18"/>
              </w:rPr>
              <w:t xml:space="preserve"> </w:t>
            </w:r>
          </w:p>
        </w:tc>
        <w:tc>
          <w:tcPr>
            <w:tcW w:w="3596" w:type="pct"/>
            <w:gridSpan w:val="2"/>
            <w:shd w:val="clear" w:color="auto" w:fill="auto"/>
            <w:vAlign w:val="center"/>
          </w:tcPr>
          <w:p w14:paraId="4340F5F2">
            <w:pPr>
              <w:widowControl/>
              <w:spacing w:after="240"/>
              <w:rPr>
                <w:rFonts w:cstheme="minorHAnsi"/>
                <w:sz w:val="18"/>
                <w:szCs w:val="18"/>
              </w:rPr>
            </w:pPr>
            <w:r>
              <w:rPr>
                <w:rFonts w:hint="eastAsia" w:cstheme="minorHAnsi"/>
                <w:sz w:val="18"/>
                <w:szCs w:val="18"/>
              </w:rPr>
              <w:t>T</w:t>
            </w:r>
            <w:r>
              <w:rPr>
                <w:rFonts w:cstheme="minorHAnsi"/>
                <w:sz w:val="18"/>
                <w:szCs w:val="18"/>
              </w:rPr>
              <w:t>itanium</w:t>
            </w:r>
          </w:p>
        </w:tc>
        <w:tc>
          <w:tcPr>
            <w:tcW w:w="382" w:type="pct"/>
            <w:shd w:val="clear" w:color="auto" w:fill="auto"/>
            <w:vAlign w:val="center"/>
          </w:tcPr>
          <w:p w14:paraId="2E280F78">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51E63E2B">
            <w:pPr>
              <w:widowControl/>
              <w:spacing w:after="240"/>
              <w:jc w:val="center"/>
              <w:rPr>
                <w:rFonts w:cstheme="minorHAnsi"/>
                <w:sz w:val="18"/>
                <w:szCs w:val="18"/>
              </w:rPr>
            </w:pPr>
            <w:r>
              <w:rPr>
                <w:rFonts w:cstheme="minorHAnsi"/>
                <w:sz w:val="18"/>
                <w:szCs w:val="18"/>
              </w:rPr>
              <w:t>●</w:t>
            </w:r>
          </w:p>
        </w:tc>
      </w:tr>
      <w:tr w14:paraId="2C9D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76ED3372">
            <w:pPr>
              <w:spacing w:after="240"/>
              <w:jc w:val="center"/>
              <w:rPr>
                <w:rFonts w:hint="eastAsia" w:cstheme="minorHAnsi"/>
                <w:sz w:val="18"/>
                <w:szCs w:val="18"/>
              </w:rPr>
            </w:pPr>
            <w:r>
              <w:rPr>
                <w:rFonts w:hint="eastAsia" w:cstheme="minorHAnsi"/>
                <w:sz w:val="18"/>
                <w:szCs w:val="18"/>
              </w:rPr>
              <w:t>C</w:t>
            </w:r>
          </w:p>
        </w:tc>
        <w:tc>
          <w:tcPr>
            <w:tcW w:w="3596" w:type="pct"/>
            <w:gridSpan w:val="2"/>
            <w:shd w:val="clear" w:color="auto" w:fill="auto"/>
            <w:vAlign w:val="center"/>
          </w:tcPr>
          <w:p w14:paraId="04DBA0F7">
            <w:pPr>
              <w:widowControl/>
              <w:spacing w:after="240"/>
              <w:rPr>
                <w:rFonts w:hint="eastAsia" w:cstheme="minorHAnsi"/>
                <w:sz w:val="18"/>
                <w:szCs w:val="18"/>
              </w:rPr>
            </w:pPr>
            <w:r>
              <w:rPr>
                <w:rFonts w:ascii="Calibri" w:hAnsi="Calibri" w:cs="Calibri"/>
                <w:sz w:val="18"/>
                <w:szCs w:val="18"/>
              </w:rPr>
              <w:t>Hastelloy</w:t>
            </w:r>
            <w:r>
              <w:rPr>
                <w:rFonts w:hint="eastAsia" w:ascii="Calibri" w:hAnsi="Calibri" w:cs="Calibri"/>
                <w:sz w:val="18"/>
                <w:szCs w:val="18"/>
              </w:rPr>
              <w:t xml:space="preserve"> C-276</w:t>
            </w:r>
          </w:p>
        </w:tc>
        <w:tc>
          <w:tcPr>
            <w:tcW w:w="382" w:type="pct"/>
            <w:shd w:val="clear" w:color="auto" w:fill="auto"/>
            <w:vAlign w:val="center"/>
          </w:tcPr>
          <w:p w14:paraId="78BAE3A4">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34BC0875">
            <w:pPr>
              <w:widowControl/>
              <w:spacing w:after="240"/>
              <w:jc w:val="center"/>
              <w:rPr>
                <w:rFonts w:cstheme="minorHAnsi"/>
                <w:sz w:val="18"/>
                <w:szCs w:val="18"/>
              </w:rPr>
            </w:pPr>
            <w:r>
              <w:rPr>
                <w:rFonts w:cstheme="minorHAnsi"/>
                <w:sz w:val="18"/>
                <w:szCs w:val="18"/>
              </w:rPr>
              <w:t>●</w:t>
            </w:r>
          </w:p>
        </w:tc>
      </w:tr>
      <w:tr w14:paraId="7DC0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CCCCCC"/>
            <w:vAlign w:val="center"/>
          </w:tcPr>
          <w:p w14:paraId="593FB401">
            <w:pPr>
              <w:spacing w:after="240"/>
              <w:jc w:val="center"/>
              <w:rPr>
                <w:rFonts w:cstheme="minorHAnsi"/>
                <w:sz w:val="18"/>
                <w:szCs w:val="18"/>
              </w:rPr>
            </w:pPr>
            <w:r>
              <w:rPr>
                <w:rFonts w:cstheme="minorHAnsi"/>
                <w:sz w:val="18"/>
                <w:szCs w:val="18"/>
              </w:rPr>
              <w:t>Code</w:t>
            </w:r>
          </w:p>
        </w:tc>
        <w:tc>
          <w:tcPr>
            <w:tcW w:w="3596" w:type="pct"/>
            <w:gridSpan w:val="2"/>
            <w:shd w:val="clear" w:color="auto" w:fill="CCCCCC"/>
            <w:vAlign w:val="center"/>
          </w:tcPr>
          <w:p w14:paraId="7BE971FC">
            <w:pPr>
              <w:spacing w:after="240"/>
              <w:jc w:val="center"/>
              <w:rPr>
                <w:rFonts w:cstheme="minorHAnsi"/>
                <w:sz w:val="18"/>
                <w:szCs w:val="18"/>
              </w:rPr>
            </w:pPr>
            <w:r>
              <w:rPr>
                <w:rFonts w:cstheme="minorHAnsi"/>
                <w:sz w:val="18"/>
                <w:szCs w:val="18"/>
              </w:rPr>
              <w:t xml:space="preserve">Process connection material </w:t>
            </w:r>
          </w:p>
        </w:tc>
        <w:tc>
          <w:tcPr>
            <w:tcW w:w="382" w:type="pct"/>
            <w:shd w:val="clear" w:color="auto" w:fill="CCCCCC"/>
            <w:vAlign w:val="center"/>
          </w:tcPr>
          <w:p w14:paraId="45C6D8C4">
            <w:pPr>
              <w:widowControl/>
              <w:spacing w:after="240"/>
              <w:jc w:val="center"/>
              <w:rPr>
                <w:rFonts w:cstheme="minorHAnsi"/>
                <w:sz w:val="18"/>
                <w:szCs w:val="18"/>
              </w:rPr>
            </w:pPr>
            <w:r>
              <w:rPr>
                <w:rFonts w:cstheme="minorHAnsi"/>
                <w:sz w:val="18"/>
                <w:szCs w:val="18"/>
              </w:rPr>
              <w:t>SG</w:t>
            </w:r>
          </w:p>
        </w:tc>
        <w:tc>
          <w:tcPr>
            <w:tcW w:w="381" w:type="pct"/>
            <w:shd w:val="clear" w:color="auto" w:fill="CCCCCC"/>
            <w:vAlign w:val="center"/>
          </w:tcPr>
          <w:p w14:paraId="7876B9BB">
            <w:pPr>
              <w:widowControl/>
              <w:spacing w:after="240"/>
              <w:jc w:val="center"/>
              <w:rPr>
                <w:rFonts w:cstheme="minorHAnsi"/>
                <w:sz w:val="18"/>
                <w:szCs w:val="18"/>
              </w:rPr>
            </w:pPr>
            <w:r>
              <w:rPr>
                <w:rFonts w:cstheme="minorHAnsi"/>
                <w:sz w:val="18"/>
                <w:szCs w:val="18"/>
              </w:rPr>
              <w:t>SA</w:t>
            </w:r>
          </w:p>
        </w:tc>
      </w:tr>
      <w:tr w14:paraId="73EF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51D7A8FA">
            <w:pPr>
              <w:spacing w:after="240"/>
              <w:jc w:val="center"/>
              <w:rPr>
                <w:rFonts w:ascii="Calibri" w:hAnsi="Calibri" w:cs="Calibri"/>
                <w:sz w:val="18"/>
                <w:szCs w:val="18"/>
              </w:rPr>
            </w:pPr>
            <w:r>
              <w:rPr>
                <w:rFonts w:hint="eastAsia" w:ascii="Calibri" w:hAnsi="Calibri" w:cs="Calibri"/>
                <w:sz w:val="18"/>
                <w:szCs w:val="18"/>
              </w:rPr>
              <w:t>P</w:t>
            </w:r>
            <w:r>
              <w:rPr>
                <w:rFonts w:ascii="Calibri" w:hAnsi="Calibri" w:cs="Calibri"/>
                <w:sz w:val="18"/>
                <w:szCs w:val="18"/>
              </w:rPr>
              <w:t>3</w:t>
            </w:r>
          </w:p>
        </w:tc>
        <w:tc>
          <w:tcPr>
            <w:tcW w:w="3596" w:type="pct"/>
            <w:gridSpan w:val="2"/>
            <w:shd w:val="clear" w:color="auto" w:fill="auto"/>
            <w:vAlign w:val="center"/>
          </w:tcPr>
          <w:p w14:paraId="597A6027">
            <w:pPr>
              <w:widowControl/>
              <w:spacing w:after="240"/>
              <w:rPr>
                <w:rFonts w:ascii="Calibri" w:hAnsi="Calibri" w:cs="Calibri"/>
                <w:sz w:val="18"/>
                <w:szCs w:val="18"/>
              </w:rPr>
            </w:pPr>
            <w:r>
              <w:rPr>
                <w:rFonts w:ascii="Calibri" w:hAnsi="Calibri" w:cs="Calibri"/>
                <w:sz w:val="18"/>
                <w:szCs w:val="18"/>
              </w:rPr>
              <w:t>SS</w:t>
            </w:r>
            <w:r>
              <w:rPr>
                <w:rFonts w:hint="eastAsia" w:ascii="Calibri" w:hAnsi="Calibri" w:cs="Calibri"/>
                <w:sz w:val="18"/>
                <w:szCs w:val="18"/>
              </w:rPr>
              <w:t>316L</w:t>
            </w:r>
          </w:p>
        </w:tc>
        <w:tc>
          <w:tcPr>
            <w:tcW w:w="382" w:type="pct"/>
            <w:shd w:val="clear" w:color="auto" w:fill="auto"/>
            <w:vAlign w:val="center"/>
          </w:tcPr>
          <w:p w14:paraId="46C79022">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70F14BA1">
            <w:pPr>
              <w:widowControl/>
              <w:spacing w:after="240"/>
              <w:jc w:val="center"/>
              <w:rPr>
                <w:rFonts w:ascii="Calibri" w:hAnsi="Calibri" w:cs="Calibri"/>
                <w:sz w:val="18"/>
                <w:szCs w:val="18"/>
              </w:rPr>
            </w:pPr>
            <w:r>
              <w:rPr>
                <w:rFonts w:ascii="Calibri" w:hAnsi="Calibri" w:cs="Calibri"/>
                <w:sz w:val="18"/>
                <w:szCs w:val="18"/>
              </w:rPr>
              <w:t>●</w:t>
            </w:r>
          </w:p>
        </w:tc>
      </w:tr>
      <w:tr w14:paraId="4022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3F56D092">
            <w:pPr>
              <w:spacing w:after="240"/>
              <w:jc w:val="center"/>
              <w:rPr>
                <w:rFonts w:ascii="Calibri" w:hAnsi="Calibri" w:cs="Calibri"/>
                <w:sz w:val="18"/>
                <w:szCs w:val="18"/>
              </w:rPr>
            </w:pPr>
            <w:r>
              <w:rPr>
                <w:rFonts w:hint="eastAsia" w:ascii="Calibri" w:hAnsi="Calibri" w:cs="Calibri"/>
                <w:sz w:val="18"/>
                <w:szCs w:val="18"/>
              </w:rPr>
              <w:t>P2</w:t>
            </w:r>
          </w:p>
        </w:tc>
        <w:tc>
          <w:tcPr>
            <w:tcW w:w="3596" w:type="pct"/>
            <w:gridSpan w:val="2"/>
            <w:shd w:val="clear" w:color="auto" w:fill="auto"/>
            <w:vAlign w:val="center"/>
          </w:tcPr>
          <w:p w14:paraId="008C482F">
            <w:pPr>
              <w:widowControl/>
              <w:spacing w:after="240"/>
              <w:rPr>
                <w:rFonts w:ascii="Calibri" w:hAnsi="Calibri" w:cs="Calibri"/>
                <w:sz w:val="18"/>
                <w:szCs w:val="18"/>
              </w:rPr>
            </w:pPr>
            <w:r>
              <w:rPr>
                <w:rFonts w:ascii="Calibri" w:hAnsi="Calibri" w:cs="Calibri"/>
                <w:sz w:val="18"/>
                <w:szCs w:val="18"/>
              </w:rPr>
              <w:t>SS</w:t>
            </w:r>
            <w:r>
              <w:rPr>
                <w:rFonts w:hint="eastAsia" w:ascii="Calibri" w:hAnsi="Calibri" w:cs="Calibri"/>
                <w:sz w:val="18"/>
                <w:szCs w:val="18"/>
              </w:rPr>
              <w:t>304</w:t>
            </w:r>
          </w:p>
        </w:tc>
        <w:tc>
          <w:tcPr>
            <w:tcW w:w="382" w:type="pct"/>
            <w:shd w:val="clear" w:color="auto" w:fill="auto"/>
            <w:vAlign w:val="center"/>
          </w:tcPr>
          <w:p w14:paraId="20B9F011">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183B9079">
            <w:pPr>
              <w:widowControl/>
              <w:spacing w:after="240"/>
              <w:jc w:val="center"/>
              <w:rPr>
                <w:rFonts w:ascii="Calibri" w:hAnsi="Calibri" w:cs="Calibri"/>
                <w:sz w:val="18"/>
                <w:szCs w:val="18"/>
              </w:rPr>
            </w:pPr>
            <w:r>
              <w:rPr>
                <w:rFonts w:ascii="Calibri" w:hAnsi="Calibri" w:cs="Calibri"/>
                <w:sz w:val="18"/>
                <w:szCs w:val="18"/>
              </w:rPr>
              <w:t>●</w:t>
            </w:r>
          </w:p>
        </w:tc>
      </w:tr>
      <w:tr w14:paraId="0EB4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41FAA573">
            <w:pPr>
              <w:spacing w:after="240"/>
              <w:jc w:val="center"/>
              <w:rPr>
                <w:rFonts w:ascii="Calibri" w:hAnsi="Calibri" w:cs="Calibri"/>
                <w:sz w:val="18"/>
                <w:szCs w:val="18"/>
              </w:rPr>
            </w:pPr>
            <w:r>
              <w:rPr>
                <w:rFonts w:hint="eastAsia" w:ascii="Calibri" w:hAnsi="Calibri" w:cs="Calibri"/>
                <w:sz w:val="18"/>
                <w:szCs w:val="18"/>
              </w:rPr>
              <w:t>P3</w:t>
            </w:r>
          </w:p>
        </w:tc>
        <w:tc>
          <w:tcPr>
            <w:tcW w:w="3596" w:type="pct"/>
            <w:gridSpan w:val="2"/>
            <w:shd w:val="clear" w:color="auto" w:fill="auto"/>
            <w:vAlign w:val="center"/>
          </w:tcPr>
          <w:p w14:paraId="47AA15E7">
            <w:pPr>
              <w:widowControl/>
              <w:spacing w:after="240"/>
              <w:rPr>
                <w:rFonts w:ascii="Calibri" w:hAnsi="Calibri" w:cs="Calibri"/>
                <w:sz w:val="18"/>
                <w:szCs w:val="18"/>
              </w:rPr>
            </w:pPr>
            <w:r>
              <w:rPr>
                <w:rFonts w:ascii="Calibri" w:hAnsi="Calibri" w:cs="Calibri"/>
                <w:sz w:val="18"/>
                <w:szCs w:val="18"/>
              </w:rPr>
              <w:t>SS</w:t>
            </w:r>
            <w:r>
              <w:rPr>
                <w:rFonts w:hint="eastAsia" w:ascii="Calibri" w:hAnsi="Calibri" w:cs="Calibri"/>
                <w:sz w:val="18"/>
                <w:szCs w:val="18"/>
              </w:rPr>
              <w:t>316L</w:t>
            </w:r>
          </w:p>
        </w:tc>
        <w:tc>
          <w:tcPr>
            <w:tcW w:w="382" w:type="pct"/>
            <w:shd w:val="clear" w:color="auto" w:fill="auto"/>
            <w:vAlign w:val="center"/>
          </w:tcPr>
          <w:p w14:paraId="631712B0">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0734C6A1">
            <w:pPr>
              <w:widowControl/>
              <w:spacing w:after="240"/>
              <w:jc w:val="center"/>
              <w:rPr>
                <w:rFonts w:ascii="Calibri" w:hAnsi="Calibri" w:cs="Calibri"/>
                <w:sz w:val="18"/>
                <w:szCs w:val="18"/>
              </w:rPr>
            </w:pPr>
            <w:r>
              <w:rPr>
                <w:rFonts w:ascii="Calibri" w:hAnsi="Calibri" w:cs="Calibri"/>
                <w:sz w:val="18"/>
                <w:szCs w:val="18"/>
              </w:rPr>
              <w:t>●</w:t>
            </w:r>
          </w:p>
        </w:tc>
      </w:tr>
      <w:tr w14:paraId="2A93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CCCCCC"/>
            <w:vAlign w:val="center"/>
          </w:tcPr>
          <w:p w14:paraId="7CB8EA40">
            <w:pPr>
              <w:widowControl/>
              <w:spacing w:after="240"/>
              <w:jc w:val="center"/>
              <w:rPr>
                <w:rFonts w:cstheme="minorHAnsi"/>
                <w:sz w:val="18"/>
                <w:szCs w:val="18"/>
              </w:rPr>
            </w:pPr>
            <w:r>
              <w:rPr>
                <w:rFonts w:cstheme="minorHAnsi"/>
                <w:sz w:val="18"/>
                <w:szCs w:val="18"/>
              </w:rPr>
              <w:t>Code</w:t>
            </w:r>
          </w:p>
        </w:tc>
        <w:tc>
          <w:tcPr>
            <w:tcW w:w="3596" w:type="pct"/>
            <w:gridSpan w:val="2"/>
            <w:shd w:val="clear" w:color="auto" w:fill="CCCCCC"/>
            <w:vAlign w:val="center"/>
          </w:tcPr>
          <w:p w14:paraId="5CFF98ED">
            <w:pPr>
              <w:widowControl/>
              <w:spacing w:after="240"/>
              <w:jc w:val="center"/>
              <w:rPr>
                <w:rFonts w:cstheme="minorHAnsi"/>
                <w:sz w:val="18"/>
                <w:szCs w:val="18"/>
              </w:rPr>
            </w:pPr>
            <w:r>
              <w:rPr>
                <w:rFonts w:hint="eastAsia" w:cstheme="minorHAnsi"/>
                <w:sz w:val="18"/>
                <w:szCs w:val="18"/>
              </w:rPr>
              <w:t>E</w:t>
            </w:r>
            <w:r>
              <w:rPr>
                <w:rFonts w:cstheme="minorHAnsi"/>
                <w:sz w:val="18"/>
                <w:szCs w:val="18"/>
              </w:rPr>
              <w:t xml:space="preserve">lectrical </w:t>
            </w:r>
            <w:r>
              <w:rPr>
                <w:rFonts w:hint="eastAsia" w:cstheme="minorHAnsi"/>
                <w:sz w:val="18"/>
                <w:szCs w:val="18"/>
              </w:rPr>
              <w:t>conne</w:t>
            </w:r>
            <w:r>
              <w:rPr>
                <w:rFonts w:cstheme="minorHAnsi"/>
                <w:sz w:val="18"/>
                <w:szCs w:val="18"/>
              </w:rPr>
              <w:t>ction</w:t>
            </w:r>
          </w:p>
        </w:tc>
        <w:tc>
          <w:tcPr>
            <w:tcW w:w="382" w:type="pct"/>
            <w:shd w:val="clear" w:color="auto" w:fill="CCCCCC"/>
            <w:vAlign w:val="center"/>
          </w:tcPr>
          <w:p w14:paraId="549AA9B8">
            <w:pPr>
              <w:widowControl/>
              <w:spacing w:after="240"/>
              <w:jc w:val="center"/>
              <w:rPr>
                <w:rFonts w:cstheme="minorHAnsi"/>
                <w:sz w:val="18"/>
                <w:szCs w:val="18"/>
              </w:rPr>
            </w:pPr>
            <w:r>
              <w:rPr>
                <w:rFonts w:cstheme="minorHAnsi"/>
                <w:sz w:val="18"/>
                <w:szCs w:val="18"/>
              </w:rPr>
              <w:t>SG</w:t>
            </w:r>
          </w:p>
        </w:tc>
        <w:tc>
          <w:tcPr>
            <w:tcW w:w="381" w:type="pct"/>
            <w:shd w:val="clear" w:color="auto" w:fill="CCCCCC"/>
            <w:vAlign w:val="center"/>
          </w:tcPr>
          <w:p w14:paraId="4C6DC7B8">
            <w:pPr>
              <w:widowControl/>
              <w:spacing w:after="240"/>
              <w:jc w:val="center"/>
              <w:rPr>
                <w:rFonts w:cstheme="minorHAnsi"/>
                <w:sz w:val="18"/>
                <w:szCs w:val="18"/>
              </w:rPr>
            </w:pPr>
            <w:r>
              <w:rPr>
                <w:rFonts w:cstheme="minorHAnsi"/>
                <w:sz w:val="18"/>
                <w:szCs w:val="18"/>
              </w:rPr>
              <w:t>SA</w:t>
            </w:r>
          </w:p>
        </w:tc>
      </w:tr>
      <w:tr w14:paraId="3D57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7DD85ED1">
            <w:pPr>
              <w:widowControl/>
              <w:spacing w:after="240" w:line="240" w:lineRule="atLeast"/>
              <w:jc w:val="center"/>
              <w:rPr>
                <w:rFonts w:ascii="Calibri" w:hAnsi="Calibri" w:cs="Calibri"/>
                <w:sz w:val="18"/>
                <w:szCs w:val="18"/>
              </w:rPr>
            </w:pPr>
            <w:r>
              <w:rPr>
                <w:rFonts w:hint="eastAsia" w:ascii="Calibri" w:hAnsi="Calibri" w:cs="Calibri"/>
                <w:sz w:val="18"/>
                <w:szCs w:val="18"/>
              </w:rPr>
              <w:t>E</w:t>
            </w:r>
            <w:r>
              <w:rPr>
                <w:rFonts w:ascii="Calibri" w:hAnsi="Calibri" w:cs="Calibri"/>
                <w:sz w:val="18"/>
                <w:szCs w:val="18"/>
                <w:vertAlign w:val="subscript"/>
              </w:rPr>
              <w:t>1</w:t>
            </w:r>
          </w:p>
        </w:tc>
        <w:tc>
          <w:tcPr>
            <w:tcW w:w="3596" w:type="pct"/>
            <w:gridSpan w:val="2"/>
            <w:shd w:val="clear" w:color="auto" w:fill="auto"/>
            <w:vAlign w:val="center"/>
          </w:tcPr>
          <w:p w14:paraId="70BA610C">
            <w:pPr>
              <w:widowControl/>
              <w:spacing w:after="240" w:line="240" w:lineRule="atLeast"/>
              <w:jc w:val="left"/>
              <w:rPr>
                <w:rFonts w:ascii="Calibri" w:hAnsi="Calibri" w:cs="Calibri"/>
                <w:sz w:val="18"/>
                <w:szCs w:val="18"/>
              </w:rPr>
            </w:pPr>
            <w:r>
              <w:rPr>
                <w:rFonts w:hint="eastAsia" w:ascii="Calibri" w:hAnsi="Calibri" w:cs="Calibri"/>
                <w:sz w:val="18"/>
                <w:szCs w:val="18"/>
              </w:rPr>
              <w:t>1/2 NPT</w:t>
            </w:r>
          </w:p>
        </w:tc>
        <w:tc>
          <w:tcPr>
            <w:tcW w:w="382" w:type="pct"/>
            <w:shd w:val="clear" w:color="auto" w:fill="auto"/>
            <w:vAlign w:val="center"/>
          </w:tcPr>
          <w:p w14:paraId="392A0391">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1BD7B568">
            <w:pPr>
              <w:widowControl/>
              <w:spacing w:after="240"/>
              <w:jc w:val="center"/>
              <w:rPr>
                <w:rFonts w:ascii="Calibri" w:hAnsi="Calibri" w:cs="Calibri"/>
                <w:sz w:val="18"/>
                <w:szCs w:val="18"/>
              </w:rPr>
            </w:pPr>
            <w:r>
              <w:rPr>
                <w:rFonts w:ascii="Calibri" w:hAnsi="Calibri" w:cs="Calibri"/>
                <w:sz w:val="18"/>
                <w:szCs w:val="18"/>
              </w:rPr>
              <w:t>●</w:t>
            </w:r>
          </w:p>
        </w:tc>
      </w:tr>
      <w:tr w14:paraId="6185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53954515">
            <w:pPr>
              <w:widowControl/>
              <w:spacing w:after="240" w:line="240" w:lineRule="atLeast"/>
              <w:jc w:val="center"/>
              <w:rPr>
                <w:rFonts w:ascii="Calibri" w:hAnsi="Calibri" w:cs="Calibri"/>
                <w:sz w:val="18"/>
                <w:szCs w:val="18"/>
              </w:rPr>
            </w:pPr>
            <w:r>
              <w:rPr>
                <w:rFonts w:hint="eastAsia" w:ascii="Calibri" w:hAnsi="Calibri" w:cs="Calibri"/>
                <w:sz w:val="18"/>
                <w:szCs w:val="18"/>
              </w:rPr>
              <w:t>E</w:t>
            </w:r>
            <w:r>
              <w:rPr>
                <w:rFonts w:ascii="Calibri" w:hAnsi="Calibri" w:cs="Calibri"/>
                <w:sz w:val="18"/>
                <w:szCs w:val="18"/>
                <w:vertAlign w:val="subscript"/>
              </w:rPr>
              <w:t>2</w:t>
            </w:r>
          </w:p>
        </w:tc>
        <w:tc>
          <w:tcPr>
            <w:tcW w:w="3596" w:type="pct"/>
            <w:gridSpan w:val="2"/>
            <w:shd w:val="clear" w:color="auto" w:fill="auto"/>
            <w:vAlign w:val="center"/>
          </w:tcPr>
          <w:p w14:paraId="20880FF2">
            <w:pPr>
              <w:widowControl/>
              <w:spacing w:after="240" w:line="240" w:lineRule="atLeast"/>
              <w:jc w:val="left"/>
              <w:rPr>
                <w:rFonts w:ascii="Calibri" w:hAnsi="Calibri" w:cs="Calibri"/>
                <w:sz w:val="18"/>
                <w:szCs w:val="18"/>
              </w:rPr>
            </w:pPr>
            <w:r>
              <w:rPr>
                <w:rFonts w:hint="eastAsia" w:ascii="Calibri" w:hAnsi="Calibri" w:cs="Calibri"/>
                <w:sz w:val="18"/>
                <w:szCs w:val="18"/>
              </w:rPr>
              <w:t>M20*1.5</w:t>
            </w:r>
          </w:p>
        </w:tc>
        <w:tc>
          <w:tcPr>
            <w:tcW w:w="382" w:type="pct"/>
            <w:shd w:val="clear" w:color="auto" w:fill="auto"/>
            <w:vAlign w:val="center"/>
          </w:tcPr>
          <w:p w14:paraId="1ED87E2C">
            <w:pPr>
              <w:widowControl/>
              <w:spacing w:after="240"/>
              <w:jc w:val="center"/>
              <w:rPr>
                <w:rFonts w:ascii="Calibri" w:hAnsi="Calibri" w:cs="Calibri"/>
                <w:sz w:val="18"/>
                <w:szCs w:val="18"/>
              </w:rPr>
            </w:pPr>
            <w:r>
              <w:rPr>
                <w:rFonts w:ascii="Calibri" w:hAnsi="Calibri" w:cs="Calibri"/>
                <w:sz w:val="18"/>
                <w:szCs w:val="18"/>
              </w:rPr>
              <w:t>●</w:t>
            </w:r>
          </w:p>
        </w:tc>
        <w:tc>
          <w:tcPr>
            <w:tcW w:w="381" w:type="pct"/>
            <w:shd w:val="clear" w:color="auto" w:fill="auto"/>
            <w:vAlign w:val="center"/>
          </w:tcPr>
          <w:p w14:paraId="726D2DDB">
            <w:pPr>
              <w:widowControl/>
              <w:spacing w:after="240"/>
              <w:jc w:val="center"/>
              <w:rPr>
                <w:rFonts w:ascii="Calibri" w:hAnsi="Calibri" w:cs="Calibri"/>
                <w:sz w:val="18"/>
                <w:szCs w:val="18"/>
              </w:rPr>
            </w:pPr>
            <w:r>
              <w:rPr>
                <w:rFonts w:ascii="Calibri" w:hAnsi="Calibri" w:cs="Calibri"/>
                <w:sz w:val="18"/>
                <w:szCs w:val="18"/>
              </w:rPr>
              <w:t>●</w:t>
            </w:r>
          </w:p>
        </w:tc>
      </w:tr>
      <w:tr w14:paraId="4F50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CCCCCC"/>
            <w:vAlign w:val="center"/>
          </w:tcPr>
          <w:p w14:paraId="4AA42528">
            <w:pPr>
              <w:widowControl/>
              <w:spacing w:after="240"/>
              <w:jc w:val="center"/>
              <w:rPr>
                <w:rFonts w:cstheme="minorHAnsi"/>
                <w:sz w:val="18"/>
                <w:szCs w:val="18"/>
              </w:rPr>
            </w:pPr>
            <w:bookmarkStart w:id="249" w:name="_Hlk84854837"/>
            <w:r>
              <w:rPr>
                <w:rFonts w:cstheme="minorHAnsi"/>
                <w:sz w:val="18"/>
                <w:szCs w:val="18"/>
              </w:rPr>
              <w:t>Code</w:t>
            </w:r>
          </w:p>
        </w:tc>
        <w:tc>
          <w:tcPr>
            <w:tcW w:w="3596" w:type="pct"/>
            <w:gridSpan w:val="2"/>
            <w:shd w:val="clear" w:color="auto" w:fill="CCCCCC"/>
            <w:vAlign w:val="center"/>
          </w:tcPr>
          <w:p w14:paraId="16325FA0">
            <w:pPr>
              <w:widowControl/>
              <w:spacing w:after="240"/>
              <w:jc w:val="center"/>
              <w:rPr>
                <w:rFonts w:cstheme="minorHAnsi"/>
                <w:sz w:val="18"/>
                <w:szCs w:val="18"/>
              </w:rPr>
            </w:pPr>
            <w:r>
              <w:rPr>
                <w:rFonts w:cstheme="minorHAnsi"/>
                <w:sz w:val="18"/>
                <w:szCs w:val="18"/>
              </w:rPr>
              <w:t xml:space="preserve">Display </w:t>
            </w:r>
          </w:p>
        </w:tc>
        <w:tc>
          <w:tcPr>
            <w:tcW w:w="382" w:type="pct"/>
            <w:shd w:val="clear" w:color="auto" w:fill="CCCCCC"/>
            <w:vAlign w:val="center"/>
          </w:tcPr>
          <w:p w14:paraId="258B4CC7">
            <w:pPr>
              <w:widowControl/>
              <w:spacing w:after="240"/>
              <w:jc w:val="center"/>
              <w:rPr>
                <w:rFonts w:cstheme="minorHAnsi"/>
                <w:sz w:val="18"/>
                <w:szCs w:val="18"/>
              </w:rPr>
            </w:pPr>
            <w:r>
              <w:rPr>
                <w:rFonts w:cstheme="minorHAnsi"/>
                <w:sz w:val="18"/>
                <w:szCs w:val="18"/>
              </w:rPr>
              <w:t>SG</w:t>
            </w:r>
          </w:p>
        </w:tc>
        <w:tc>
          <w:tcPr>
            <w:tcW w:w="381" w:type="pct"/>
            <w:shd w:val="clear" w:color="auto" w:fill="CCCCCC"/>
            <w:vAlign w:val="center"/>
          </w:tcPr>
          <w:p w14:paraId="6C0D24FD">
            <w:pPr>
              <w:widowControl/>
              <w:spacing w:after="240"/>
              <w:jc w:val="center"/>
              <w:rPr>
                <w:rFonts w:cstheme="minorHAnsi"/>
                <w:sz w:val="18"/>
                <w:szCs w:val="18"/>
              </w:rPr>
            </w:pPr>
            <w:r>
              <w:rPr>
                <w:rFonts w:cstheme="minorHAnsi"/>
                <w:sz w:val="18"/>
                <w:szCs w:val="18"/>
              </w:rPr>
              <w:t>SA</w:t>
            </w:r>
          </w:p>
        </w:tc>
      </w:tr>
      <w:bookmarkEnd w:id="249"/>
      <w:tr w14:paraId="1F01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tcBorders>
              <w:bottom w:val="single" w:color="auto" w:sz="4" w:space="0"/>
            </w:tcBorders>
            <w:shd w:val="clear" w:color="auto" w:fill="auto"/>
            <w:vAlign w:val="center"/>
          </w:tcPr>
          <w:p w14:paraId="6EE14AEC">
            <w:pPr>
              <w:widowControl/>
              <w:spacing w:after="240"/>
              <w:jc w:val="center"/>
              <w:rPr>
                <w:rFonts w:cstheme="minorHAnsi"/>
                <w:sz w:val="18"/>
                <w:szCs w:val="18"/>
              </w:rPr>
            </w:pPr>
            <w:r>
              <w:rPr>
                <w:rFonts w:cstheme="minorHAnsi"/>
                <w:sz w:val="18"/>
                <w:szCs w:val="18"/>
              </w:rPr>
              <w:t>M</w:t>
            </w:r>
          </w:p>
        </w:tc>
        <w:tc>
          <w:tcPr>
            <w:tcW w:w="3596" w:type="pct"/>
            <w:gridSpan w:val="2"/>
            <w:tcBorders>
              <w:bottom w:val="single" w:color="auto" w:sz="4" w:space="0"/>
            </w:tcBorders>
            <w:shd w:val="clear" w:color="auto" w:fill="auto"/>
            <w:vAlign w:val="center"/>
          </w:tcPr>
          <w:p w14:paraId="54042509">
            <w:pPr>
              <w:widowControl/>
              <w:spacing w:after="240"/>
              <w:rPr>
                <w:rFonts w:cstheme="minorHAnsi"/>
                <w:sz w:val="18"/>
                <w:szCs w:val="18"/>
              </w:rPr>
            </w:pPr>
            <w:r>
              <w:rPr>
                <w:rFonts w:cstheme="minorHAnsi"/>
                <w:sz w:val="18"/>
                <w:szCs w:val="18"/>
              </w:rPr>
              <w:t>LCD display</w:t>
            </w:r>
          </w:p>
        </w:tc>
        <w:tc>
          <w:tcPr>
            <w:tcW w:w="382" w:type="pct"/>
            <w:tcBorders>
              <w:bottom w:val="single" w:color="auto" w:sz="4" w:space="0"/>
            </w:tcBorders>
            <w:shd w:val="clear" w:color="auto" w:fill="auto"/>
            <w:vAlign w:val="center"/>
          </w:tcPr>
          <w:p w14:paraId="3E0DBA4A">
            <w:pPr>
              <w:widowControl/>
              <w:spacing w:after="240"/>
              <w:jc w:val="center"/>
              <w:rPr>
                <w:rFonts w:cstheme="minorHAnsi"/>
                <w:sz w:val="18"/>
                <w:szCs w:val="18"/>
              </w:rPr>
            </w:pPr>
            <w:r>
              <w:rPr>
                <w:rFonts w:cstheme="minorHAnsi"/>
                <w:sz w:val="18"/>
                <w:szCs w:val="18"/>
              </w:rPr>
              <w:t>●</w:t>
            </w:r>
          </w:p>
        </w:tc>
        <w:tc>
          <w:tcPr>
            <w:tcW w:w="381" w:type="pct"/>
            <w:tcBorders>
              <w:bottom w:val="single" w:color="auto" w:sz="4" w:space="0"/>
            </w:tcBorders>
            <w:shd w:val="clear" w:color="auto" w:fill="auto"/>
            <w:vAlign w:val="center"/>
          </w:tcPr>
          <w:p w14:paraId="2FB07191">
            <w:pPr>
              <w:widowControl/>
              <w:spacing w:after="240"/>
              <w:jc w:val="center"/>
              <w:rPr>
                <w:rFonts w:cstheme="minorHAnsi"/>
                <w:sz w:val="18"/>
                <w:szCs w:val="18"/>
              </w:rPr>
            </w:pPr>
            <w:r>
              <w:rPr>
                <w:rFonts w:cstheme="minorHAnsi"/>
                <w:sz w:val="18"/>
                <w:szCs w:val="18"/>
              </w:rPr>
              <w:t>●</w:t>
            </w:r>
          </w:p>
        </w:tc>
      </w:tr>
      <w:tr w14:paraId="7AD3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CCCCCC"/>
            <w:vAlign w:val="center"/>
          </w:tcPr>
          <w:p w14:paraId="17F80C2B">
            <w:pPr>
              <w:widowControl/>
              <w:spacing w:after="240"/>
              <w:jc w:val="center"/>
              <w:rPr>
                <w:rFonts w:cstheme="minorHAnsi"/>
                <w:sz w:val="18"/>
                <w:szCs w:val="18"/>
              </w:rPr>
            </w:pPr>
            <w:r>
              <w:rPr>
                <w:rFonts w:cstheme="minorHAnsi"/>
                <w:sz w:val="18"/>
                <w:szCs w:val="18"/>
              </w:rPr>
              <w:t>Code</w:t>
            </w:r>
          </w:p>
        </w:tc>
        <w:tc>
          <w:tcPr>
            <w:tcW w:w="3596" w:type="pct"/>
            <w:gridSpan w:val="2"/>
            <w:shd w:val="clear" w:color="auto" w:fill="CCCCCC"/>
            <w:vAlign w:val="center"/>
          </w:tcPr>
          <w:p w14:paraId="21F792C8">
            <w:pPr>
              <w:widowControl/>
              <w:spacing w:after="240"/>
              <w:jc w:val="center"/>
              <w:rPr>
                <w:rFonts w:cstheme="minorHAnsi"/>
                <w:sz w:val="18"/>
                <w:szCs w:val="18"/>
              </w:rPr>
            </w:pPr>
            <w:r>
              <w:rPr>
                <w:rFonts w:cstheme="minorHAnsi"/>
                <w:sz w:val="18"/>
                <w:szCs w:val="18"/>
              </w:rPr>
              <w:t>Housing material</w:t>
            </w:r>
          </w:p>
        </w:tc>
        <w:tc>
          <w:tcPr>
            <w:tcW w:w="382" w:type="pct"/>
            <w:shd w:val="clear" w:color="auto" w:fill="CCCCCC"/>
            <w:vAlign w:val="center"/>
          </w:tcPr>
          <w:p w14:paraId="31C6CF3C">
            <w:pPr>
              <w:widowControl/>
              <w:spacing w:after="240"/>
              <w:jc w:val="center"/>
              <w:rPr>
                <w:rFonts w:cstheme="minorHAnsi"/>
                <w:sz w:val="18"/>
                <w:szCs w:val="18"/>
              </w:rPr>
            </w:pPr>
            <w:r>
              <w:rPr>
                <w:rFonts w:cstheme="minorHAnsi"/>
                <w:sz w:val="18"/>
                <w:szCs w:val="18"/>
              </w:rPr>
              <w:t>SG</w:t>
            </w:r>
          </w:p>
        </w:tc>
        <w:tc>
          <w:tcPr>
            <w:tcW w:w="381" w:type="pct"/>
            <w:shd w:val="clear" w:color="auto" w:fill="CCCCCC"/>
            <w:vAlign w:val="center"/>
          </w:tcPr>
          <w:p w14:paraId="3308FCB3">
            <w:pPr>
              <w:widowControl/>
              <w:spacing w:after="240"/>
              <w:jc w:val="center"/>
              <w:rPr>
                <w:rFonts w:cstheme="minorHAnsi"/>
                <w:sz w:val="18"/>
                <w:szCs w:val="18"/>
              </w:rPr>
            </w:pPr>
            <w:r>
              <w:rPr>
                <w:rFonts w:cstheme="minorHAnsi"/>
                <w:sz w:val="18"/>
                <w:szCs w:val="18"/>
              </w:rPr>
              <w:t>SA</w:t>
            </w:r>
          </w:p>
        </w:tc>
      </w:tr>
      <w:tr w14:paraId="0141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143C4E32">
            <w:pPr>
              <w:spacing w:after="240"/>
              <w:jc w:val="center"/>
              <w:rPr>
                <w:rFonts w:ascii="Calibri" w:hAnsi="Calibri" w:cs="Calibri"/>
                <w:sz w:val="18"/>
                <w:szCs w:val="18"/>
              </w:rPr>
            </w:pPr>
            <w:r>
              <w:rPr>
                <w:rFonts w:hint="eastAsia" w:ascii="Calibri" w:hAnsi="Calibri" w:cs="Calibri"/>
                <w:sz w:val="18"/>
                <w:szCs w:val="18"/>
              </w:rPr>
              <w:t>K1</w:t>
            </w:r>
          </w:p>
        </w:tc>
        <w:tc>
          <w:tcPr>
            <w:tcW w:w="3596" w:type="pct"/>
            <w:gridSpan w:val="2"/>
            <w:shd w:val="clear" w:color="auto" w:fill="auto"/>
            <w:vAlign w:val="center"/>
          </w:tcPr>
          <w:p w14:paraId="68908324">
            <w:pPr>
              <w:widowControl/>
              <w:spacing w:after="240"/>
              <w:jc w:val="left"/>
              <w:rPr>
                <w:rFonts w:cstheme="minorHAnsi"/>
                <w:sz w:val="18"/>
                <w:szCs w:val="18"/>
              </w:rPr>
            </w:pPr>
            <w:r>
              <w:rPr>
                <w:rFonts w:cstheme="minorHAnsi"/>
                <w:sz w:val="18"/>
                <w:szCs w:val="18"/>
              </w:rPr>
              <w:t>Aluminum</w:t>
            </w:r>
          </w:p>
        </w:tc>
        <w:tc>
          <w:tcPr>
            <w:tcW w:w="382" w:type="pct"/>
            <w:shd w:val="clear" w:color="auto" w:fill="auto"/>
            <w:vAlign w:val="center"/>
          </w:tcPr>
          <w:p w14:paraId="0B03F803">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324E4F33">
            <w:pPr>
              <w:widowControl/>
              <w:spacing w:after="240"/>
              <w:jc w:val="center"/>
              <w:rPr>
                <w:rFonts w:cstheme="minorHAnsi"/>
                <w:sz w:val="18"/>
                <w:szCs w:val="18"/>
              </w:rPr>
            </w:pPr>
            <w:r>
              <w:rPr>
                <w:rFonts w:cstheme="minorHAnsi"/>
                <w:sz w:val="18"/>
                <w:szCs w:val="18"/>
              </w:rPr>
              <w:t>●</w:t>
            </w:r>
          </w:p>
        </w:tc>
      </w:tr>
      <w:tr w14:paraId="59B5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3DB38D73">
            <w:pPr>
              <w:spacing w:after="240"/>
              <w:jc w:val="center"/>
              <w:rPr>
                <w:rFonts w:ascii="Calibri" w:hAnsi="Calibri" w:cs="Calibri"/>
                <w:sz w:val="18"/>
                <w:szCs w:val="18"/>
              </w:rPr>
            </w:pPr>
            <w:r>
              <w:rPr>
                <w:rFonts w:hint="eastAsia" w:ascii="Calibri" w:hAnsi="Calibri" w:cs="Calibri"/>
                <w:sz w:val="18"/>
                <w:szCs w:val="18"/>
              </w:rPr>
              <w:t>K2</w:t>
            </w:r>
          </w:p>
        </w:tc>
        <w:tc>
          <w:tcPr>
            <w:tcW w:w="3596" w:type="pct"/>
            <w:gridSpan w:val="2"/>
            <w:shd w:val="clear" w:color="auto" w:fill="auto"/>
            <w:vAlign w:val="center"/>
          </w:tcPr>
          <w:p w14:paraId="2C464973">
            <w:pPr>
              <w:widowControl/>
              <w:spacing w:after="240"/>
              <w:jc w:val="left"/>
              <w:rPr>
                <w:rFonts w:cstheme="minorHAnsi"/>
                <w:sz w:val="18"/>
                <w:szCs w:val="18"/>
              </w:rPr>
            </w:pPr>
            <w:r>
              <w:rPr>
                <w:rFonts w:cstheme="minorHAnsi"/>
                <w:sz w:val="18"/>
                <w:szCs w:val="18"/>
              </w:rPr>
              <w:t>SS</w:t>
            </w:r>
            <w:r>
              <w:rPr>
                <w:rFonts w:hint="eastAsia" w:cstheme="minorHAnsi"/>
                <w:sz w:val="18"/>
                <w:szCs w:val="18"/>
              </w:rPr>
              <w:t>3</w:t>
            </w:r>
            <w:r>
              <w:rPr>
                <w:rFonts w:cstheme="minorHAnsi"/>
                <w:sz w:val="18"/>
                <w:szCs w:val="18"/>
              </w:rPr>
              <w:t>04</w:t>
            </w:r>
          </w:p>
        </w:tc>
        <w:tc>
          <w:tcPr>
            <w:tcW w:w="382" w:type="pct"/>
            <w:shd w:val="clear" w:color="auto" w:fill="auto"/>
            <w:vAlign w:val="center"/>
          </w:tcPr>
          <w:p w14:paraId="1F7C8976">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07B22EB1">
            <w:pPr>
              <w:widowControl/>
              <w:spacing w:after="240"/>
              <w:jc w:val="center"/>
              <w:rPr>
                <w:rFonts w:cstheme="minorHAnsi"/>
                <w:sz w:val="18"/>
                <w:szCs w:val="18"/>
              </w:rPr>
            </w:pPr>
            <w:r>
              <w:rPr>
                <w:rFonts w:cstheme="minorHAnsi"/>
                <w:sz w:val="18"/>
                <w:szCs w:val="18"/>
              </w:rPr>
              <w:t>●</w:t>
            </w:r>
          </w:p>
        </w:tc>
      </w:tr>
      <w:tr w14:paraId="5ADC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315DF241">
            <w:pPr>
              <w:spacing w:after="240"/>
              <w:jc w:val="center"/>
              <w:rPr>
                <w:rFonts w:ascii="Calibri" w:hAnsi="Calibri" w:cs="Calibri"/>
                <w:sz w:val="18"/>
                <w:szCs w:val="18"/>
              </w:rPr>
            </w:pPr>
            <w:r>
              <w:rPr>
                <w:rFonts w:hint="eastAsia" w:ascii="Calibri" w:hAnsi="Calibri" w:cs="Calibri"/>
                <w:sz w:val="18"/>
                <w:szCs w:val="18"/>
              </w:rPr>
              <w:t>K3</w:t>
            </w:r>
          </w:p>
        </w:tc>
        <w:tc>
          <w:tcPr>
            <w:tcW w:w="3596" w:type="pct"/>
            <w:gridSpan w:val="2"/>
            <w:shd w:val="clear" w:color="auto" w:fill="auto"/>
            <w:vAlign w:val="center"/>
          </w:tcPr>
          <w:p w14:paraId="7C237430">
            <w:pPr>
              <w:widowControl/>
              <w:spacing w:after="240"/>
              <w:jc w:val="left"/>
              <w:rPr>
                <w:rFonts w:cstheme="minorHAnsi"/>
                <w:sz w:val="18"/>
                <w:szCs w:val="18"/>
              </w:rPr>
            </w:pPr>
            <w:r>
              <w:rPr>
                <w:rFonts w:cstheme="minorHAnsi"/>
                <w:sz w:val="18"/>
                <w:szCs w:val="18"/>
              </w:rPr>
              <w:t>SS</w:t>
            </w:r>
            <w:r>
              <w:rPr>
                <w:rFonts w:hint="eastAsia" w:cstheme="minorHAnsi"/>
                <w:sz w:val="18"/>
                <w:szCs w:val="18"/>
              </w:rPr>
              <w:t>3</w:t>
            </w:r>
            <w:r>
              <w:rPr>
                <w:rFonts w:cstheme="minorHAnsi"/>
                <w:sz w:val="18"/>
                <w:szCs w:val="18"/>
              </w:rPr>
              <w:t>16</w:t>
            </w:r>
          </w:p>
        </w:tc>
        <w:tc>
          <w:tcPr>
            <w:tcW w:w="382" w:type="pct"/>
            <w:shd w:val="clear" w:color="auto" w:fill="auto"/>
            <w:vAlign w:val="center"/>
          </w:tcPr>
          <w:p w14:paraId="772D47B3">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1F249E62">
            <w:pPr>
              <w:widowControl/>
              <w:spacing w:after="240"/>
              <w:jc w:val="center"/>
              <w:rPr>
                <w:rFonts w:cstheme="minorHAnsi"/>
                <w:sz w:val="18"/>
                <w:szCs w:val="18"/>
              </w:rPr>
            </w:pPr>
            <w:r>
              <w:rPr>
                <w:rFonts w:cstheme="minorHAnsi"/>
                <w:sz w:val="18"/>
                <w:szCs w:val="18"/>
              </w:rPr>
              <w:t>●</w:t>
            </w:r>
          </w:p>
        </w:tc>
      </w:tr>
      <w:tr w14:paraId="6E2D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CCCCCC"/>
            <w:vAlign w:val="center"/>
          </w:tcPr>
          <w:p w14:paraId="63FB0BD9">
            <w:pPr>
              <w:widowControl/>
              <w:spacing w:after="240"/>
              <w:jc w:val="center"/>
              <w:rPr>
                <w:rFonts w:cstheme="minorHAnsi"/>
                <w:sz w:val="18"/>
                <w:szCs w:val="18"/>
              </w:rPr>
            </w:pPr>
            <w:r>
              <w:rPr>
                <w:rFonts w:cstheme="minorHAnsi"/>
                <w:sz w:val="18"/>
                <w:szCs w:val="18"/>
              </w:rPr>
              <w:t>Code</w:t>
            </w:r>
          </w:p>
        </w:tc>
        <w:tc>
          <w:tcPr>
            <w:tcW w:w="3596" w:type="pct"/>
            <w:gridSpan w:val="2"/>
            <w:shd w:val="clear" w:color="auto" w:fill="CCCCCC"/>
            <w:vAlign w:val="center"/>
          </w:tcPr>
          <w:p w14:paraId="3102750D">
            <w:pPr>
              <w:widowControl/>
              <w:spacing w:after="240"/>
              <w:jc w:val="center"/>
              <w:rPr>
                <w:rFonts w:cstheme="minorHAnsi"/>
                <w:sz w:val="18"/>
                <w:szCs w:val="18"/>
              </w:rPr>
            </w:pPr>
            <w:r>
              <w:rPr>
                <w:rFonts w:cstheme="minorHAnsi"/>
                <w:sz w:val="18"/>
                <w:szCs w:val="18"/>
              </w:rPr>
              <w:t>Additional Options Process Connection Mounting Accessories</w:t>
            </w:r>
          </w:p>
        </w:tc>
        <w:tc>
          <w:tcPr>
            <w:tcW w:w="382" w:type="pct"/>
            <w:shd w:val="clear" w:color="auto" w:fill="CCCCCC"/>
            <w:vAlign w:val="center"/>
          </w:tcPr>
          <w:p w14:paraId="465138CE">
            <w:pPr>
              <w:widowControl/>
              <w:spacing w:after="240"/>
              <w:jc w:val="center"/>
              <w:rPr>
                <w:rFonts w:cstheme="minorHAnsi"/>
                <w:sz w:val="18"/>
                <w:szCs w:val="18"/>
              </w:rPr>
            </w:pPr>
            <w:r>
              <w:rPr>
                <w:rFonts w:cstheme="minorHAnsi"/>
                <w:sz w:val="18"/>
                <w:szCs w:val="18"/>
              </w:rPr>
              <w:t>SG</w:t>
            </w:r>
          </w:p>
        </w:tc>
        <w:tc>
          <w:tcPr>
            <w:tcW w:w="381" w:type="pct"/>
            <w:shd w:val="clear" w:color="auto" w:fill="CCCCCC"/>
            <w:vAlign w:val="center"/>
          </w:tcPr>
          <w:p w14:paraId="34FD22CF">
            <w:pPr>
              <w:widowControl/>
              <w:spacing w:after="240"/>
              <w:jc w:val="center"/>
              <w:rPr>
                <w:rFonts w:cstheme="minorHAnsi"/>
                <w:sz w:val="18"/>
                <w:szCs w:val="18"/>
              </w:rPr>
            </w:pPr>
            <w:r>
              <w:rPr>
                <w:rFonts w:cstheme="minorHAnsi"/>
                <w:sz w:val="18"/>
                <w:szCs w:val="18"/>
              </w:rPr>
              <w:t>SA</w:t>
            </w:r>
          </w:p>
        </w:tc>
      </w:tr>
      <w:tr w14:paraId="58E1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trPr>
        <w:tc>
          <w:tcPr>
            <w:tcW w:w="641" w:type="pct"/>
            <w:tcBorders>
              <w:bottom w:val="single" w:color="auto" w:sz="4" w:space="0"/>
            </w:tcBorders>
            <w:shd w:val="clear" w:color="auto" w:fill="auto"/>
            <w:vAlign w:val="center"/>
          </w:tcPr>
          <w:p w14:paraId="5679773F">
            <w:pPr>
              <w:widowControl/>
              <w:spacing w:after="240"/>
              <w:jc w:val="center"/>
              <w:rPr>
                <w:rFonts w:cstheme="minorHAnsi"/>
                <w:sz w:val="18"/>
                <w:szCs w:val="18"/>
              </w:rPr>
            </w:pPr>
            <w:r>
              <w:rPr>
                <w:rFonts w:cstheme="minorHAnsi"/>
                <w:sz w:val="18"/>
                <w:szCs w:val="18"/>
              </w:rPr>
              <w:t>N1</w:t>
            </w:r>
          </w:p>
        </w:tc>
        <w:tc>
          <w:tcPr>
            <w:tcW w:w="3596" w:type="pct"/>
            <w:gridSpan w:val="2"/>
            <w:tcBorders>
              <w:bottom w:val="single" w:color="auto" w:sz="4" w:space="0"/>
            </w:tcBorders>
            <w:shd w:val="clear" w:color="auto" w:fill="auto"/>
            <w:vAlign w:val="center"/>
          </w:tcPr>
          <w:p w14:paraId="0CE08820">
            <w:pPr>
              <w:widowControl/>
              <w:spacing w:after="240"/>
              <w:rPr>
                <w:rFonts w:cstheme="minorHAnsi"/>
                <w:sz w:val="18"/>
                <w:szCs w:val="18"/>
              </w:rPr>
            </w:pPr>
            <w:r>
              <w:rPr>
                <w:rFonts w:cstheme="minorHAnsi"/>
                <w:sz w:val="18"/>
                <w:szCs w:val="18"/>
              </w:rPr>
              <w:t>Heat exchange connector, M20*1.5 internal thread to M20*1.5 external thread, SUS304 stainless steel (condensing pipe)</w:t>
            </w:r>
          </w:p>
        </w:tc>
        <w:tc>
          <w:tcPr>
            <w:tcW w:w="382" w:type="pct"/>
            <w:tcBorders>
              <w:bottom w:val="single" w:color="auto" w:sz="4" w:space="0"/>
            </w:tcBorders>
            <w:shd w:val="clear" w:color="auto" w:fill="auto"/>
            <w:vAlign w:val="center"/>
          </w:tcPr>
          <w:p w14:paraId="1CD2FE1B">
            <w:pPr>
              <w:widowControl/>
              <w:spacing w:after="240"/>
              <w:jc w:val="center"/>
              <w:rPr>
                <w:rFonts w:cstheme="minorHAnsi"/>
                <w:sz w:val="18"/>
                <w:szCs w:val="18"/>
              </w:rPr>
            </w:pPr>
            <w:r>
              <w:rPr>
                <w:rFonts w:cstheme="minorHAnsi"/>
                <w:sz w:val="18"/>
                <w:szCs w:val="18"/>
              </w:rPr>
              <w:t>●</w:t>
            </w:r>
          </w:p>
        </w:tc>
        <w:tc>
          <w:tcPr>
            <w:tcW w:w="381" w:type="pct"/>
            <w:tcBorders>
              <w:bottom w:val="single" w:color="auto" w:sz="4" w:space="0"/>
            </w:tcBorders>
            <w:shd w:val="clear" w:color="auto" w:fill="auto"/>
            <w:vAlign w:val="center"/>
          </w:tcPr>
          <w:p w14:paraId="656B1A6A">
            <w:pPr>
              <w:widowControl/>
              <w:spacing w:after="240"/>
              <w:jc w:val="center"/>
              <w:rPr>
                <w:rFonts w:cstheme="minorHAnsi"/>
                <w:sz w:val="18"/>
                <w:szCs w:val="18"/>
              </w:rPr>
            </w:pPr>
            <w:r>
              <w:rPr>
                <w:rFonts w:cstheme="minorHAnsi"/>
                <w:sz w:val="18"/>
                <w:szCs w:val="18"/>
              </w:rPr>
              <w:t>●</w:t>
            </w:r>
          </w:p>
        </w:tc>
      </w:tr>
      <w:tr w14:paraId="075A8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641" w:type="pct"/>
            <w:tcBorders>
              <w:bottom w:val="single" w:color="auto" w:sz="4" w:space="0"/>
            </w:tcBorders>
            <w:shd w:val="clear" w:color="auto" w:fill="auto"/>
            <w:vAlign w:val="center"/>
          </w:tcPr>
          <w:p w14:paraId="51CA3D5B">
            <w:pPr>
              <w:widowControl/>
              <w:spacing w:after="240"/>
              <w:jc w:val="center"/>
              <w:rPr>
                <w:rFonts w:cstheme="minorHAnsi"/>
                <w:sz w:val="18"/>
                <w:szCs w:val="18"/>
              </w:rPr>
            </w:pPr>
            <w:r>
              <w:rPr>
                <w:rFonts w:cstheme="minorHAnsi"/>
                <w:sz w:val="18"/>
                <w:szCs w:val="18"/>
              </w:rPr>
              <w:t>N2</w:t>
            </w:r>
          </w:p>
        </w:tc>
        <w:tc>
          <w:tcPr>
            <w:tcW w:w="3596" w:type="pct"/>
            <w:gridSpan w:val="2"/>
            <w:tcBorders>
              <w:bottom w:val="single" w:color="auto" w:sz="4" w:space="0"/>
            </w:tcBorders>
            <w:shd w:val="clear" w:color="auto" w:fill="auto"/>
            <w:vAlign w:val="center"/>
          </w:tcPr>
          <w:p w14:paraId="56A0B734">
            <w:pPr>
              <w:widowControl/>
              <w:spacing w:after="240"/>
              <w:rPr>
                <w:rFonts w:cstheme="minorHAnsi"/>
                <w:sz w:val="18"/>
                <w:szCs w:val="18"/>
              </w:rPr>
            </w:pPr>
            <w:r>
              <w:rPr>
                <w:rFonts w:cstheme="minorHAnsi"/>
                <w:sz w:val="18"/>
                <w:szCs w:val="18"/>
              </w:rPr>
              <w:t>Heat exchange connector, M20*1.5 internal thread to M20*1.5 external thread, SUS304 stainless steel (heat sink)</w:t>
            </w:r>
          </w:p>
        </w:tc>
        <w:tc>
          <w:tcPr>
            <w:tcW w:w="382" w:type="pct"/>
            <w:tcBorders>
              <w:bottom w:val="single" w:color="auto" w:sz="4" w:space="0"/>
            </w:tcBorders>
            <w:shd w:val="clear" w:color="auto" w:fill="auto"/>
            <w:vAlign w:val="center"/>
          </w:tcPr>
          <w:p w14:paraId="6EA13C5A">
            <w:pPr>
              <w:widowControl/>
              <w:spacing w:after="240"/>
              <w:jc w:val="center"/>
              <w:rPr>
                <w:rFonts w:cstheme="minorHAnsi"/>
                <w:sz w:val="18"/>
                <w:szCs w:val="18"/>
              </w:rPr>
            </w:pPr>
            <w:r>
              <w:rPr>
                <w:rFonts w:cstheme="minorHAnsi"/>
                <w:sz w:val="18"/>
                <w:szCs w:val="18"/>
              </w:rPr>
              <w:t>●</w:t>
            </w:r>
          </w:p>
        </w:tc>
        <w:tc>
          <w:tcPr>
            <w:tcW w:w="381" w:type="pct"/>
            <w:tcBorders>
              <w:bottom w:val="single" w:color="auto" w:sz="4" w:space="0"/>
            </w:tcBorders>
            <w:shd w:val="clear" w:color="auto" w:fill="auto"/>
            <w:vAlign w:val="center"/>
          </w:tcPr>
          <w:p w14:paraId="3A952934">
            <w:pPr>
              <w:widowControl/>
              <w:spacing w:after="240"/>
              <w:jc w:val="center"/>
              <w:rPr>
                <w:rFonts w:cstheme="minorHAnsi"/>
                <w:sz w:val="18"/>
                <w:szCs w:val="18"/>
              </w:rPr>
            </w:pPr>
            <w:r>
              <w:rPr>
                <w:rFonts w:cstheme="minorHAnsi"/>
                <w:sz w:val="18"/>
                <w:szCs w:val="18"/>
              </w:rPr>
              <w:t>●</w:t>
            </w:r>
          </w:p>
        </w:tc>
      </w:tr>
      <w:tr w14:paraId="77D6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tcBorders>
              <w:bottom w:val="single" w:color="auto" w:sz="4" w:space="0"/>
            </w:tcBorders>
            <w:shd w:val="clear" w:color="auto" w:fill="BEBEBE" w:themeFill="background1" w:themeFillShade="BF"/>
            <w:vAlign w:val="center"/>
          </w:tcPr>
          <w:p w14:paraId="371D9FB6">
            <w:pPr>
              <w:widowControl/>
              <w:spacing w:after="240"/>
              <w:jc w:val="center"/>
              <w:rPr>
                <w:rFonts w:cstheme="minorHAnsi"/>
                <w:sz w:val="18"/>
                <w:szCs w:val="18"/>
              </w:rPr>
            </w:pPr>
            <w:r>
              <w:rPr>
                <w:rFonts w:cstheme="minorHAnsi"/>
                <w:sz w:val="18"/>
                <w:szCs w:val="18"/>
              </w:rPr>
              <w:t>Code</w:t>
            </w:r>
          </w:p>
        </w:tc>
        <w:tc>
          <w:tcPr>
            <w:tcW w:w="3596" w:type="pct"/>
            <w:gridSpan w:val="2"/>
            <w:tcBorders>
              <w:bottom w:val="single" w:color="auto" w:sz="4" w:space="0"/>
            </w:tcBorders>
            <w:shd w:val="clear" w:color="auto" w:fill="BEBEBE" w:themeFill="background1" w:themeFillShade="BF"/>
            <w:vAlign w:val="center"/>
          </w:tcPr>
          <w:p w14:paraId="0684D253">
            <w:pPr>
              <w:widowControl/>
              <w:spacing w:after="240"/>
              <w:jc w:val="center"/>
              <w:rPr>
                <w:rFonts w:cstheme="minorHAnsi"/>
                <w:sz w:val="18"/>
                <w:szCs w:val="18"/>
              </w:rPr>
            </w:pPr>
            <w:r>
              <w:rPr>
                <w:rFonts w:cstheme="minorHAnsi"/>
                <w:sz w:val="18"/>
                <w:szCs w:val="18"/>
              </w:rPr>
              <w:t>Additional options process connection accessories</w:t>
            </w:r>
          </w:p>
        </w:tc>
        <w:tc>
          <w:tcPr>
            <w:tcW w:w="382" w:type="pct"/>
            <w:tcBorders>
              <w:bottom w:val="single" w:color="auto" w:sz="4" w:space="0"/>
            </w:tcBorders>
            <w:shd w:val="clear" w:color="auto" w:fill="BEBEBE" w:themeFill="background1" w:themeFillShade="BF"/>
            <w:vAlign w:val="center"/>
          </w:tcPr>
          <w:p w14:paraId="30857F63">
            <w:pPr>
              <w:widowControl/>
              <w:spacing w:after="240"/>
              <w:jc w:val="center"/>
              <w:rPr>
                <w:rFonts w:cstheme="minorHAnsi"/>
                <w:sz w:val="18"/>
                <w:szCs w:val="18"/>
              </w:rPr>
            </w:pPr>
            <w:r>
              <w:rPr>
                <w:rFonts w:cstheme="minorHAnsi"/>
                <w:sz w:val="18"/>
                <w:szCs w:val="18"/>
              </w:rPr>
              <w:t>SG</w:t>
            </w:r>
          </w:p>
        </w:tc>
        <w:tc>
          <w:tcPr>
            <w:tcW w:w="381" w:type="pct"/>
            <w:tcBorders>
              <w:bottom w:val="single" w:color="auto" w:sz="4" w:space="0"/>
            </w:tcBorders>
            <w:shd w:val="clear" w:color="auto" w:fill="BEBEBE" w:themeFill="background1" w:themeFillShade="BF"/>
            <w:vAlign w:val="center"/>
          </w:tcPr>
          <w:p w14:paraId="0C74CC83">
            <w:pPr>
              <w:widowControl/>
              <w:spacing w:after="240"/>
              <w:jc w:val="center"/>
              <w:rPr>
                <w:rFonts w:cstheme="minorHAnsi"/>
                <w:sz w:val="18"/>
                <w:szCs w:val="18"/>
              </w:rPr>
            </w:pPr>
            <w:r>
              <w:rPr>
                <w:rFonts w:cstheme="minorHAnsi"/>
                <w:sz w:val="18"/>
                <w:szCs w:val="18"/>
              </w:rPr>
              <w:t>SA</w:t>
            </w:r>
          </w:p>
        </w:tc>
      </w:tr>
      <w:tr w14:paraId="0A4C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tcBorders>
              <w:bottom w:val="single" w:color="auto" w:sz="4" w:space="0"/>
            </w:tcBorders>
            <w:shd w:val="clear" w:color="auto" w:fill="auto"/>
            <w:vAlign w:val="center"/>
          </w:tcPr>
          <w:p w14:paraId="7BC767CC">
            <w:pPr>
              <w:widowControl/>
              <w:spacing w:after="240"/>
              <w:jc w:val="center"/>
              <w:rPr>
                <w:rFonts w:cstheme="minorHAnsi"/>
                <w:sz w:val="18"/>
                <w:szCs w:val="18"/>
              </w:rPr>
            </w:pPr>
            <w:r>
              <w:rPr>
                <w:rFonts w:cstheme="minorHAnsi"/>
                <w:sz w:val="18"/>
                <w:szCs w:val="18"/>
              </w:rPr>
              <w:t>Z1</w:t>
            </w:r>
          </w:p>
        </w:tc>
        <w:tc>
          <w:tcPr>
            <w:tcW w:w="3596" w:type="pct"/>
            <w:gridSpan w:val="2"/>
            <w:tcBorders>
              <w:bottom w:val="single" w:color="auto" w:sz="4" w:space="0"/>
            </w:tcBorders>
            <w:shd w:val="clear" w:color="auto" w:fill="auto"/>
            <w:vAlign w:val="center"/>
          </w:tcPr>
          <w:p w14:paraId="2BE5F8AB">
            <w:pPr>
              <w:widowControl/>
              <w:spacing w:after="240"/>
              <w:rPr>
                <w:rFonts w:cstheme="minorHAnsi"/>
                <w:sz w:val="18"/>
                <w:szCs w:val="18"/>
              </w:rPr>
            </w:pPr>
            <w:r>
              <w:rPr>
                <w:rFonts w:cstheme="minorHAnsi"/>
                <w:sz w:val="18"/>
                <w:szCs w:val="18"/>
              </w:rPr>
              <w:t>Welded connector, internal thread M20*1.5, SUS304 stainless steel</w:t>
            </w:r>
          </w:p>
        </w:tc>
        <w:tc>
          <w:tcPr>
            <w:tcW w:w="382" w:type="pct"/>
            <w:tcBorders>
              <w:bottom w:val="single" w:color="auto" w:sz="4" w:space="0"/>
            </w:tcBorders>
            <w:shd w:val="clear" w:color="auto" w:fill="auto"/>
            <w:vAlign w:val="center"/>
          </w:tcPr>
          <w:p w14:paraId="30817FD4">
            <w:pPr>
              <w:widowControl/>
              <w:spacing w:after="240"/>
              <w:jc w:val="center"/>
              <w:rPr>
                <w:rFonts w:cstheme="minorHAnsi"/>
                <w:sz w:val="18"/>
                <w:szCs w:val="18"/>
              </w:rPr>
            </w:pPr>
            <w:r>
              <w:rPr>
                <w:rFonts w:cstheme="minorHAnsi"/>
                <w:sz w:val="18"/>
                <w:szCs w:val="18"/>
              </w:rPr>
              <w:t>●</w:t>
            </w:r>
          </w:p>
        </w:tc>
        <w:tc>
          <w:tcPr>
            <w:tcW w:w="381" w:type="pct"/>
            <w:tcBorders>
              <w:bottom w:val="single" w:color="auto" w:sz="4" w:space="0"/>
            </w:tcBorders>
            <w:shd w:val="clear" w:color="auto" w:fill="auto"/>
            <w:vAlign w:val="center"/>
          </w:tcPr>
          <w:p w14:paraId="7311BB55">
            <w:pPr>
              <w:widowControl/>
              <w:spacing w:after="240"/>
              <w:jc w:val="center"/>
              <w:rPr>
                <w:rFonts w:cstheme="minorHAnsi"/>
                <w:sz w:val="18"/>
                <w:szCs w:val="18"/>
              </w:rPr>
            </w:pPr>
            <w:r>
              <w:rPr>
                <w:rFonts w:cstheme="minorHAnsi"/>
                <w:sz w:val="18"/>
                <w:szCs w:val="18"/>
              </w:rPr>
              <w:t>●</w:t>
            </w:r>
          </w:p>
        </w:tc>
      </w:tr>
      <w:tr w14:paraId="436B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tcBorders>
              <w:bottom w:val="single" w:color="auto" w:sz="4" w:space="0"/>
            </w:tcBorders>
            <w:shd w:val="clear" w:color="auto" w:fill="auto"/>
            <w:vAlign w:val="center"/>
          </w:tcPr>
          <w:p w14:paraId="3A5B7469">
            <w:pPr>
              <w:widowControl/>
              <w:spacing w:after="240"/>
              <w:jc w:val="center"/>
              <w:rPr>
                <w:rFonts w:cstheme="minorHAnsi"/>
                <w:sz w:val="18"/>
                <w:szCs w:val="18"/>
              </w:rPr>
            </w:pPr>
            <w:r>
              <w:rPr>
                <w:rFonts w:cstheme="minorHAnsi"/>
                <w:sz w:val="18"/>
                <w:szCs w:val="18"/>
              </w:rPr>
              <w:t>Z2</w:t>
            </w:r>
          </w:p>
        </w:tc>
        <w:tc>
          <w:tcPr>
            <w:tcW w:w="3596" w:type="pct"/>
            <w:gridSpan w:val="2"/>
            <w:tcBorders>
              <w:bottom w:val="single" w:color="auto" w:sz="4" w:space="0"/>
            </w:tcBorders>
            <w:shd w:val="clear" w:color="auto" w:fill="auto"/>
            <w:vAlign w:val="center"/>
          </w:tcPr>
          <w:p w14:paraId="618DBB1B">
            <w:pPr>
              <w:widowControl/>
              <w:spacing w:after="240"/>
              <w:rPr>
                <w:rFonts w:cstheme="minorHAnsi"/>
                <w:sz w:val="18"/>
                <w:szCs w:val="18"/>
              </w:rPr>
            </w:pPr>
            <w:r>
              <w:rPr>
                <w:rFonts w:cstheme="minorHAnsi"/>
                <w:sz w:val="18"/>
                <w:szCs w:val="18"/>
              </w:rPr>
              <w:t>Welding adapter, female thread G1/2, SUS304 stainless steel</w:t>
            </w:r>
          </w:p>
        </w:tc>
        <w:tc>
          <w:tcPr>
            <w:tcW w:w="382" w:type="pct"/>
            <w:tcBorders>
              <w:bottom w:val="single" w:color="auto" w:sz="4" w:space="0"/>
            </w:tcBorders>
            <w:shd w:val="clear" w:color="auto" w:fill="auto"/>
            <w:vAlign w:val="center"/>
          </w:tcPr>
          <w:p w14:paraId="154FE848">
            <w:pPr>
              <w:widowControl/>
              <w:spacing w:after="240"/>
              <w:jc w:val="center"/>
              <w:rPr>
                <w:rFonts w:cstheme="minorHAnsi"/>
                <w:sz w:val="18"/>
                <w:szCs w:val="18"/>
              </w:rPr>
            </w:pPr>
            <w:r>
              <w:rPr>
                <w:rFonts w:cstheme="minorHAnsi"/>
                <w:sz w:val="18"/>
                <w:szCs w:val="18"/>
              </w:rPr>
              <w:t>●</w:t>
            </w:r>
          </w:p>
        </w:tc>
        <w:tc>
          <w:tcPr>
            <w:tcW w:w="381" w:type="pct"/>
            <w:tcBorders>
              <w:bottom w:val="single" w:color="auto" w:sz="4" w:space="0"/>
            </w:tcBorders>
            <w:shd w:val="clear" w:color="auto" w:fill="auto"/>
            <w:vAlign w:val="center"/>
          </w:tcPr>
          <w:p w14:paraId="358ED418">
            <w:pPr>
              <w:widowControl/>
              <w:spacing w:after="240"/>
              <w:jc w:val="center"/>
              <w:rPr>
                <w:rFonts w:cstheme="minorHAnsi"/>
                <w:sz w:val="18"/>
                <w:szCs w:val="18"/>
              </w:rPr>
            </w:pPr>
            <w:r>
              <w:rPr>
                <w:rFonts w:cstheme="minorHAnsi"/>
                <w:sz w:val="18"/>
                <w:szCs w:val="18"/>
              </w:rPr>
              <w:t>●</w:t>
            </w:r>
          </w:p>
        </w:tc>
      </w:tr>
      <w:tr w14:paraId="7726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CCCCCC"/>
            <w:vAlign w:val="center"/>
          </w:tcPr>
          <w:p w14:paraId="0BCA27F8">
            <w:pPr>
              <w:widowControl/>
              <w:spacing w:after="240"/>
              <w:jc w:val="center"/>
              <w:rPr>
                <w:rFonts w:cstheme="minorHAnsi"/>
                <w:sz w:val="18"/>
                <w:szCs w:val="18"/>
              </w:rPr>
            </w:pPr>
            <w:r>
              <w:rPr>
                <w:rFonts w:cstheme="minorHAnsi"/>
                <w:sz w:val="18"/>
                <w:szCs w:val="18"/>
              </w:rPr>
              <w:t>Code</w:t>
            </w:r>
          </w:p>
        </w:tc>
        <w:tc>
          <w:tcPr>
            <w:tcW w:w="3596" w:type="pct"/>
            <w:gridSpan w:val="2"/>
            <w:shd w:val="clear" w:color="auto" w:fill="CCCCCC"/>
            <w:vAlign w:val="center"/>
          </w:tcPr>
          <w:p w14:paraId="656C1EE5">
            <w:pPr>
              <w:widowControl/>
              <w:spacing w:after="240"/>
              <w:jc w:val="center"/>
              <w:rPr>
                <w:rFonts w:cstheme="minorHAnsi"/>
                <w:sz w:val="18"/>
                <w:szCs w:val="18"/>
              </w:rPr>
            </w:pPr>
            <w:r>
              <w:rPr>
                <w:rFonts w:cstheme="minorHAnsi"/>
                <w:sz w:val="18"/>
                <w:szCs w:val="18"/>
              </w:rPr>
              <w:t>Ex type</w:t>
            </w:r>
          </w:p>
        </w:tc>
        <w:tc>
          <w:tcPr>
            <w:tcW w:w="382" w:type="pct"/>
            <w:shd w:val="clear" w:color="auto" w:fill="CCCCCC"/>
            <w:vAlign w:val="center"/>
          </w:tcPr>
          <w:p w14:paraId="7FEA342B">
            <w:pPr>
              <w:widowControl/>
              <w:spacing w:after="240"/>
              <w:jc w:val="center"/>
              <w:rPr>
                <w:rFonts w:cstheme="minorHAnsi"/>
                <w:sz w:val="18"/>
                <w:szCs w:val="18"/>
              </w:rPr>
            </w:pPr>
            <w:r>
              <w:rPr>
                <w:rFonts w:cstheme="minorHAnsi"/>
                <w:sz w:val="18"/>
                <w:szCs w:val="18"/>
              </w:rPr>
              <w:t>SG</w:t>
            </w:r>
          </w:p>
        </w:tc>
        <w:tc>
          <w:tcPr>
            <w:tcW w:w="381" w:type="pct"/>
            <w:shd w:val="clear" w:color="auto" w:fill="CCCCCC"/>
            <w:vAlign w:val="center"/>
          </w:tcPr>
          <w:p w14:paraId="56E054EC">
            <w:pPr>
              <w:widowControl/>
              <w:spacing w:after="240"/>
              <w:jc w:val="center"/>
              <w:rPr>
                <w:rFonts w:cstheme="minorHAnsi"/>
                <w:sz w:val="18"/>
                <w:szCs w:val="18"/>
              </w:rPr>
            </w:pPr>
            <w:r>
              <w:rPr>
                <w:rFonts w:cstheme="minorHAnsi"/>
                <w:sz w:val="18"/>
                <w:szCs w:val="18"/>
              </w:rPr>
              <w:t>SA</w:t>
            </w:r>
          </w:p>
        </w:tc>
      </w:tr>
      <w:tr w14:paraId="321B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27779FBA">
            <w:pPr>
              <w:widowControl/>
              <w:spacing w:after="240"/>
              <w:jc w:val="center"/>
              <w:rPr>
                <w:rFonts w:cstheme="minorHAnsi"/>
                <w:sz w:val="18"/>
                <w:szCs w:val="18"/>
              </w:rPr>
            </w:pPr>
            <w:r>
              <w:rPr>
                <w:rFonts w:cstheme="minorHAnsi"/>
                <w:sz w:val="18"/>
                <w:szCs w:val="18"/>
              </w:rPr>
              <w:t>DA</w:t>
            </w:r>
          </w:p>
        </w:tc>
        <w:tc>
          <w:tcPr>
            <w:tcW w:w="3596" w:type="pct"/>
            <w:gridSpan w:val="2"/>
            <w:shd w:val="clear" w:color="auto" w:fill="auto"/>
            <w:vAlign w:val="center"/>
          </w:tcPr>
          <w:p w14:paraId="33376854">
            <w:pPr>
              <w:widowControl/>
              <w:spacing w:after="240"/>
              <w:rPr>
                <w:rFonts w:cstheme="minorHAnsi"/>
                <w:sz w:val="18"/>
                <w:szCs w:val="18"/>
              </w:rPr>
            </w:pPr>
            <w:r>
              <w:rPr>
                <w:rFonts w:cstheme="minorHAnsi"/>
                <w:sz w:val="18"/>
                <w:szCs w:val="18"/>
              </w:rPr>
              <w:t>Ex d IIC T6 Gb</w:t>
            </w:r>
          </w:p>
        </w:tc>
        <w:tc>
          <w:tcPr>
            <w:tcW w:w="382" w:type="pct"/>
            <w:shd w:val="clear" w:color="auto" w:fill="auto"/>
            <w:vAlign w:val="center"/>
          </w:tcPr>
          <w:p w14:paraId="6FAA3C79">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70DEE59D">
            <w:pPr>
              <w:widowControl/>
              <w:spacing w:after="240"/>
              <w:jc w:val="center"/>
              <w:rPr>
                <w:rFonts w:cstheme="minorHAnsi"/>
                <w:sz w:val="18"/>
                <w:szCs w:val="18"/>
              </w:rPr>
            </w:pPr>
            <w:r>
              <w:rPr>
                <w:rFonts w:cstheme="minorHAnsi"/>
                <w:sz w:val="18"/>
                <w:szCs w:val="18"/>
              </w:rPr>
              <w:t>●</w:t>
            </w:r>
          </w:p>
        </w:tc>
      </w:tr>
      <w:tr w14:paraId="3A30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6CF08879">
            <w:pPr>
              <w:widowControl/>
              <w:spacing w:after="240"/>
              <w:jc w:val="center"/>
              <w:rPr>
                <w:rFonts w:cstheme="minorHAnsi"/>
                <w:sz w:val="18"/>
                <w:szCs w:val="18"/>
              </w:rPr>
            </w:pPr>
            <w:r>
              <w:rPr>
                <w:rFonts w:cstheme="minorHAnsi"/>
                <w:sz w:val="18"/>
                <w:szCs w:val="18"/>
              </w:rPr>
              <w:t>IA</w:t>
            </w:r>
          </w:p>
        </w:tc>
        <w:tc>
          <w:tcPr>
            <w:tcW w:w="3596" w:type="pct"/>
            <w:gridSpan w:val="2"/>
            <w:shd w:val="clear" w:color="auto" w:fill="auto"/>
            <w:vAlign w:val="center"/>
          </w:tcPr>
          <w:p w14:paraId="62B07D0C">
            <w:pPr>
              <w:widowControl/>
              <w:spacing w:after="240"/>
              <w:rPr>
                <w:rFonts w:cstheme="minorHAnsi"/>
                <w:sz w:val="18"/>
                <w:szCs w:val="18"/>
              </w:rPr>
            </w:pPr>
            <w:r>
              <w:rPr>
                <w:rFonts w:cstheme="minorHAnsi"/>
                <w:sz w:val="18"/>
                <w:szCs w:val="18"/>
              </w:rPr>
              <w:t>Ex ia IIC T6 Ga</w:t>
            </w:r>
          </w:p>
        </w:tc>
        <w:tc>
          <w:tcPr>
            <w:tcW w:w="382" w:type="pct"/>
            <w:shd w:val="clear" w:color="auto" w:fill="auto"/>
            <w:vAlign w:val="center"/>
          </w:tcPr>
          <w:p w14:paraId="27BA0F33">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27E5E933">
            <w:pPr>
              <w:widowControl/>
              <w:spacing w:after="240"/>
              <w:jc w:val="center"/>
              <w:rPr>
                <w:rFonts w:cstheme="minorHAnsi"/>
                <w:sz w:val="18"/>
                <w:szCs w:val="18"/>
              </w:rPr>
            </w:pPr>
            <w:r>
              <w:rPr>
                <w:rFonts w:cstheme="minorHAnsi"/>
                <w:sz w:val="18"/>
                <w:szCs w:val="18"/>
              </w:rPr>
              <w:t>●</w:t>
            </w:r>
          </w:p>
        </w:tc>
      </w:tr>
      <w:tr w14:paraId="4B64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63B85F98">
            <w:pPr>
              <w:widowControl/>
              <w:spacing w:after="240"/>
              <w:jc w:val="center"/>
              <w:rPr>
                <w:rFonts w:cstheme="minorHAnsi"/>
                <w:sz w:val="18"/>
                <w:szCs w:val="18"/>
              </w:rPr>
            </w:pPr>
            <w:r>
              <w:rPr>
                <w:rFonts w:cstheme="minorHAnsi"/>
                <w:sz w:val="18"/>
                <w:szCs w:val="18"/>
              </w:rPr>
              <w:t>IB</w:t>
            </w:r>
          </w:p>
        </w:tc>
        <w:tc>
          <w:tcPr>
            <w:tcW w:w="3596" w:type="pct"/>
            <w:gridSpan w:val="2"/>
            <w:shd w:val="clear" w:color="auto" w:fill="auto"/>
            <w:vAlign w:val="center"/>
          </w:tcPr>
          <w:p w14:paraId="33383C56">
            <w:pPr>
              <w:widowControl/>
              <w:spacing w:after="240"/>
              <w:rPr>
                <w:rFonts w:cstheme="minorHAnsi"/>
                <w:sz w:val="18"/>
                <w:szCs w:val="18"/>
              </w:rPr>
            </w:pPr>
            <w:r>
              <w:rPr>
                <w:rFonts w:cstheme="minorHAnsi"/>
                <w:sz w:val="18"/>
                <w:szCs w:val="18"/>
              </w:rPr>
              <w:t>Ex ia IIC T5</w:t>
            </w:r>
          </w:p>
        </w:tc>
        <w:tc>
          <w:tcPr>
            <w:tcW w:w="382" w:type="pct"/>
            <w:shd w:val="clear" w:color="auto" w:fill="auto"/>
            <w:vAlign w:val="center"/>
          </w:tcPr>
          <w:p w14:paraId="0F6F7B39">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42D6F43A">
            <w:pPr>
              <w:widowControl/>
              <w:spacing w:after="240"/>
              <w:jc w:val="center"/>
              <w:rPr>
                <w:rFonts w:cstheme="minorHAnsi"/>
                <w:sz w:val="18"/>
                <w:szCs w:val="18"/>
              </w:rPr>
            </w:pPr>
            <w:r>
              <w:rPr>
                <w:rFonts w:cstheme="minorHAnsi"/>
                <w:sz w:val="18"/>
                <w:szCs w:val="18"/>
              </w:rPr>
              <w:t>●</w:t>
            </w:r>
          </w:p>
        </w:tc>
      </w:tr>
      <w:tr w14:paraId="3292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5C9C5B7F">
            <w:pPr>
              <w:widowControl/>
              <w:spacing w:after="240"/>
              <w:jc w:val="center"/>
              <w:rPr>
                <w:rFonts w:cstheme="minorHAnsi"/>
                <w:sz w:val="18"/>
                <w:szCs w:val="18"/>
              </w:rPr>
            </w:pPr>
            <w:r>
              <w:rPr>
                <w:rFonts w:cstheme="minorHAnsi"/>
                <w:sz w:val="18"/>
                <w:szCs w:val="18"/>
              </w:rPr>
              <w:t>IC</w:t>
            </w:r>
          </w:p>
        </w:tc>
        <w:tc>
          <w:tcPr>
            <w:tcW w:w="3596" w:type="pct"/>
            <w:gridSpan w:val="2"/>
            <w:shd w:val="clear" w:color="auto" w:fill="auto"/>
            <w:vAlign w:val="center"/>
          </w:tcPr>
          <w:p w14:paraId="756F0893">
            <w:pPr>
              <w:widowControl/>
              <w:spacing w:after="240"/>
              <w:rPr>
                <w:rFonts w:cstheme="minorHAnsi"/>
                <w:sz w:val="18"/>
                <w:szCs w:val="18"/>
              </w:rPr>
            </w:pPr>
            <w:r>
              <w:rPr>
                <w:rFonts w:cstheme="minorHAnsi"/>
                <w:sz w:val="18"/>
                <w:szCs w:val="18"/>
              </w:rPr>
              <w:t>Ex ia IIC T4 Ga</w:t>
            </w:r>
          </w:p>
        </w:tc>
        <w:tc>
          <w:tcPr>
            <w:tcW w:w="382" w:type="pct"/>
            <w:shd w:val="clear" w:color="auto" w:fill="auto"/>
            <w:vAlign w:val="center"/>
          </w:tcPr>
          <w:p w14:paraId="3FA8EFC1">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4F029ECC">
            <w:pPr>
              <w:widowControl/>
              <w:spacing w:after="240"/>
              <w:jc w:val="center"/>
              <w:rPr>
                <w:rFonts w:cstheme="minorHAnsi"/>
                <w:sz w:val="18"/>
                <w:szCs w:val="18"/>
              </w:rPr>
            </w:pPr>
            <w:r>
              <w:rPr>
                <w:rFonts w:cstheme="minorHAnsi"/>
                <w:sz w:val="18"/>
                <w:szCs w:val="18"/>
              </w:rPr>
              <w:t>●</w:t>
            </w:r>
          </w:p>
        </w:tc>
      </w:tr>
      <w:tr w14:paraId="5FD2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BEBEBE" w:themeFill="background1" w:themeFillShade="BF"/>
            <w:vAlign w:val="center"/>
          </w:tcPr>
          <w:p w14:paraId="023160C1">
            <w:pPr>
              <w:widowControl/>
              <w:spacing w:after="240"/>
              <w:jc w:val="center"/>
              <w:rPr>
                <w:rFonts w:cstheme="minorHAnsi"/>
                <w:sz w:val="18"/>
                <w:szCs w:val="18"/>
              </w:rPr>
            </w:pPr>
            <w:r>
              <w:rPr>
                <w:rFonts w:cstheme="minorHAnsi"/>
                <w:sz w:val="18"/>
                <w:szCs w:val="18"/>
              </w:rPr>
              <w:t>Code</w:t>
            </w:r>
          </w:p>
        </w:tc>
        <w:tc>
          <w:tcPr>
            <w:tcW w:w="3596" w:type="pct"/>
            <w:gridSpan w:val="2"/>
            <w:shd w:val="clear" w:color="auto" w:fill="BEBEBE" w:themeFill="background1" w:themeFillShade="BF"/>
            <w:vAlign w:val="center"/>
          </w:tcPr>
          <w:p w14:paraId="3B596F55">
            <w:pPr>
              <w:widowControl/>
              <w:spacing w:after="240"/>
              <w:jc w:val="center"/>
              <w:rPr>
                <w:rFonts w:cstheme="minorHAnsi"/>
                <w:sz w:val="18"/>
                <w:szCs w:val="18"/>
              </w:rPr>
            </w:pPr>
            <w:r>
              <w:rPr>
                <w:rFonts w:hint="eastAsia" w:cstheme="minorHAnsi"/>
                <w:sz w:val="18"/>
                <w:szCs w:val="18"/>
              </w:rPr>
              <w:t>M</w:t>
            </w:r>
            <w:r>
              <w:rPr>
                <w:rFonts w:cstheme="minorHAnsi"/>
                <w:sz w:val="18"/>
                <w:szCs w:val="18"/>
              </w:rPr>
              <w:t>ounting bracket</w:t>
            </w:r>
          </w:p>
        </w:tc>
        <w:tc>
          <w:tcPr>
            <w:tcW w:w="382" w:type="pct"/>
            <w:shd w:val="clear" w:color="auto" w:fill="BEBEBE" w:themeFill="background1" w:themeFillShade="BF"/>
            <w:vAlign w:val="center"/>
          </w:tcPr>
          <w:p w14:paraId="7110D197">
            <w:pPr>
              <w:widowControl/>
              <w:spacing w:after="240"/>
              <w:jc w:val="center"/>
              <w:rPr>
                <w:rFonts w:cstheme="minorHAnsi"/>
                <w:sz w:val="18"/>
                <w:szCs w:val="18"/>
              </w:rPr>
            </w:pPr>
            <w:r>
              <w:rPr>
                <w:rFonts w:cstheme="minorHAnsi"/>
                <w:sz w:val="18"/>
                <w:szCs w:val="18"/>
              </w:rPr>
              <w:t>SG</w:t>
            </w:r>
          </w:p>
        </w:tc>
        <w:tc>
          <w:tcPr>
            <w:tcW w:w="381" w:type="pct"/>
            <w:shd w:val="clear" w:color="auto" w:fill="BEBEBE" w:themeFill="background1" w:themeFillShade="BF"/>
            <w:vAlign w:val="center"/>
          </w:tcPr>
          <w:p w14:paraId="2D458A2A">
            <w:pPr>
              <w:widowControl/>
              <w:spacing w:after="240"/>
              <w:jc w:val="center"/>
              <w:rPr>
                <w:rFonts w:cstheme="minorHAnsi"/>
                <w:sz w:val="18"/>
                <w:szCs w:val="18"/>
              </w:rPr>
            </w:pPr>
            <w:r>
              <w:rPr>
                <w:rFonts w:cstheme="minorHAnsi"/>
                <w:sz w:val="18"/>
                <w:szCs w:val="18"/>
              </w:rPr>
              <w:t>SA</w:t>
            </w:r>
          </w:p>
        </w:tc>
      </w:tr>
      <w:tr w14:paraId="39F9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250452A9">
            <w:pPr>
              <w:widowControl/>
              <w:spacing w:after="240"/>
              <w:jc w:val="center"/>
              <w:rPr>
                <w:rFonts w:cstheme="minorHAnsi"/>
                <w:sz w:val="18"/>
                <w:szCs w:val="18"/>
              </w:rPr>
            </w:pPr>
            <w:r>
              <w:rPr>
                <w:rFonts w:hint="eastAsia" w:cstheme="minorHAnsi"/>
                <w:sz w:val="18"/>
                <w:szCs w:val="18"/>
              </w:rPr>
              <w:t>B</w:t>
            </w:r>
            <w:r>
              <w:rPr>
                <w:rFonts w:cstheme="minorHAnsi"/>
                <w:sz w:val="18"/>
                <w:szCs w:val="18"/>
              </w:rPr>
              <w:t>4</w:t>
            </w:r>
          </w:p>
        </w:tc>
        <w:tc>
          <w:tcPr>
            <w:tcW w:w="3596" w:type="pct"/>
            <w:gridSpan w:val="2"/>
            <w:shd w:val="clear" w:color="auto" w:fill="auto"/>
            <w:vAlign w:val="center"/>
          </w:tcPr>
          <w:p w14:paraId="31E3F5A9">
            <w:pPr>
              <w:widowControl/>
              <w:spacing w:after="240"/>
              <w:rPr>
                <w:rFonts w:cstheme="minorHAnsi"/>
                <w:sz w:val="18"/>
                <w:szCs w:val="18"/>
              </w:rPr>
            </w:pPr>
            <w:r>
              <w:rPr>
                <w:rFonts w:hint="eastAsia" w:cstheme="minorHAnsi"/>
                <w:sz w:val="18"/>
                <w:szCs w:val="18"/>
              </w:rPr>
              <w:t>S</w:t>
            </w:r>
            <w:r>
              <w:rPr>
                <w:rFonts w:cstheme="minorHAnsi"/>
                <w:sz w:val="18"/>
                <w:szCs w:val="18"/>
              </w:rPr>
              <w:t>S316</w:t>
            </w:r>
          </w:p>
        </w:tc>
        <w:tc>
          <w:tcPr>
            <w:tcW w:w="382" w:type="pct"/>
            <w:shd w:val="clear" w:color="auto" w:fill="auto"/>
            <w:vAlign w:val="center"/>
          </w:tcPr>
          <w:p w14:paraId="11542D30">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65564747">
            <w:pPr>
              <w:widowControl/>
              <w:spacing w:after="240"/>
              <w:jc w:val="center"/>
              <w:rPr>
                <w:rFonts w:cstheme="minorHAnsi"/>
                <w:sz w:val="18"/>
                <w:szCs w:val="18"/>
              </w:rPr>
            </w:pPr>
            <w:r>
              <w:rPr>
                <w:rFonts w:cstheme="minorHAnsi"/>
                <w:sz w:val="18"/>
                <w:szCs w:val="18"/>
              </w:rPr>
              <w:t>●</w:t>
            </w:r>
          </w:p>
        </w:tc>
      </w:tr>
      <w:tr w14:paraId="0257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BEBEBE" w:themeFill="background1" w:themeFillShade="BF"/>
            <w:vAlign w:val="center"/>
          </w:tcPr>
          <w:p w14:paraId="6A9B8F50">
            <w:pPr>
              <w:widowControl/>
              <w:spacing w:after="240"/>
              <w:jc w:val="center"/>
              <w:rPr>
                <w:rFonts w:cstheme="minorHAnsi"/>
                <w:sz w:val="18"/>
                <w:szCs w:val="18"/>
              </w:rPr>
            </w:pPr>
            <w:r>
              <w:rPr>
                <w:rFonts w:cstheme="minorHAnsi"/>
                <w:sz w:val="18"/>
                <w:szCs w:val="18"/>
              </w:rPr>
              <w:t>Code</w:t>
            </w:r>
          </w:p>
        </w:tc>
        <w:tc>
          <w:tcPr>
            <w:tcW w:w="3596" w:type="pct"/>
            <w:gridSpan w:val="2"/>
            <w:shd w:val="clear" w:color="auto" w:fill="BEBEBE" w:themeFill="background1" w:themeFillShade="BF"/>
            <w:vAlign w:val="center"/>
          </w:tcPr>
          <w:p w14:paraId="6CD5EB8B">
            <w:pPr>
              <w:widowControl/>
              <w:spacing w:after="240"/>
              <w:jc w:val="center"/>
              <w:rPr>
                <w:rFonts w:cstheme="minorHAnsi"/>
                <w:sz w:val="18"/>
                <w:szCs w:val="18"/>
              </w:rPr>
            </w:pPr>
            <w:r>
              <w:rPr>
                <w:rFonts w:cstheme="minorHAnsi"/>
                <w:sz w:val="18"/>
                <w:szCs w:val="18"/>
              </w:rPr>
              <w:t>Protection class</w:t>
            </w:r>
          </w:p>
        </w:tc>
        <w:tc>
          <w:tcPr>
            <w:tcW w:w="382" w:type="pct"/>
            <w:shd w:val="clear" w:color="auto" w:fill="BEBEBE" w:themeFill="background1" w:themeFillShade="BF"/>
            <w:vAlign w:val="center"/>
          </w:tcPr>
          <w:p w14:paraId="65BA1A85">
            <w:pPr>
              <w:widowControl/>
              <w:spacing w:after="240"/>
              <w:jc w:val="center"/>
              <w:rPr>
                <w:rFonts w:cstheme="minorHAnsi"/>
                <w:sz w:val="18"/>
                <w:szCs w:val="18"/>
              </w:rPr>
            </w:pPr>
            <w:r>
              <w:rPr>
                <w:rFonts w:cstheme="minorHAnsi"/>
                <w:sz w:val="18"/>
                <w:szCs w:val="18"/>
              </w:rPr>
              <w:t>SG</w:t>
            </w:r>
          </w:p>
        </w:tc>
        <w:tc>
          <w:tcPr>
            <w:tcW w:w="381" w:type="pct"/>
            <w:shd w:val="clear" w:color="auto" w:fill="BEBEBE" w:themeFill="background1" w:themeFillShade="BF"/>
            <w:vAlign w:val="center"/>
          </w:tcPr>
          <w:p w14:paraId="2F98573B">
            <w:pPr>
              <w:widowControl/>
              <w:spacing w:after="240"/>
              <w:jc w:val="center"/>
              <w:rPr>
                <w:rFonts w:cstheme="minorHAnsi"/>
                <w:sz w:val="18"/>
                <w:szCs w:val="18"/>
              </w:rPr>
            </w:pPr>
            <w:r>
              <w:rPr>
                <w:rFonts w:cstheme="minorHAnsi"/>
                <w:sz w:val="18"/>
                <w:szCs w:val="18"/>
              </w:rPr>
              <w:t>SA</w:t>
            </w:r>
          </w:p>
        </w:tc>
      </w:tr>
      <w:tr w14:paraId="7D63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641" w:type="pct"/>
            <w:shd w:val="clear" w:color="auto" w:fill="auto"/>
            <w:vAlign w:val="center"/>
          </w:tcPr>
          <w:p w14:paraId="619D7CE6">
            <w:pPr>
              <w:widowControl/>
              <w:spacing w:after="240"/>
              <w:jc w:val="center"/>
              <w:rPr>
                <w:rFonts w:cstheme="minorHAnsi"/>
                <w:sz w:val="18"/>
                <w:szCs w:val="18"/>
              </w:rPr>
            </w:pPr>
            <w:r>
              <w:rPr>
                <w:rFonts w:cstheme="minorHAnsi"/>
                <w:sz w:val="18"/>
                <w:szCs w:val="18"/>
              </w:rPr>
              <w:t>IP</w:t>
            </w:r>
          </w:p>
        </w:tc>
        <w:tc>
          <w:tcPr>
            <w:tcW w:w="3596" w:type="pct"/>
            <w:gridSpan w:val="2"/>
            <w:shd w:val="clear" w:color="auto" w:fill="auto"/>
            <w:vAlign w:val="center"/>
          </w:tcPr>
          <w:p w14:paraId="71CD7644">
            <w:pPr>
              <w:widowControl/>
              <w:spacing w:after="240"/>
              <w:rPr>
                <w:rFonts w:cstheme="minorHAnsi"/>
                <w:sz w:val="18"/>
                <w:szCs w:val="18"/>
              </w:rPr>
            </w:pPr>
            <w:r>
              <w:rPr>
                <w:rFonts w:cstheme="minorHAnsi"/>
                <w:sz w:val="18"/>
                <w:szCs w:val="18"/>
              </w:rPr>
              <w:t>IP67 (If IP is not selected, the default is IP65)</w:t>
            </w:r>
          </w:p>
        </w:tc>
        <w:tc>
          <w:tcPr>
            <w:tcW w:w="382" w:type="pct"/>
            <w:shd w:val="clear" w:color="auto" w:fill="auto"/>
            <w:vAlign w:val="center"/>
          </w:tcPr>
          <w:p w14:paraId="723F126D">
            <w:pPr>
              <w:widowControl/>
              <w:spacing w:after="240"/>
              <w:jc w:val="center"/>
              <w:rPr>
                <w:rFonts w:cstheme="minorHAnsi"/>
                <w:sz w:val="18"/>
                <w:szCs w:val="18"/>
              </w:rPr>
            </w:pPr>
            <w:r>
              <w:rPr>
                <w:rFonts w:cstheme="minorHAnsi"/>
                <w:sz w:val="18"/>
                <w:szCs w:val="18"/>
              </w:rPr>
              <w:t>●</w:t>
            </w:r>
          </w:p>
        </w:tc>
        <w:tc>
          <w:tcPr>
            <w:tcW w:w="381" w:type="pct"/>
            <w:shd w:val="clear" w:color="auto" w:fill="auto"/>
            <w:vAlign w:val="center"/>
          </w:tcPr>
          <w:p w14:paraId="78B2C606">
            <w:pPr>
              <w:widowControl/>
              <w:spacing w:after="240"/>
              <w:jc w:val="center"/>
              <w:rPr>
                <w:rFonts w:cstheme="minorHAnsi"/>
                <w:sz w:val="18"/>
                <w:szCs w:val="18"/>
              </w:rPr>
            </w:pPr>
            <w:r>
              <w:rPr>
                <w:rFonts w:cstheme="minorHAnsi"/>
                <w:sz w:val="18"/>
                <w:szCs w:val="18"/>
              </w:rPr>
              <w:t>●</w:t>
            </w:r>
          </w:p>
        </w:tc>
      </w:tr>
    </w:tbl>
    <w:p w14:paraId="454B0BEC">
      <w:pPr>
        <w:spacing w:before="120" w:beforeLines="50" w:after="120" w:afterLines="50"/>
        <w:rPr>
          <w:rFonts w:cstheme="minorHAnsi"/>
        </w:rPr>
        <w:sectPr>
          <w:headerReference r:id="rId13" w:type="default"/>
          <w:footerReference r:id="rId14" w:type="default"/>
          <w:pgSz w:w="11907" w:h="16840"/>
          <w:pgMar w:top="1554" w:right="1077" w:bottom="1134" w:left="1077" w:header="539" w:footer="567" w:gutter="0"/>
          <w:cols w:space="425" w:num="1"/>
          <w:docGrid w:linePitch="312" w:charSpace="48128"/>
        </w:sectPr>
      </w:pPr>
    </w:p>
    <w:p w14:paraId="1058A7DE">
      <w:pPr>
        <w:pStyle w:val="44"/>
        <w:jc w:val="center"/>
      </w:pPr>
      <w:bookmarkStart w:id="250" w:name="_Toc16162"/>
      <w:bookmarkStart w:id="251" w:name="_Toc199429876"/>
      <w:r>
        <w:t>NCS-PT105IISM</w:t>
      </w:r>
      <w:bookmarkEnd w:id="250"/>
      <w:r>
        <w:t xml:space="preserve"> Pressure Transmitter Diaphragm Seals Selection</w:t>
      </w:r>
      <w:bookmarkEnd w:id="251"/>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6847"/>
        <w:gridCol w:w="929"/>
        <w:gridCol w:w="901"/>
      </w:tblGrid>
      <w:tr w14:paraId="2BA9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EFE4AD7">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34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C89E64F">
            <w:pPr>
              <w:widowControl/>
              <w:spacing w:after="240" w:line="240" w:lineRule="atLeast"/>
              <w:jc w:val="left"/>
              <w:rPr>
                <w:rFonts w:ascii="Calibri" w:hAnsi="Calibri" w:cs="Calibri"/>
                <w:sz w:val="18"/>
                <w:szCs w:val="18"/>
              </w:rPr>
            </w:pPr>
            <w:r>
              <w:rPr>
                <w:rFonts w:hint="eastAsia" w:ascii="Calibri" w:hAnsi="Calibri" w:cs="Calibri"/>
                <w:sz w:val="18"/>
                <w:szCs w:val="18"/>
              </w:rPr>
              <w:t>Class</w:t>
            </w:r>
          </w:p>
        </w:tc>
        <w:tc>
          <w:tcPr>
            <w:tcW w:w="466"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155341F">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452"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CBD77C9">
            <w:pPr>
              <w:widowControl/>
              <w:spacing w:after="240" w:line="240" w:lineRule="atLeast"/>
              <w:jc w:val="center"/>
              <w:rPr>
                <w:rFonts w:ascii="Calibri" w:hAnsi="Calibri" w:cs="Calibri"/>
                <w:sz w:val="18"/>
                <w:szCs w:val="18"/>
              </w:rPr>
            </w:pPr>
            <w:r>
              <w:rPr>
                <w:rFonts w:ascii="Calibri" w:hAnsi="Calibri" w:cs="Calibri"/>
                <w:sz w:val="18"/>
                <w:szCs w:val="18"/>
              </w:rPr>
              <w:t>SA</w:t>
            </w:r>
          </w:p>
        </w:tc>
      </w:tr>
      <w:tr w14:paraId="41B8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0F01B81D">
            <w:pPr>
              <w:widowControl/>
              <w:spacing w:after="240" w:line="240" w:lineRule="atLeast"/>
              <w:jc w:val="center"/>
              <w:rPr>
                <w:rFonts w:ascii="Calibri" w:hAnsi="Calibri" w:cs="Calibri"/>
                <w:sz w:val="18"/>
                <w:szCs w:val="18"/>
              </w:rPr>
            </w:pPr>
            <w:r>
              <w:rPr>
                <w:rFonts w:hint="eastAsia" w:ascii="Calibri" w:hAnsi="Calibri" w:cs="Calibri"/>
                <w:sz w:val="18"/>
                <w:szCs w:val="18"/>
              </w:rPr>
              <w:t>1</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5000F312">
            <w:pPr>
              <w:widowControl/>
              <w:spacing w:after="240" w:line="240" w:lineRule="atLeast"/>
              <w:jc w:val="left"/>
              <w:rPr>
                <w:rFonts w:ascii="Calibri" w:hAnsi="Calibri" w:cs="Calibri"/>
                <w:sz w:val="18"/>
                <w:szCs w:val="18"/>
              </w:rPr>
            </w:pPr>
            <w:r>
              <w:rPr>
                <w:rFonts w:ascii="Calibri" w:hAnsi="Calibri" w:cs="Calibri"/>
                <w:sz w:val="18"/>
                <w:szCs w:val="18"/>
              </w:rPr>
              <w:t>ANSI 150</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4F79DEC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1163EE41">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1F8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4AF4C351">
            <w:pPr>
              <w:widowControl/>
              <w:spacing w:after="240" w:line="240" w:lineRule="atLeast"/>
              <w:jc w:val="center"/>
              <w:rPr>
                <w:rFonts w:ascii="Calibri" w:hAnsi="Calibri" w:cs="Calibri"/>
                <w:sz w:val="18"/>
                <w:szCs w:val="18"/>
              </w:rPr>
            </w:pPr>
            <w:r>
              <w:rPr>
                <w:rFonts w:hint="eastAsia" w:ascii="Calibri" w:hAnsi="Calibri" w:cs="Calibri"/>
                <w:sz w:val="18"/>
                <w:szCs w:val="18"/>
              </w:rPr>
              <w:t>2</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2AF5C7FA">
            <w:pPr>
              <w:widowControl/>
              <w:spacing w:after="240" w:line="240" w:lineRule="atLeast"/>
              <w:jc w:val="left"/>
              <w:rPr>
                <w:rFonts w:ascii="Calibri" w:hAnsi="Calibri" w:cs="Calibri"/>
                <w:sz w:val="18"/>
                <w:szCs w:val="18"/>
              </w:rPr>
            </w:pPr>
            <w:r>
              <w:rPr>
                <w:rFonts w:ascii="Calibri" w:hAnsi="Calibri" w:cs="Calibri"/>
                <w:sz w:val="18"/>
                <w:szCs w:val="18"/>
              </w:rPr>
              <w:t>ANSI 300</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32059B9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1C2E9433">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9DF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66E3FDB2">
            <w:pPr>
              <w:widowControl/>
              <w:spacing w:after="240" w:line="240" w:lineRule="atLeast"/>
              <w:jc w:val="center"/>
              <w:rPr>
                <w:rFonts w:ascii="Calibri" w:hAnsi="Calibri" w:cs="Calibri"/>
                <w:sz w:val="18"/>
                <w:szCs w:val="18"/>
              </w:rPr>
            </w:pPr>
            <w:r>
              <w:rPr>
                <w:rFonts w:hint="eastAsia" w:ascii="Calibri" w:hAnsi="Calibri" w:cs="Calibri"/>
                <w:sz w:val="18"/>
                <w:szCs w:val="18"/>
              </w:rPr>
              <w:t>3</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53888B4D">
            <w:pPr>
              <w:widowControl/>
              <w:spacing w:after="240" w:line="240" w:lineRule="atLeast"/>
              <w:jc w:val="left"/>
              <w:rPr>
                <w:rFonts w:ascii="Calibri" w:hAnsi="Calibri" w:cs="Calibri"/>
                <w:sz w:val="18"/>
                <w:szCs w:val="18"/>
              </w:rPr>
            </w:pPr>
            <w:r>
              <w:rPr>
                <w:rFonts w:ascii="Calibri" w:hAnsi="Calibri" w:cs="Calibri"/>
                <w:sz w:val="18"/>
                <w:szCs w:val="18"/>
              </w:rPr>
              <w:t>ANSI 600</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3854E98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2C90CB99">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667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1B4C5BEA">
            <w:pPr>
              <w:widowControl/>
              <w:spacing w:after="240" w:line="240" w:lineRule="atLeast"/>
              <w:jc w:val="center"/>
              <w:rPr>
                <w:rFonts w:ascii="Calibri" w:hAnsi="Calibri" w:cs="Calibri"/>
                <w:sz w:val="18"/>
                <w:szCs w:val="18"/>
              </w:rPr>
            </w:pPr>
            <w:r>
              <w:rPr>
                <w:rFonts w:hint="eastAsia" w:ascii="Calibri" w:hAnsi="Calibri" w:cs="Calibri"/>
                <w:sz w:val="18"/>
                <w:szCs w:val="18"/>
              </w:rPr>
              <w:t>4</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5B6EE1B8">
            <w:pPr>
              <w:widowControl/>
              <w:spacing w:after="240" w:line="240" w:lineRule="atLeast"/>
              <w:jc w:val="left"/>
              <w:rPr>
                <w:rFonts w:ascii="Calibri" w:hAnsi="Calibri" w:cs="Calibri"/>
                <w:sz w:val="18"/>
                <w:szCs w:val="18"/>
              </w:rPr>
            </w:pPr>
            <w:r>
              <w:rPr>
                <w:rFonts w:ascii="Calibri" w:hAnsi="Calibri" w:cs="Calibri"/>
                <w:sz w:val="18"/>
                <w:szCs w:val="18"/>
              </w:rPr>
              <w:t>DIN PN 10/16</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47D6352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7FC1BC75">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D7E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15C5B332">
            <w:pPr>
              <w:widowControl/>
              <w:spacing w:after="240" w:line="240" w:lineRule="atLeast"/>
              <w:jc w:val="center"/>
              <w:rPr>
                <w:rFonts w:ascii="Calibri" w:hAnsi="Calibri" w:cs="Calibri"/>
                <w:sz w:val="18"/>
                <w:szCs w:val="18"/>
              </w:rPr>
            </w:pPr>
            <w:r>
              <w:rPr>
                <w:rFonts w:hint="eastAsia" w:ascii="Calibri" w:hAnsi="Calibri" w:cs="Calibri"/>
                <w:sz w:val="18"/>
                <w:szCs w:val="18"/>
              </w:rPr>
              <w:t>5</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5C7836C4">
            <w:pPr>
              <w:widowControl/>
              <w:spacing w:after="240" w:line="240" w:lineRule="atLeast"/>
              <w:jc w:val="left"/>
              <w:rPr>
                <w:rFonts w:ascii="Calibri" w:hAnsi="Calibri" w:cs="Calibri"/>
                <w:sz w:val="18"/>
                <w:szCs w:val="18"/>
              </w:rPr>
            </w:pPr>
            <w:r>
              <w:rPr>
                <w:rFonts w:ascii="Calibri" w:hAnsi="Calibri" w:cs="Calibri"/>
                <w:sz w:val="18"/>
                <w:szCs w:val="18"/>
              </w:rPr>
              <w:t>DIN PN 25/40</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0AD9E07D">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6385C25F">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3162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1E0F805E">
            <w:pPr>
              <w:widowControl/>
              <w:spacing w:after="240" w:line="240" w:lineRule="atLeast"/>
              <w:jc w:val="center"/>
              <w:rPr>
                <w:rFonts w:ascii="Calibri" w:hAnsi="Calibri" w:cs="Calibri"/>
                <w:sz w:val="18"/>
                <w:szCs w:val="18"/>
              </w:rPr>
            </w:pPr>
            <w:r>
              <w:rPr>
                <w:rFonts w:hint="eastAsia" w:ascii="Calibri" w:hAnsi="Calibri" w:cs="Calibri"/>
                <w:sz w:val="18"/>
                <w:szCs w:val="18"/>
              </w:rPr>
              <w:t>6</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53BC4C2C">
            <w:pPr>
              <w:widowControl/>
              <w:spacing w:after="240" w:line="240" w:lineRule="atLeast"/>
              <w:jc w:val="left"/>
              <w:rPr>
                <w:rFonts w:ascii="Calibri" w:hAnsi="Calibri" w:cs="Calibri"/>
                <w:sz w:val="18"/>
                <w:szCs w:val="18"/>
              </w:rPr>
            </w:pPr>
            <w:r>
              <w:rPr>
                <w:rFonts w:ascii="Calibri" w:hAnsi="Calibri" w:cs="Calibri"/>
                <w:sz w:val="18"/>
                <w:szCs w:val="18"/>
              </w:rPr>
              <w:t>DIN PN 64</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79C30C66">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4ABF8BC8">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72F0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240B44BE">
            <w:pPr>
              <w:widowControl/>
              <w:spacing w:after="240" w:line="240" w:lineRule="atLeast"/>
              <w:jc w:val="center"/>
              <w:rPr>
                <w:rFonts w:ascii="Calibri" w:hAnsi="Calibri" w:cs="Calibri"/>
                <w:sz w:val="18"/>
                <w:szCs w:val="18"/>
              </w:rPr>
            </w:pPr>
            <w:r>
              <w:rPr>
                <w:rFonts w:hint="eastAsia" w:ascii="Calibri" w:hAnsi="Calibri" w:cs="Calibri"/>
                <w:sz w:val="18"/>
                <w:szCs w:val="18"/>
              </w:rPr>
              <w:t>7</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5F58EAD6">
            <w:pPr>
              <w:widowControl/>
              <w:spacing w:after="240" w:line="240" w:lineRule="atLeast"/>
              <w:jc w:val="left"/>
              <w:rPr>
                <w:rFonts w:ascii="Calibri" w:hAnsi="Calibri" w:cs="Calibri"/>
                <w:sz w:val="18"/>
                <w:szCs w:val="18"/>
              </w:rPr>
            </w:pPr>
            <w:r>
              <w:rPr>
                <w:rFonts w:ascii="Calibri" w:hAnsi="Calibri" w:cs="Calibri"/>
                <w:sz w:val="18"/>
                <w:szCs w:val="18"/>
              </w:rPr>
              <w:t>DIN PN 100</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71360E5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41D06649">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FF4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1CEE0FFE">
            <w:pPr>
              <w:widowControl/>
              <w:spacing w:after="240" w:line="240" w:lineRule="atLeast"/>
              <w:jc w:val="center"/>
              <w:rPr>
                <w:rFonts w:ascii="Calibri" w:hAnsi="Calibri" w:cs="Calibri"/>
                <w:sz w:val="18"/>
                <w:szCs w:val="18"/>
              </w:rPr>
            </w:pPr>
            <w:r>
              <w:rPr>
                <w:rFonts w:hint="eastAsia" w:ascii="Calibri" w:hAnsi="Calibri" w:cs="Calibri"/>
                <w:sz w:val="18"/>
                <w:szCs w:val="18"/>
              </w:rPr>
              <w:t>9</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73E846A2">
            <w:pPr>
              <w:widowControl/>
              <w:spacing w:after="240" w:line="240" w:lineRule="atLeast"/>
              <w:jc w:val="left"/>
              <w:rPr>
                <w:rFonts w:ascii="Calibri" w:hAnsi="Calibri" w:cs="Calibri"/>
                <w:sz w:val="18"/>
                <w:szCs w:val="18"/>
              </w:rPr>
            </w:pPr>
            <w:r>
              <w:rPr>
                <w:rFonts w:hint="eastAsia" w:ascii="Calibri" w:hAnsi="Calibri" w:cs="Calibri"/>
                <w:sz w:val="18"/>
                <w:szCs w:val="18"/>
              </w:rPr>
              <w:t>Others</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30EA9A0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3322FA98">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D1F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0AF6F75">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34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553AD54">
            <w:pPr>
              <w:widowControl/>
              <w:spacing w:after="240" w:line="240" w:lineRule="atLeast"/>
              <w:jc w:val="left"/>
              <w:rPr>
                <w:rFonts w:ascii="Calibri" w:hAnsi="Calibri" w:cs="Calibri"/>
                <w:sz w:val="18"/>
                <w:szCs w:val="18"/>
              </w:rPr>
            </w:pPr>
            <w:r>
              <w:rPr>
                <w:rFonts w:hint="eastAsia" w:ascii="Calibri" w:hAnsi="Calibri" w:cs="Calibri"/>
                <w:sz w:val="18"/>
                <w:szCs w:val="18"/>
              </w:rPr>
              <w:t>Dimension</w:t>
            </w:r>
          </w:p>
        </w:tc>
        <w:tc>
          <w:tcPr>
            <w:tcW w:w="466"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62D307B">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452"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EA9A4AA">
            <w:pPr>
              <w:widowControl/>
              <w:spacing w:after="240" w:line="240" w:lineRule="atLeast"/>
              <w:jc w:val="center"/>
              <w:rPr>
                <w:rFonts w:ascii="Calibri" w:hAnsi="Calibri" w:cs="Calibri"/>
                <w:sz w:val="18"/>
                <w:szCs w:val="18"/>
              </w:rPr>
            </w:pPr>
            <w:r>
              <w:rPr>
                <w:rFonts w:ascii="Calibri" w:hAnsi="Calibri" w:cs="Calibri"/>
                <w:sz w:val="18"/>
                <w:szCs w:val="18"/>
              </w:rPr>
              <w:t>SA</w:t>
            </w:r>
          </w:p>
        </w:tc>
      </w:tr>
      <w:tr w14:paraId="0D76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1967BF10">
            <w:pPr>
              <w:widowControl/>
              <w:spacing w:after="240" w:line="240" w:lineRule="atLeast"/>
              <w:jc w:val="center"/>
              <w:rPr>
                <w:rFonts w:ascii="Calibri" w:hAnsi="Calibri" w:cs="Calibri"/>
                <w:sz w:val="18"/>
                <w:szCs w:val="18"/>
              </w:rPr>
            </w:pPr>
            <w:r>
              <w:rPr>
                <w:rFonts w:hint="eastAsia" w:ascii="Calibri" w:hAnsi="Calibri" w:cs="Calibri"/>
                <w:sz w:val="18"/>
                <w:szCs w:val="18"/>
              </w:rPr>
              <w:t>A</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3C19807C">
            <w:pPr>
              <w:widowControl/>
              <w:spacing w:after="240" w:line="240" w:lineRule="atLeast"/>
              <w:jc w:val="left"/>
              <w:rPr>
                <w:rFonts w:ascii="Calibri" w:hAnsi="Calibri" w:cs="Calibri"/>
                <w:sz w:val="18"/>
                <w:szCs w:val="18"/>
              </w:rPr>
            </w:pPr>
            <w:r>
              <w:rPr>
                <w:rFonts w:ascii="Calibri" w:hAnsi="Calibri" w:cs="Calibri"/>
                <w:sz w:val="18"/>
                <w:szCs w:val="18"/>
              </w:rPr>
              <w:t>1-inch(DN25)</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3962ED5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2336EEDB">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3AFC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0393A9C8">
            <w:pPr>
              <w:widowControl/>
              <w:spacing w:after="240" w:line="240" w:lineRule="atLeast"/>
              <w:jc w:val="center"/>
              <w:rPr>
                <w:rFonts w:ascii="Calibri" w:hAnsi="Calibri" w:cs="Calibri"/>
                <w:sz w:val="18"/>
                <w:szCs w:val="18"/>
              </w:rPr>
            </w:pPr>
            <w:r>
              <w:rPr>
                <w:rFonts w:hint="eastAsia" w:ascii="Calibri" w:hAnsi="Calibri" w:cs="Calibri"/>
                <w:sz w:val="18"/>
                <w:szCs w:val="18"/>
              </w:rPr>
              <w:t>B</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52E50046">
            <w:pPr>
              <w:widowControl/>
              <w:spacing w:after="240" w:line="240" w:lineRule="atLeast"/>
              <w:jc w:val="left"/>
              <w:rPr>
                <w:rFonts w:ascii="Calibri" w:hAnsi="Calibri" w:cs="Calibri"/>
                <w:sz w:val="18"/>
                <w:szCs w:val="18"/>
              </w:rPr>
            </w:pPr>
            <w:r>
              <w:rPr>
                <w:rFonts w:ascii="Calibri" w:hAnsi="Calibri" w:cs="Calibri"/>
                <w:sz w:val="18"/>
                <w:szCs w:val="18"/>
              </w:rPr>
              <w:t>2-inch(DN50)</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3648541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0FD0092C">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7FBB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091EAF6F">
            <w:pPr>
              <w:widowControl/>
              <w:spacing w:after="240" w:line="240" w:lineRule="atLeast"/>
              <w:jc w:val="center"/>
              <w:rPr>
                <w:rFonts w:ascii="Calibri" w:hAnsi="Calibri" w:cs="Calibri"/>
                <w:sz w:val="18"/>
                <w:szCs w:val="18"/>
              </w:rPr>
            </w:pPr>
            <w:r>
              <w:rPr>
                <w:rFonts w:hint="eastAsia" w:ascii="Calibri" w:hAnsi="Calibri" w:cs="Calibri"/>
                <w:sz w:val="18"/>
                <w:szCs w:val="18"/>
              </w:rPr>
              <w:t>C</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793CFB87">
            <w:pPr>
              <w:widowControl/>
              <w:spacing w:after="240" w:line="240" w:lineRule="atLeast"/>
              <w:jc w:val="left"/>
              <w:rPr>
                <w:rFonts w:ascii="Calibri" w:hAnsi="Calibri" w:cs="Calibri"/>
                <w:sz w:val="18"/>
                <w:szCs w:val="18"/>
              </w:rPr>
            </w:pPr>
            <w:r>
              <w:rPr>
                <w:rFonts w:ascii="Calibri" w:hAnsi="Calibri" w:cs="Calibri"/>
                <w:sz w:val="18"/>
                <w:szCs w:val="18"/>
              </w:rPr>
              <w:t>3-inch(DN80)</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338A71D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613D177F">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20F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4DEB2B4F">
            <w:pPr>
              <w:widowControl/>
              <w:spacing w:after="240" w:line="240" w:lineRule="atLeast"/>
              <w:jc w:val="center"/>
              <w:rPr>
                <w:rFonts w:ascii="Calibri" w:hAnsi="Calibri" w:cs="Calibri"/>
                <w:sz w:val="18"/>
                <w:szCs w:val="18"/>
              </w:rPr>
            </w:pPr>
            <w:r>
              <w:rPr>
                <w:rFonts w:hint="eastAsia" w:ascii="Calibri" w:hAnsi="Calibri" w:cs="Calibri"/>
                <w:sz w:val="18"/>
                <w:szCs w:val="18"/>
              </w:rPr>
              <w:t>D</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51E95D79">
            <w:pPr>
              <w:widowControl/>
              <w:spacing w:after="240" w:line="240" w:lineRule="atLeast"/>
              <w:jc w:val="left"/>
              <w:rPr>
                <w:rFonts w:ascii="Calibri" w:hAnsi="Calibri" w:cs="Calibri"/>
                <w:sz w:val="18"/>
                <w:szCs w:val="18"/>
              </w:rPr>
            </w:pPr>
            <w:r>
              <w:rPr>
                <w:rFonts w:ascii="Calibri" w:hAnsi="Calibri" w:cs="Calibri"/>
                <w:sz w:val="18"/>
                <w:szCs w:val="18"/>
              </w:rPr>
              <w:t>4-inch(DN100)</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00B3DAC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0EDBD1E4">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FA9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55EB4A7F">
            <w:pPr>
              <w:widowControl/>
              <w:spacing w:after="240" w:line="240" w:lineRule="atLeast"/>
              <w:jc w:val="center"/>
              <w:rPr>
                <w:rFonts w:ascii="Calibri" w:hAnsi="Calibri" w:cs="Calibri"/>
                <w:sz w:val="18"/>
                <w:szCs w:val="18"/>
              </w:rPr>
            </w:pPr>
            <w:r>
              <w:rPr>
                <w:rFonts w:hint="eastAsia" w:ascii="Calibri" w:hAnsi="Calibri" w:cs="Calibri"/>
                <w:sz w:val="18"/>
                <w:szCs w:val="18"/>
              </w:rPr>
              <w:t>9</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3E95C882">
            <w:pPr>
              <w:widowControl/>
              <w:spacing w:after="240" w:line="240" w:lineRule="atLeast"/>
              <w:jc w:val="left"/>
              <w:rPr>
                <w:rFonts w:ascii="Calibri" w:hAnsi="Calibri" w:cs="Calibri"/>
                <w:sz w:val="18"/>
                <w:szCs w:val="18"/>
              </w:rPr>
            </w:pPr>
            <w:r>
              <w:rPr>
                <w:rFonts w:hint="eastAsia" w:ascii="Calibri" w:hAnsi="Calibri" w:cs="Calibri"/>
                <w:sz w:val="18"/>
                <w:szCs w:val="18"/>
              </w:rPr>
              <w:t>Others</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133A07A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3443949D">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BEC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60FA186">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34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0B45F9C">
            <w:pPr>
              <w:widowControl/>
              <w:spacing w:after="240" w:line="240" w:lineRule="atLeast"/>
              <w:jc w:val="left"/>
              <w:rPr>
                <w:rFonts w:ascii="Calibri" w:hAnsi="Calibri" w:cs="Calibri"/>
                <w:sz w:val="18"/>
                <w:szCs w:val="18"/>
              </w:rPr>
            </w:pPr>
            <w:r>
              <w:rPr>
                <w:rFonts w:hint="eastAsia" w:ascii="Calibri" w:hAnsi="Calibri" w:cs="Calibri"/>
                <w:sz w:val="18"/>
                <w:szCs w:val="18"/>
              </w:rPr>
              <w:t>Material of structure</w:t>
            </w:r>
          </w:p>
        </w:tc>
        <w:tc>
          <w:tcPr>
            <w:tcW w:w="466"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2C4938C">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452"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A5D64AE">
            <w:pPr>
              <w:widowControl/>
              <w:spacing w:after="240" w:line="240" w:lineRule="atLeast"/>
              <w:jc w:val="center"/>
              <w:rPr>
                <w:rFonts w:ascii="Calibri" w:hAnsi="Calibri" w:cs="Calibri"/>
                <w:sz w:val="18"/>
                <w:szCs w:val="18"/>
              </w:rPr>
            </w:pPr>
            <w:r>
              <w:rPr>
                <w:rFonts w:ascii="Calibri" w:hAnsi="Calibri" w:cs="Calibri"/>
                <w:sz w:val="18"/>
                <w:szCs w:val="18"/>
              </w:rPr>
              <w:t>SA</w:t>
            </w:r>
          </w:p>
        </w:tc>
      </w:tr>
      <w:tr w14:paraId="132A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5531679C">
            <w:pPr>
              <w:widowControl/>
              <w:spacing w:after="240" w:line="240" w:lineRule="atLeast"/>
              <w:jc w:val="center"/>
              <w:rPr>
                <w:rFonts w:ascii="Calibri" w:hAnsi="Calibri" w:cs="Calibri"/>
                <w:sz w:val="18"/>
                <w:szCs w:val="18"/>
              </w:rPr>
            </w:pPr>
            <w:r>
              <w:rPr>
                <w:rFonts w:hint="eastAsia" w:ascii="Calibri" w:hAnsi="Calibri" w:cs="Calibri"/>
                <w:sz w:val="18"/>
                <w:szCs w:val="18"/>
              </w:rPr>
              <w:t>7</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6360B851">
            <w:pPr>
              <w:widowControl/>
              <w:spacing w:after="240" w:line="240" w:lineRule="atLeast"/>
              <w:jc w:val="left"/>
              <w:rPr>
                <w:rFonts w:ascii="Calibri" w:hAnsi="Calibri" w:cs="Calibri"/>
                <w:sz w:val="18"/>
                <w:szCs w:val="18"/>
              </w:rPr>
            </w:pPr>
            <w:r>
              <w:rPr>
                <w:rFonts w:hint="eastAsia" w:ascii="Calibri" w:hAnsi="Calibri" w:cs="Calibri"/>
                <w:sz w:val="18"/>
                <w:szCs w:val="18"/>
              </w:rPr>
              <w:t>SS316L</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108BE3C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61AF0A49">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419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E664D43">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34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5AEFCCD">
            <w:pPr>
              <w:widowControl/>
              <w:spacing w:after="240" w:line="240" w:lineRule="atLeast"/>
              <w:jc w:val="left"/>
              <w:rPr>
                <w:rFonts w:ascii="Calibri" w:hAnsi="Calibri" w:cs="Calibri"/>
                <w:sz w:val="18"/>
                <w:szCs w:val="18"/>
              </w:rPr>
            </w:pPr>
            <w:r>
              <w:rPr>
                <w:rFonts w:hint="eastAsia" w:ascii="Calibri" w:hAnsi="Calibri" w:cs="Calibri"/>
                <w:sz w:val="18"/>
                <w:szCs w:val="18"/>
              </w:rPr>
              <w:t>MOC</w:t>
            </w:r>
          </w:p>
        </w:tc>
        <w:tc>
          <w:tcPr>
            <w:tcW w:w="466"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52508CE">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452"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8CFB9DA">
            <w:pPr>
              <w:widowControl/>
              <w:spacing w:after="240" w:line="240" w:lineRule="atLeast"/>
              <w:jc w:val="center"/>
              <w:rPr>
                <w:rFonts w:ascii="Calibri" w:hAnsi="Calibri" w:cs="Calibri"/>
                <w:sz w:val="18"/>
                <w:szCs w:val="18"/>
              </w:rPr>
            </w:pPr>
            <w:r>
              <w:rPr>
                <w:rFonts w:ascii="Calibri" w:hAnsi="Calibri" w:cs="Calibri"/>
                <w:sz w:val="18"/>
                <w:szCs w:val="18"/>
              </w:rPr>
              <w:t>SA</w:t>
            </w:r>
          </w:p>
        </w:tc>
      </w:tr>
      <w:tr w14:paraId="0429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28FA48D7">
            <w:pPr>
              <w:widowControl/>
              <w:spacing w:after="240" w:line="240" w:lineRule="atLeast"/>
              <w:jc w:val="center"/>
              <w:rPr>
                <w:rFonts w:ascii="Calibri" w:hAnsi="Calibri" w:cs="Calibri"/>
                <w:sz w:val="18"/>
                <w:szCs w:val="18"/>
              </w:rPr>
            </w:pPr>
            <w:r>
              <w:rPr>
                <w:rFonts w:hint="eastAsia" w:ascii="Calibri" w:hAnsi="Calibri" w:cs="Calibri"/>
                <w:sz w:val="18"/>
                <w:szCs w:val="18"/>
              </w:rPr>
              <w:t>S</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24C93500">
            <w:pPr>
              <w:widowControl/>
              <w:spacing w:after="240" w:line="240" w:lineRule="atLeast"/>
              <w:jc w:val="left"/>
              <w:rPr>
                <w:rFonts w:ascii="Calibri" w:hAnsi="Calibri" w:cs="Calibri"/>
                <w:sz w:val="18"/>
                <w:szCs w:val="18"/>
              </w:rPr>
            </w:pPr>
            <w:r>
              <w:rPr>
                <w:rFonts w:hint="eastAsia" w:ascii="Calibri" w:hAnsi="Calibri" w:cs="Calibri"/>
                <w:sz w:val="18"/>
                <w:szCs w:val="18"/>
              </w:rPr>
              <w:t>S</w:t>
            </w:r>
            <w:r>
              <w:rPr>
                <w:rFonts w:ascii="Calibri" w:hAnsi="Calibri" w:cs="Calibri"/>
                <w:sz w:val="18"/>
                <w:szCs w:val="18"/>
              </w:rPr>
              <w:t>S</w:t>
            </w:r>
            <w:r>
              <w:rPr>
                <w:rFonts w:hint="eastAsia" w:ascii="Calibri" w:hAnsi="Calibri" w:cs="Calibri"/>
                <w:sz w:val="18"/>
                <w:szCs w:val="18"/>
              </w:rPr>
              <w:t>316L</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5603131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4F016919">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04AB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50B574EA">
            <w:pPr>
              <w:widowControl/>
              <w:spacing w:after="240" w:line="240" w:lineRule="atLeast"/>
              <w:jc w:val="center"/>
              <w:rPr>
                <w:rFonts w:ascii="Calibri" w:hAnsi="Calibri" w:cs="Calibri"/>
                <w:sz w:val="18"/>
                <w:szCs w:val="18"/>
              </w:rPr>
            </w:pPr>
            <w:r>
              <w:rPr>
                <w:rFonts w:hint="eastAsia" w:ascii="Calibri" w:hAnsi="Calibri" w:cs="Calibri"/>
                <w:sz w:val="18"/>
                <w:szCs w:val="18"/>
              </w:rPr>
              <w:t>H</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5C531238">
            <w:pPr>
              <w:widowControl/>
              <w:spacing w:after="240" w:line="240" w:lineRule="atLeast"/>
              <w:jc w:val="left"/>
              <w:rPr>
                <w:rFonts w:ascii="Calibri" w:hAnsi="Calibri" w:cs="Calibri"/>
                <w:sz w:val="18"/>
                <w:szCs w:val="18"/>
              </w:rPr>
            </w:pPr>
            <w:r>
              <w:rPr>
                <w:rFonts w:ascii="Calibri" w:hAnsi="Calibri" w:cs="Calibri"/>
                <w:sz w:val="18"/>
                <w:szCs w:val="18"/>
              </w:rPr>
              <w:t>Hastelloy</w:t>
            </w:r>
            <w:r>
              <w:rPr>
                <w:rFonts w:hint="eastAsia" w:ascii="Calibri" w:hAnsi="Calibri" w:cs="Calibri"/>
                <w:sz w:val="18"/>
                <w:szCs w:val="18"/>
              </w:rPr>
              <w:t xml:space="preserve"> C-276</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79EEC6AE">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58490755">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C60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35085835">
            <w:pPr>
              <w:widowControl/>
              <w:spacing w:after="240" w:line="240" w:lineRule="atLeast"/>
              <w:jc w:val="center"/>
              <w:rPr>
                <w:rFonts w:ascii="Calibri" w:hAnsi="Calibri" w:cs="Calibri"/>
                <w:sz w:val="18"/>
                <w:szCs w:val="18"/>
              </w:rPr>
            </w:pPr>
            <w:r>
              <w:rPr>
                <w:rFonts w:hint="eastAsia" w:ascii="Calibri" w:hAnsi="Calibri" w:cs="Calibri"/>
                <w:sz w:val="18"/>
                <w:szCs w:val="18"/>
              </w:rPr>
              <w:t>T</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1C2CA679">
            <w:pPr>
              <w:widowControl/>
              <w:spacing w:after="240" w:line="240" w:lineRule="atLeast"/>
              <w:jc w:val="left"/>
              <w:rPr>
                <w:rFonts w:ascii="Calibri" w:hAnsi="Calibri" w:cs="Calibri"/>
                <w:sz w:val="18"/>
                <w:szCs w:val="18"/>
              </w:rPr>
            </w:pPr>
            <w:r>
              <w:rPr>
                <w:rFonts w:hint="eastAsia" w:ascii="Calibri" w:hAnsi="Calibri" w:cs="Calibri"/>
                <w:sz w:val="18"/>
                <w:szCs w:val="18"/>
              </w:rPr>
              <w:t>T</w:t>
            </w:r>
            <w:r>
              <w:rPr>
                <w:rFonts w:ascii="Calibri" w:hAnsi="Calibri" w:cs="Calibri"/>
                <w:sz w:val="18"/>
                <w:szCs w:val="18"/>
              </w:rPr>
              <w:t>antalum</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77FB32C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7AD8707B">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771A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6E5FBE47">
            <w:pPr>
              <w:widowControl/>
              <w:spacing w:after="240" w:line="240" w:lineRule="atLeast"/>
              <w:jc w:val="center"/>
              <w:rPr>
                <w:rFonts w:ascii="Calibri" w:hAnsi="Calibri" w:cs="Calibri"/>
                <w:sz w:val="18"/>
                <w:szCs w:val="18"/>
              </w:rPr>
            </w:pPr>
            <w:r>
              <w:rPr>
                <w:rFonts w:hint="eastAsia" w:ascii="Calibri" w:hAnsi="Calibri" w:cs="Calibri"/>
                <w:sz w:val="18"/>
                <w:szCs w:val="18"/>
              </w:rPr>
              <w:t>G</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6A13A5B9">
            <w:pPr>
              <w:widowControl/>
              <w:spacing w:after="240" w:line="240" w:lineRule="atLeast"/>
              <w:jc w:val="left"/>
              <w:rPr>
                <w:rFonts w:ascii="Calibri" w:hAnsi="Calibri" w:cs="Calibri"/>
                <w:sz w:val="18"/>
                <w:szCs w:val="18"/>
              </w:rPr>
            </w:pPr>
            <w:r>
              <w:rPr>
                <w:rFonts w:hint="eastAsia" w:ascii="Calibri" w:hAnsi="Calibri" w:cs="Calibri"/>
                <w:sz w:val="18"/>
                <w:szCs w:val="18"/>
              </w:rPr>
              <w:t>SS316L G</w:t>
            </w:r>
            <w:r>
              <w:rPr>
                <w:rFonts w:ascii="Calibri" w:hAnsi="Calibri" w:cs="Calibri"/>
                <w:sz w:val="18"/>
                <w:szCs w:val="18"/>
              </w:rPr>
              <w:t>old-plating</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0EC994D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665F750F">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FEF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57F05D41">
            <w:pPr>
              <w:widowControl/>
              <w:spacing w:after="240" w:line="240" w:lineRule="atLeast"/>
              <w:jc w:val="center"/>
              <w:rPr>
                <w:rFonts w:ascii="Calibri" w:hAnsi="Calibri" w:cs="Calibri"/>
                <w:sz w:val="18"/>
                <w:szCs w:val="18"/>
              </w:rPr>
            </w:pPr>
            <w:r>
              <w:rPr>
                <w:rFonts w:hint="eastAsia" w:ascii="Calibri" w:hAnsi="Calibri" w:cs="Calibri"/>
                <w:sz w:val="18"/>
                <w:szCs w:val="18"/>
              </w:rPr>
              <w:t>M</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3B366326">
            <w:pPr>
              <w:widowControl/>
              <w:spacing w:after="240" w:line="240" w:lineRule="atLeast"/>
              <w:jc w:val="left"/>
              <w:rPr>
                <w:rFonts w:ascii="Calibri" w:hAnsi="Calibri" w:cs="Calibri"/>
                <w:sz w:val="18"/>
                <w:szCs w:val="18"/>
              </w:rPr>
            </w:pPr>
            <w:r>
              <w:rPr>
                <w:rFonts w:ascii="Calibri" w:hAnsi="Calibri" w:cs="Calibri"/>
                <w:sz w:val="18"/>
                <w:szCs w:val="18"/>
              </w:rPr>
              <w:t>Monel</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30868F2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352ED004">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A90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6FA602AF">
            <w:pPr>
              <w:widowControl/>
              <w:spacing w:after="240" w:line="240" w:lineRule="atLeast"/>
              <w:jc w:val="center"/>
              <w:rPr>
                <w:rFonts w:ascii="Calibri" w:hAnsi="Calibri" w:cs="Calibri"/>
                <w:sz w:val="18"/>
                <w:szCs w:val="18"/>
              </w:rPr>
            </w:pPr>
            <w:r>
              <w:rPr>
                <w:rFonts w:hint="eastAsia" w:ascii="Calibri" w:hAnsi="Calibri" w:cs="Calibri"/>
                <w:sz w:val="18"/>
                <w:szCs w:val="18"/>
              </w:rPr>
              <w:t>P</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4EC1D907">
            <w:pPr>
              <w:widowControl/>
              <w:spacing w:after="240" w:line="240" w:lineRule="atLeast"/>
              <w:jc w:val="left"/>
              <w:rPr>
                <w:rFonts w:ascii="Calibri" w:hAnsi="Calibri" w:cs="Calibri"/>
                <w:sz w:val="18"/>
                <w:szCs w:val="18"/>
              </w:rPr>
            </w:pPr>
            <w:r>
              <w:rPr>
                <w:rFonts w:hint="eastAsia" w:ascii="Calibri" w:hAnsi="Calibri" w:cs="Calibri"/>
                <w:sz w:val="18"/>
                <w:szCs w:val="18"/>
              </w:rPr>
              <w:t xml:space="preserve">PTFE </w:t>
            </w:r>
            <w:r>
              <w:rPr>
                <w:rFonts w:ascii="Calibri" w:hAnsi="Calibri" w:cs="Calibri"/>
                <w:sz w:val="18"/>
                <w:szCs w:val="18"/>
              </w:rPr>
              <w:t>coating</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7DAFB94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5963F3E5">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243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2736E94">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34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165FD27">
            <w:pPr>
              <w:widowControl/>
              <w:spacing w:after="240" w:line="240" w:lineRule="atLeast"/>
              <w:jc w:val="left"/>
              <w:rPr>
                <w:rFonts w:ascii="Calibri" w:hAnsi="Calibri" w:cs="Calibri"/>
                <w:sz w:val="18"/>
                <w:szCs w:val="18"/>
              </w:rPr>
            </w:pPr>
            <w:r>
              <w:rPr>
                <w:rFonts w:hint="eastAsia" w:ascii="Calibri" w:hAnsi="Calibri" w:cs="Calibri"/>
                <w:sz w:val="18"/>
                <w:szCs w:val="18"/>
              </w:rPr>
              <w:t>Diaphragm protrusion length</w:t>
            </w:r>
          </w:p>
        </w:tc>
        <w:tc>
          <w:tcPr>
            <w:tcW w:w="466"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0ADB5C2">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452"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43229F3B">
            <w:pPr>
              <w:widowControl/>
              <w:spacing w:after="240" w:line="240" w:lineRule="atLeast"/>
              <w:jc w:val="center"/>
              <w:rPr>
                <w:rFonts w:ascii="Calibri" w:hAnsi="Calibri" w:cs="Calibri"/>
                <w:sz w:val="18"/>
                <w:szCs w:val="18"/>
              </w:rPr>
            </w:pPr>
            <w:r>
              <w:rPr>
                <w:rFonts w:ascii="Calibri" w:hAnsi="Calibri" w:cs="Calibri"/>
                <w:sz w:val="18"/>
                <w:szCs w:val="18"/>
              </w:rPr>
              <w:t>SA</w:t>
            </w:r>
          </w:p>
        </w:tc>
      </w:tr>
      <w:tr w14:paraId="1AE2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0EBCAB08">
            <w:pPr>
              <w:widowControl/>
              <w:spacing w:after="240" w:line="240" w:lineRule="atLeast"/>
              <w:jc w:val="center"/>
              <w:rPr>
                <w:rFonts w:ascii="Calibri" w:hAnsi="Calibri" w:cs="Calibri"/>
                <w:sz w:val="18"/>
                <w:szCs w:val="18"/>
              </w:rPr>
            </w:pPr>
            <w:r>
              <w:rPr>
                <w:rFonts w:hint="eastAsia" w:ascii="Calibri" w:hAnsi="Calibri" w:cs="Calibri"/>
                <w:sz w:val="18"/>
                <w:szCs w:val="18"/>
              </w:rPr>
              <w:t>0</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76FA000F">
            <w:pPr>
              <w:widowControl/>
              <w:spacing w:after="240" w:line="240" w:lineRule="atLeast"/>
              <w:jc w:val="left"/>
              <w:rPr>
                <w:rFonts w:ascii="Calibri" w:hAnsi="Calibri" w:cs="Calibri"/>
                <w:sz w:val="18"/>
                <w:szCs w:val="18"/>
              </w:rPr>
            </w:pPr>
            <w:r>
              <w:rPr>
                <w:rFonts w:ascii="Calibri" w:hAnsi="Calibri" w:cs="Calibri"/>
                <w:sz w:val="18"/>
                <w:szCs w:val="18"/>
              </w:rPr>
              <w:t>0mm</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6FE13B7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2EB2C2A9">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2E2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7F8AB044">
            <w:pPr>
              <w:widowControl/>
              <w:spacing w:after="240" w:line="240" w:lineRule="atLeast"/>
              <w:jc w:val="center"/>
              <w:rPr>
                <w:rFonts w:ascii="Calibri" w:hAnsi="Calibri" w:cs="Calibri"/>
                <w:sz w:val="18"/>
                <w:szCs w:val="18"/>
              </w:rPr>
            </w:pPr>
            <w:r>
              <w:rPr>
                <w:rFonts w:hint="eastAsia" w:ascii="Calibri" w:hAnsi="Calibri" w:cs="Calibri"/>
                <w:sz w:val="18"/>
                <w:szCs w:val="18"/>
              </w:rPr>
              <w:t>1</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06991479">
            <w:pPr>
              <w:widowControl/>
              <w:spacing w:after="240" w:line="240" w:lineRule="atLeast"/>
              <w:jc w:val="left"/>
              <w:rPr>
                <w:rFonts w:ascii="Calibri" w:hAnsi="Calibri" w:cs="Calibri"/>
                <w:sz w:val="18"/>
                <w:szCs w:val="18"/>
              </w:rPr>
            </w:pPr>
            <w:r>
              <w:rPr>
                <w:rFonts w:hint="eastAsia" w:ascii="Calibri" w:hAnsi="Calibri" w:cs="Calibri"/>
                <w:sz w:val="18"/>
                <w:szCs w:val="18"/>
              </w:rPr>
              <w:t>≤50mm</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39B30B7F">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24CCE10D">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F96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27962D0E">
            <w:pPr>
              <w:widowControl/>
              <w:spacing w:after="240" w:line="240" w:lineRule="atLeast"/>
              <w:jc w:val="center"/>
              <w:rPr>
                <w:rFonts w:ascii="Calibri" w:hAnsi="Calibri" w:cs="Calibri"/>
                <w:sz w:val="18"/>
                <w:szCs w:val="18"/>
              </w:rPr>
            </w:pPr>
            <w:r>
              <w:rPr>
                <w:rFonts w:hint="eastAsia" w:ascii="Calibri" w:hAnsi="Calibri" w:cs="Calibri"/>
                <w:sz w:val="18"/>
                <w:szCs w:val="18"/>
              </w:rPr>
              <w:t>2</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474B40B0">
            <w:pPr>
              <w:widowControl/>
              <w:spacing w:after="240" w:line="240" w:lineRule="atLeast"/>
              <w:jc w:val="left"/>
              <w:rPr>
                <w:rFonts w:ascii="Calibri" w:hAnsi="Calibri" w:cs="Calibri"/>
                <w:sz w:val="18"/>
                <w:szCs w:val="18"/>
              </w:rPr>
            </w:pPr>
            <w:r>
              <w:rPr>
                <w:rFonts w:hint="eastAsia" w:ascii="Calibri" w:hAnsi="Calibri" w:cs="Calibri"/>
                <w:sz w:val="18"/>
                <w:szCs w:val="18"/>
              </w:rPr>
              <w:t>≤100mm</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2CFD682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1092175C">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E6B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6A3B74D6">
            <w:pPr>
              <w:widowControl/>
              <w:spacing w:after="240" w:line="240" w:lineRule="atLeast"/>
              <w:jc w:val="center"/>
              <w:rPr>
                <w:rFonts w:ascii="Calibri" w:hAnsi="Calibri" w:cs="Calibri"/>
                <w:sz w:val="18"/>
                <w:szCs w:val="18"/>
              </w:rPr>
            </w:pPr>
            <w:r>
              <w:rPr>
                <w:rFonts w:hint="eastAsia" w:ascii="Calibri" w:hAnsi="Calibri" w:cs="Calibri"/>
                <w:sz w:val="18"/>
                <w:szCs w:val="18"/>
              </w:rPr>
              <w:t>3</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05FE1774">
            <w:pPr>
              <w:widowControl/>
              <w:spacing w:after="240" w:line="240" w:lineRule="atLeast"/>
              <w:jc w:val="left"/>
              <w:rPr>
                <w:rFonts w:ascii="Calibri" w:hAnsi="Calibri" w:cs="Calibri"/>
                <w:sz w:val="18"/>
                <w:szCs w:val="18"/>
              </w:rPr>
            </w:pPr>
            <w:r>
              <w:rPr>
                <w:rFonts w:hint="eastAsia" w:ascii="Calibri" w:hAnsi="Calibri" w:cs="Calibri"/>
                <w:sz w:val="18"/>
                <w:szCs w:val="18"/>
              </w:rPr>
              <w:t>≤150mm</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7FD66B3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5FDC3861">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14AC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2A220FD4">
            <w:pPr>
              <w:widowControl/>
              <w:spacing w:after="240" w:line="240" w:lineRule="atLeast"/>
              <w:jc w:val="center"/>
              <w:rPr>
                <w:rFonts w:ascii="Calibri" w:hAnsi="Calibri" w:cs="Calibri"/>
                <w:sz w:val="18"/>
                <w:szCs w:val="18"/>
              </w:rPr>
            </w:pPr>
            <w:r>
              <w:rPr>
                <w:rFonts w:hint="eastAsia" w:ascii="Calibri" w:hAnsi="Calibri" w:cs="Calibri"/>
                <w:sz w:val="18"/>
                <w:szCs w:val="18"/>
              </w:rPr>
              <w:t>4</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77C612E7">
            <w:pPr>
              <w:widowControl/>
              <w:spacing w:after="240" w:line="240" w:lineRule="atLeast"/>
              <w:jc w:val="left"/>
              <w:rPr>
                <w:rFonts w:ascii="Calibri" w:hAnsi="Calibri" w:cs="Calibri"/>
                <w:sz w:val="18"/>
                <w:szCs w:val="18"/>
              </w:rPr>
            </w:pPr>
            <w:r>
              <w:rPr>
                <w:rFonts w:hint="eastAsia" w:ascii="Calibri" w:hAnsi="Calibri" w:cs="Calibri"/>
                <w:sz w:val="18"/>
                <w:szCs w:val="18"/>
              </w:rPr>
              <w:t>≤200mm</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04D00E6C">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3CC60B4B">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FE4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27E3C6A9">
            <w:pPr>
              <w:widowControl/>
              <w:spacing w:after="240" w:line="240" w:lineRule="atLeast"/>
              <w:jc w:val="center"/>
              <w:rPr>
                <w:rFonts w:ascii="Calibri" w:hAnsi="Calibri" w:cs="Calibri"/>
                <w:sz w:val="18"/>
                <w:szCs w:val="18"/>
              </w:rPr>
            </w:pPr>
            <w:r>
              <w:rPr>
                <w:rFonts w:hint="eastAsia" w:ascii="Calibri" w:hAnsi="Calibri" w:cs="Calibri"/>
                <w:sz w:val="18"/>
                <w:szCs w:val="18"/>
              </w:rPr>
              <w:t>5</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6848F970">
            <w:pPr>
              <w:widowControl/>
              <w:spacing w:after="240" w:line="240" w:lineRule="atLeast"/>
              <w:jc w:val="left"/>
              <w:rPr>
                <w:rFonts w:ascii="Calibri" w:hAnsi="Calibri" w:cs="Calibri"/>
                <w:sz w:val="18"/>
                <w:szCs w:val="18"/>
              </w:rPr>
            </w:pPr>
            <w:r>
              <w:rPr>
                <w:rFonts w:hint="eastAsia" w:ascii="Calibri" w:hAnsi="Calibri" w:cs="Calibri"/>
                <w:sz w:val="18"/>
                <w:szCs w:val="18"/>
              </w:rPr>
              <w:t>≤250mm</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529638C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680DAE4B">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0332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261D4344">
            <w:pPr>
              <w:widowControl/>
              <w:spacing w:after="240" w:line="240" w:lineRule="atLeast"/>
              <w:jc w:val="center"/>
              <w:rPr>
                <w:rFonts w:ascii="Calibri" w:hAnsi="Calibri" w:cs="Calibri"/>
                <w:sz w:val="18"/>
                <w:szCs w:val="18"/>
              </w:rPr>
            </w:pPr>
            <w:r>
              <w:rPr>
                <w:rFonts w:hint="eastAsia" w:ascii="Calibri" w:hAnsi="Calibri" w:cs="Calibri"/>
                <w:sz w:val="18"/>
                <w:szCs w:val="18"/>
              </w:rPr>
              <w:t>6</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4BAA5CBF">
            <w:pPr>
              <w:widowControl/>
              <w:spacing w:after="240" w:line="240" w:lineRule="atLeast"/>
              <w:jc w:val="left"/>
              <w:rPr>
                <w:rFonts w:ascii="Calibri" w:hAnsi="Calibri" w:cs="Calibri"/>
                <w:sz w:val="18"/>
                <w:szCs w:val="18"/>
              </w:rPr>
            </w:pPr>
            <w:r>
              <w:rPr>
                <w:rFonts w:hint="eastAsia" w:ascii="Calibri" w:hAnsi="Calibri" w:cs="Calibri"/>
                <w:sz w:val="18"/>
                <w:szCs w:val="18"/>
              </w:rPr>
              <w:t>≤300mm</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61B4EB71">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74B94901">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C09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4A570690">
            <w:pPr>
              <w:widowControl/>
              <w:spacing w:after="240" w:line="240" w:lineRule="atLeast"/>
              <w:jc w:val="center"/>
              <w:rPr>
                <w:rFonts w:ascii="Calibri" w:hAnsi="Calibri" w:cs="Calibri"/>
                <w:sz w:val="18"/>
                <w:szCs w:val="18"/>
              </w:rPr>
            </w:pPr>
            <w:r>
              <w:rPr>
                <w:rFonts w:hint="eastAsia" w:ascii="Calibri" w:hAnsi="Calibri" w:cs="Calibri"/>
                <w:sz w:val="18"/>
                <w:szCs w:val="18"/>
              </w:rPr>
              <w:t>9</w:t>
            </w:r>
          </w:p>
        </w:tc>
        <w:tc>
          <w:tcPr>
            <w:tcW w:w="3434" w:type="pct"/>
            <w:tcBorders>
              <w:top w:val="single" w:color="auto" w:sz="4" w:space="0"/>
              <w:left w:val="single" w:color="auto" w:sz="4" w:space="0"/>
              <w:bottom w:val="single" w:color="auto" w:sz="4" w:space="0"/>
              <w:right w:val="single" w:color="auto" w:sz="4" w:space="0"/>
            </w:tcBorders>
            <w:shd w:val="clear" w:color="auto" w:fill="FFFFFF"/>
            <w:vAlign w:val="center"/>
          </w:tcPr>
          <w:p w14:paraId="07A39CAF">
            <w:pPr>
              <w:widowControl/>
              <w:spacing w:after="240" w:line="240" w:lineRule="atLeast"/>
              <w:jc w:val="left"/>
              <w:rPr>
                <w:rFonts w:ascii="Calibri" w:hAnsi="Calibri" w:cs="Calibri"/>
                <w:sz w:val="18"/>
                <w:szCs w:val="18"/>
              </w:rPr>
            </w:pPr>
            <w:r>
              <w:rPr>
                <w:rFonts w:hint="eastAsia" w:ascii="Calibri" w:hAnsi="Calibri" w:cs="Calibri"/>
                <w:sz w:val="18"/>
                <w:szCs w:val="18"/>
              </w:rPr>
              <w:t>Others</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2ABE8BF0">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6B0B5006">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05D8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4048D86">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34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0DB6037B">
            <w:pPr>
              <w:widowControl/>
              <w:spacing w:after="240" w:line="240" w:lineRule="atLeast"/>
              <w:jc w:val="left"/>
              <w:rPr>
                <w:rFonts w:ascii="Calibri" w:hAnsi="Calibri" w:cs="Calibri"/>
                <w:sz w:val="18"/>
                <w:szCs w:val="18"/>
              </w:rPr>
            </w:pPr>
            <w:r>
              <w:rPr>
                <w:rFonts w:hint="eastAsia" w:ascii="Calibri" w:hAnsi="Calibri" w:cs="Calibri"/>
                <w:sz w:val="18"/>
                <w:szCs w:val="18"/>
              </w:rPr>
              <w:t>Filling fluid</w:t>
            </w:r>
          </w:p>
        </w:tc>
        <w:tc>
          <w:tcPr>
            <w:tcW w:w="466"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1AB04932">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452"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7F4CFE3">
            <w:pPr>
              <w:widowControl/>
              <w:spacing w:after="240" w:line="240" w:lineRule="atLeast"/>
              <w:jc w:val="center"/>
              <w:rPr>
                <w:rFonts w:ascii="Calibri" w:hAnsi="Calibri" w:cs="Calibri"/>
                <w:sz w:val="18"/>
                <w:szCs w:val="18"/>
              </w:rPr>
            </w:pPr>
            <w:r>
              <w:rPr>
                <w:rFonts w:ascii="Calibri" w:hAnsi="Calibri" w:cs="Calibri"/>
                <w:sz w:val="18"/>
                <w:szCs w:val="18"/>
              </w:rPr>
              <w:t>SA</w:t>
            </w:r>
          </w:p>
        </w:tc>
      </w:tr>
      <w:tr w14:paraId="5746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52DC6CDE">
            <w:pPr>
              <w:widowControl/>
              <w:spacing w:after="240" w:line="240" w:lineRule="atLeast"/>
              <w:jc w:val="center"/>
              <w:rPr>
                <w:rFonts w:ascii="Calibri" w:hAnsi="Calibri" w:cs="Calibri"/>
                <w:sz w:val="18"/>
                <w:szCs w:val="18"/>
              </w:rPr>
            </w:pPr>
            <w:r>
              <w:rPr>
                <w:rFonts w:hint="eastAsia" w:ascii="Calibri" w:hAnsi="Calibri" w:cs="Calibri"/>
                <w:sz w:val="18"/>
                <w:szCs w:val="18"/>
              </w:rPr>
              <w:t>S</w:t>
            </w:r>
          </w:p>
        </w:tc>
        <w:tc>
          <w:tcPr>
            <w:tcW w:w="3434" w:type="pct"/>
            <w:tcBorders>
              <w:top w:val="single" w:color="auto" w:sz="4" w:space="0"/>
              <w:left w:val="single" w:color="auto" w:sz="4" w:space="0"/>
              <w:bottom w:val="single" w:color="auto" w:sz="4" w:space="0"/>
              <w:right w:val="single" w:color="auto" w:sz="4" w:space="0"/>
            </w:tcBorders>
            <w:shd w:val="clear" w:color="auto" w:fill="FFFFFF"/>
          </w:tcPr>
          <w:p w14:paraId="6D496101">
            <w:pPr>
              <w:widowControl/>
              <w:spacing w:after="240" w:line="240" w:lineRule="atLeast"/>
              <w:jc w:val="left"/>
              <w:rPr>
                <w:rFonts w:ascii="Calibri" w:hAnsi="Calibri" w:cs="Calibri"/>
                <w:sz w:val="18"/>
                <w:szCs w:val="18"/>
              </w:rPr>
            </w:pPr>
            <w:r>
              <w:rPr>
                <w:rFonts w:ascii="Calibri" w:hAnsi="Calibri" w:cs="Calibri"/>
                <w:sz w:val="18"/>
                <w:szCs w:val="18"/>
              </w:rPr>
              <w:t>Silicone oil</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331B53D5">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3A6BDE95">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8A1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51AF14BE">
            <w:pPr>
              <w:widowControl/>
              <w:spacing w:after="240" w:line="240" w:lineRule="atLeast"/>
              <w:jc w:val="center"/>
              <w:rPr>
                <w:rFonts w:ascii="Calibri" w:hAnsi="Calibri" w:cs="Calibri"/>
                <w:sz w:val="18"/>
                <w:szCs w:val="18"/>
              </w:rPr>
            </w:pPr>
            <w:r>
              <w:rPr>
                <w:rFonts w:hint="eastAsia" w:ascii="Calibri" w:hAnsi="Calibri" w:cs="Calibri"/>
                <w:sz w:val="18"/>
                <w:szCs w:val="18"/>
              </w:rPr>
              <w:t>D</w:t>
            </w:r>
          </w:p>
        </w:tc>
        <w:tc>
          <w:tcPr>
            <w:tcW w:w="3434" w:type="pct"/>
            <w:tcBorders>
              <w:top w:val="single" w:color="auto" w:sz="4" w:space="0"/>
              <w:left w:val="single" w:color="auto" w:sz="4" w:space="0"/>
              <w:bottom w:val="single" w:color="auto" w:sz="4" w:space="0"/>
              <w:right w:val="single" w:color="auto" w:sz="4" w:space="0"/>
            </w:tcBorders>
            <w:shd w:val="clear" w:color="auto" w:fill="FFFFFF"/>
          </w:tcPr>
          <w:p w14:paraId="44BB93CA">
            <w:pPr>
              <w:widowControl/>
              <w:spacing w:after="240" w:line="240" w:lineRule="atLeast"/>
              <w:jc w:val="left"/>
              <w:rPr>
                <w:rFonts w:ascii="Calibri" w:hAnsi="Calibri" w:cs="Calibri"/>
                <w:sz w:val="18"/>
                <w:szCs w:val="18"/>
              </w:rPr>
            </w:pPr>
            <w:r>
              <w:rPr>
                <w:rFonts w:ascii="Calibri" w:hAnsi="Calibri" w:cs="Calibri"/>
                <w:sz w:val="18"/>
                <w:szCs w:val="18"/>
              </w:rPr>
              <w:t>Low temperature silicone oil</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6B219342">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021B33E1">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32C7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298AE600">
            <w:pPr>
              <w:widowControl/>
              <w:spacing w:after="240" w:line="240" w:lineRule="atLeast"/>
              <w:jc w:val="center"/>
              <w:rPr>
                <w:rFonts w:ascii="Calibri" w:hAnsi="Calibri" w:cs="Calibri"/>
                <w:sz w:val="18"/>
                <w:szCs w:val="18"/>
              </w:rPr>
            </w:pPr>
            <w:r>
              <w:rPr>
                <w:rFonts w:hint="eastAsia" w:ascii="Calibri" w:hAnsi="Calibri" w:cs="Calibri"/>
                <w:sz w:val="18"/>
                <w:szCs w:val="18"/>
              </w:rPr>
              <w:t>H</w:t>
            </w:r>
          </w:p>
        </w:tc>
        <w:tc>
          <w:tcPr>
            <w:tcW w:w="3434" w:type="pct"/>
            <w:tcBorders>
              <w:top w:val="single" w:color="auto" w:sz="4" w:space="0"/>
              <w:left w:val="single" w:color="auto" w:sz="4" w:space="0"/>
              <w:bottom w:val="single" w:color="auto" w:sz="4" w:space="0"/>
              <w:right w:val="single" w:color="auto" w:sz="4" w:space="0"/>
            </w:tcBorders>
            <w:shd w:val="clear" w:color="auto" w:fill="FFFFFF"/>
          </w:tcPr>
          <w:p w14:paraId="50A64B71">
            <w:pPr>
              <w:widowControl/>
              <w:spacing w:after="240" w:line="240" w:lineRule="atLeast"/>
              <w:jc w:val="left"/>
              <w:rPr>
                <w:rFonts w:ascii="Calibri" w:hAnsi="Calibri" w:cs="Calibri"/>
                <w:sz w:val="18"/>
                <w:szCs w:val="18"/>
              </w:rPr>
            </w:pPr>
            <w:r>
              <w:rPr>
                <w:rFonts w:ascii="Calibri" w:hAnsi="Calibri" w:cs="Calibri"/>
                <w:sz w:val="18"/>
                <w:szCs w:val="18"/>
              </w:rPr>
              <w:t>High temperature silicone oil</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16A905C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6D500B1E">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2627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2A37BD74">
            <w:pPr>
              <w:widowControl/>
              <w:spacing w:after="240" w:line="240" w:lineRule="atLeast"/>
              <w:jc w:val="center"/>
              <w:rPr>
                <w:rFonts w:ascii="Calibri" w:hAnsi="Calibri" w:cs="Calibri"/>
                <w:sz w:val="18"/>
                <w:szCs w:val="18"/>
              </w:rPr>
            </w:pPr>
            <w:r>
              <w:rPr>
                <w:rFonts w:hint="eastAsia" w:ascii="Calibri" w:hAnsi="Calibri" w:cs="Calibri"/>
                <w:sz w:val="18"/>
                <w:szCs w:val="18"/>
              </w:rPr>
              <w:t>F</w:t>
            </w:r>
          </w:p>
        </w:tc>
        <w:tc>
          <w:tcPr>
            <w:tcW w:w="3434" w:type="pct"/>
            <w:tcBorders>
              <w:top w:val="single" w:color="auto" w:sz="4" w:space="0"/>
              <w:left w:val="single" w:color="auto" w:sz="4" w:space="0"/>
              <w:bottom w:val="single" w:color="auto" w:sz="4" w:space="0"/>
              <w:right w:val="single" w:color="auto" w:sz="4" w:space="0"/>
            </w:tcBorders>
            <w:shd w:val="clear" w:color="auto" w:fill="FFFFFF"/>
          </w:tcPr>
          <w:p w14:paraId="376BCD61">
            <w:pPr>
              <w:widowControl/>
              <w:spacing w:after="240" w:line="240" w:lineRule="atLeast"/>
              <w:jc w:val="left"/>
              <w:rPr>
                <w:rFonts w:ascii="Calibri" w:hAnsi="Calibri" w:cs="Calibri"/>
                <w:sz w:val="18"/>
                <w:szCs w:val="18"/>
              </w:rPr>
            </w:pPr>
            <w:r>
              <w:rPr>
                <w:rFonts w:ascii="Calibri" w:hAnsi="Calibri" w:cs="Calibri"/>
                <w:sz w:val="18"/>
                <w:szCs w:val="18"/>
              </w:rPr>
              <w:t>Fluoro oil</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3DB2CB98">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0F395964">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80D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45823B62">
            <w:pPr>
              <w:widowControl/>
              <w:spacing w:after="240" w:line="240" w:lineRule="atLeast"/>
              <w:jc w:val="center"/>
              <w:rPr>
                <w:rFonts w:ascii="Calibri" w:hAnsi="Calibri" w:cs="Calibri"/>
                <w:sz w:val="18"/>
                <w:szCs w:val="18"/>
              </w:rPr>
            </w:pPr>
            <w:r>
              <w:rPr>
                <w:rFonts w:hint="eastAsia" w:ascii="Calibri" w:hAnsi="Calibri" w:cs="Calibri"/>
                <w:sz w:val="18"/>
                <w:szCs w:val="18"/>
              </w:rPr>
              <w:t>O</w:t>
            </w:r>
          </w:p>
        </w:tc>
        <w:tc>
          <w:tcPr>
            <w:tcW w:w="3434" w:type="pct"/>
            <w:tcBorders>
              <w:top w:val="single" w:color="auto" w:sz="4" w:space="0"/>
              <w:left w:val="single" w:color="auto" w:sz="4" w:space="0"/>
              <w:bottom w:val="single" w:color="auto" w:sz="4" w:space="0"/>
              <w:right w:val="single" w:color="auto" w:sz="4" w:space="0"/>
            </w:tcBorders>
            <w:shd w:val="clear" w:color="auto" w:fill="FFFFFF"/>
          </w:tcPr>
          <w:p w14:paraId="302CF1D9">
            <w:pPr>
              <w:widowControl/>
              <w:spacing w:after="240" w:line="240" w:lineRule="atLeast"/>
              <w:jc w:val="left"/>
              <w:rPr>
                <w:rFonts w:ascii="Calibri" w:hAnsi="Calibri" w:cs="Calibri"/>
                <w:sz w:val="18"/>
                <w:szCs w:val="18"/>
              </w:rPr>
            </w:pPr>
            <w:r>
              <w:rPr>
                <w:rFonts w:ascii="Calibri" w:hAnsi="Calibri" w:cs="Calibri"/>
                <w:sz w:val="18"/>
                <w:szCs w:val="18"/>
              </w:rPr>
              <w:t>Vegetable oil</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4746E41A">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05A9A439">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5A4C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456917B">
            <w:pPr>
              <w:widowControl/>
              <w:spacing w:after="240" w:line="240" w:lineRule="atLeast"/>
              <w:jc w:val="center"/>
              <w:rPr>
                <w:rFonts w:ascii="Calibri" w:hAnsi="Calibri" w:cs="Calibri"/>
                <w:sz w:val="18"/>
                <w:szCs w:val="18"/>
              </w:rPr>
            </w:pPr>
            <w:r>
              <w:rPr>
                <w:rFonts w:hint="eastAsia" w:ascii="Calibri" w:hAnsi="Calibri" w:cs="Calibri"/>
                <w:sz w:val="18"/>
                <w:szCs w:val="18"/>
              </w:rPr>
              <w:t>Code</w:t>
            </w:r>
          </w:p>
        </w:tc>
        <w:tc>
          <w:tcPr>
            <w:tcW w:w="3434"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817F1DA">
            <w:pPr>
              <w:widowControl/>
              <w:spacing w:after="240" w:line="240" w:lineRule="atLeast"/>
              <w:jc w:val="left"/>
              <w:rPr>
                <w:rFonts w:ascii="Calibri" w:hAnsi="Calibri" w:cs="Calibri"/>
                <w:sz w:val="18"/>
                <w:szCs w:val="18"/>
              </w:rPr>
            </w:pPr>
            <w:r>
              <w:rPr>
                <w:rFonts w:hint="eastAsia" w:ascii="Calibri" w:hAnsi="Calibri" w:cs="Calibri"/>
                <w:sz w:val="18"/>
                <w:szCs w:val="18"/>
              </w:rPr>
              <w:t>Seals</w:t>
            </w:r>
          </w:p>
        </w:tc>
        <w:tc>
          <w:tcPr>
            <w:tcW w:w="466"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9A60DB0">
            <w:pPr>
              <w:widowControl/>
              <w:spacing w:after="240" w:line="240" w:lineRule="atLeast"/>
              <w:jc w:val="center"/>
              <w:rPr>
                <w:rFonts w:ascii="Calibri" w:hAnsi="Calibri" w:cs="Calibri"/>
                <w:sz w:val="18"/>
                <w:szCs w:val="18"/>
              </w:rPr>
            </w:pPr>
            <w:r>
              <w:rPr>
                <w:rFonts w:ascii="Calibri" w:hAnsi="Calibri" w:cs="Calibri"/>
                <w:sz w:val="18"/>
                <w:szCs w:val="18"/>
              </w:rPr>
              <w:t>SG</w:t>
            </w:r>
          </w:p>
        </w:tc>
        <w:tc>
          <w:tcPr>
            <w:tcW w:w="452" w:type="pct"/>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267FC72">
            <w:pPr>
              <w:widowControl/>
              <w:spacing w:after="240" w:line="240" w:lineRule="atLeast"/>
              <w:jc w:val="center"/>
              <w:rPr>
                <w:rFonts w:ascii="Calibri" w:hAnsi="Calibri" w:cs="Calibri"/>
                <w:sz w:val="18"/>
                <w:szCs w:val="18"/>
              </w:rPr>
            </w:pPr>
            <w:r>
              <w:rPr>
                <w:rFonts w:ascii="Calibri" w:hAnsi="Calibri" w:cs="Calibri"/>
                <w:sz w:val="18"/>
                <w:szCs w:val="18"/>
              </w:rPr>
              <w:t>SA</w:t>
            </w:r>
          </w:p>
        </w:tc>
      </w:tr>
      <w:tr w14:paraId="4813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3EA37204">
            <w:pPr>
              <w:widowControl/>
              <w:spacing w:after="240" w:line="240" w:lineRule="atLeast"/>
              <w:jc w:val="center"/>
              <w:rPr>
                <w:rFonts w:ascii="Calibri" w:hAnsi="Calibri" w:cs="Calibri"/>
                <w:sz w:val="18"/>
                <w:szCs w:val="18"/>
              </w:rPr>
            </w:pPr>
            <w:r>
              <w:rPr>
                <w:rFonts w:hint="eastAsia" w:ascii="Calibri" w:hAnsi="Calibri" w:cs="Calibri"/>
                <w:sz w:val="18"/>
                <w:szCs w:val="18"/>
              </w:rPr>
              <w:t>RF</w:t>
            </w:r>
          </w:p>
        </w:tc>
        <w:tc>
          <w:tcPr>
            <w:tcW w:w="3434" w:type="pct"/>
            <w:tcBorders>
              <w:top w:val="single" w:color="auto" w:sz="4" w:space="0"/>
              <w:left w:val="single" w:color="auto" w:sz="4" w:space="0"/>
              <w:bottom w:val="single" w:color="auto" w:sz="4" w:space="0"/>
              <w:right w:val="single" w:color="auto" w:sz="4" w:space="0"/>
            </w:tcBorders>
            <w:shd w:val="clear" w:color="auto" w:fill="FFFFFF"/>
          </w:tcPr>
          <w:p w14:paraId="1F59DBA5">
            <w:pPr>
              <w:widowControl/>
              <w:spacing w:after="240" w:line="240" w:lineRule="atLeast"/>
              <w:jc w:val="left"/>
              <w:rPr>
                <w:rFonts w:ascii="Calibri" w:hAnsi="Calibri" w:cs="Calibri"/>
                <w:sz w:val="18"/>
                <w:szCs w:val="18"/>
              </w:rPr>
            </w:pPr>
            <w:r>
              <w:rPr>
                <w:rFonts w:ascii="Calibri" w:hAnsi="Calibri" w:cs="Calibri"/>
                <w:sz w:val="18"/>
                <w:szCs w:val="18"/>
              </w:rPr>
              <w:t>Split flange seal</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554C1AC3">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63AB922A">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645D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25C8A3D0">
            <w:pPr>
              <w:widowControl/>
              <w:spacing w:after="240" w:line="240" w:lineRule="atLeast"/>
              <w:jc w:val="center"/>
              <w:rPr>
                <w:rFonts w:ascii="Calibri" w:hAnsi="Calibri" w:cs="Calibri"/>
                <w:sz w:val="18"/>
                <w:szCs w:val="18"/>
              </w:rPr>
            </w:pPr>
            <w:r>
              <w:rPr>
                <w:rFonts w:ascii="Calibri" w:hAnsi="Calibri" w:cs="Calibri"/>
                <w:sz w:val="18"/>
                <w:szCs w:val="18"/>
              </w:rPr>
              <w:t>FF</w:t>
            </w:r>
          </w:p>
        </w:tc>
        <w:tc>
          <w:tcPr>
            <w:tcW w:w="3434" w:type="pct"/>
            <w:tcBorders>
              <w:top w:val="single" w:color="auto" w:sz="4" w:space="0"/>
              <w:left w:val="single" w:color="auto" w:sz="4" w:space="0"/>
              <w:bottom w:val="single" w:color="auto" w:sz="4" w:space="0"/>
              <w:right w:val="single" w:color="auto" w:sz="4" w:space="0"/>
            </w:tcBorders>
            <w:shd w:val="clear" w:color="auto" w:fill="FFFFFF"/>
          </w:tcPr>
          <w:p w14:paraId="1D412780">
            <w:pPr>
              <w:widowControl/>
              <w:spacing w:after="240" w:line="240" w:lineRule="atLeast"/>
              <w:jc w:val="left"/>
              <w:rPr>
                <w:rFonts w:ascii="Calibri" w:hAnsi="Calibri" w:cs="Calibri"/>
                <w:sz w:val="18"/>
                <w:szCs w:val="18"/>
              </w:rPr>
            </w:pPr>
            <w:r>
              <w:rPr>
                <w:rFonts w:ascii="Calibri" w:hAnsi="Calibri" w:cs="Calibri"/>
                <w:sz w:val="18"/>
                <w:szCs w:val="18"/>
              </w:rPr>
              <w:t>Flat flange seal</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6795112B">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5CC09D40">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38DF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70F957D6">
            <w:pPr>
              <w:widowControl/>
              <w:spacing w:after="240" w:line="240" w:lineRule="atLeast"/>
              <w:jc w:val="center"/>
              <w:rPr>
                <w:rFonts w:ascii="Calibri" w:hAnsi="Calibri" w:cs="Calibri"/>
                <w:sz w:val="18"/>
                <w:szCs w:val="18"/>
              </w:rPr>
            </w:pPr>
            <w:r>
              <w:rPr>
                <w:rFonts w:hint="eastAsia" w:ascii="Calibri" w:hAnsi="Calibri" w:cs="Calibri"/>
                <w:sz w:val="18"/>
                <w:szCs w:val="18"/>
              </w:rPr>
              <w:t>E</w:t>
            </w:r>
            <w:r>
              <w:rPr>
                <w:rFonts w:ascii="Calibri" w:hAnsi="Calibri" w:cs="Calibri"/>
                <w:sz w:val="18"/>
                <w:szCs w:val="18"/>
              </w:rPr>
              <w:t>F</w:t>
            </w:r>
          </w:p>
        </w:tc>
        <w:tc>
          <w:tcPr>
            <w:tcW w:w="3434" w:type="pct"/>
            <w:tcBorders>
              <w:top w:val="single" w:color="auto" w:sz="4" w:space="0"/>
              <w:left w:val="single" w:color="auto" w:sz="4" w:space="0"/>
              <w:bottom w:val="single" w:color="auto" w:sz="4" w:space="0"/>
              <w:right w:val="single" w:color="auto" w:sz="4" w:space="0"/>
            </w:tcBorders>
            <w:shd w:val="clear" w:color="auto" w:fill="FFFFFF"/>
          </w:tcPr>
          <w:p w14:paraId="28AB9977">
            <w:pPr>
              <w:widowControl/>
              <w:spacing w:after="240" w:line="240" w:lineRule="atLeast"/>
              <w:jc w:val="left"/>
              <w:rPr>
                <w:rFonts w:ascii="Calibri" w:hAnsi="Calibri" w:cs="Calibri"/>
                <w:sz w:val="18"/>
                <w:szCs w:val="18"/>
              </w:rPr>
            </w:pPr>
            <w:r>
              <w:rPr>
                <w:rFonts w:ascii="Calibri" w:hAnsi="Calibri" w:cs="Calibri"/>
                <w:sz w:val="18"/>
                <w:szCs w:val="18"/>
              </w:rPr>
              <w:t>Extended flange seal</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5A2B3349">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465B552E">
            <w:pPr>
              <w:widowControl/>
              <w:spacing w:after="240" w:line="240" w:lineRule="atLeast"/>
              <w:jc w:val="center"/>
              <w:rPr>
                <w:rFonts w:ascii="Calibri" w:hAnsi="Calibri" w:cs="Calibri"/>
                <w:sz w:val="18"/>
                <w:szCs w:val="18"/>
              </w:rPr>
            </w:pPr>
            <w:r>
              <w:rPr>
                <w:rFonts w:ascii="Calibri" w:hAnsi="Calibri" w:cs="Calibri"/>
                <w:sz w:val="18"/>
                <w:szCs w:val="18"/>
              </w:rPr>
              <w:t>●</w:t>
            </w:r>
          </w:p>
        </w:tc>
      </w:tr>
      <w:tr w14:paraId="450D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48" w:type="pct"/>
            <w:tcBorders>
              <w:top w:val="single" w:color="auto" w:sz="4" w:space="0"/>
              <w:left w:val="single" w:color="auto" w:sz="4" w:space="0"/>
              <w:bottom w:val="single" w:color="auto" w:sz="4" w:space="0"/>
              <w:right w:val="single" w:color="auto" w:sz="4" w:space="0"/>
            </w:tcBorders>
            <w:shd w:val="clear" w:color="auto" w:fill="FFFFFF"/>
            <w:vAlign w:val="center"/>
          </w:tcPr>
          <w:p w14:paraId="76437287">
            <w:pPr>
              <w:widowControl/>
              <w:spacing w:after="240" w:line="240" w:lineRule="atLeast"/>
              <w:jc w:val="center"/>
              <w:rPr>
                <w:rFonts w:ascii="Calibri" w:hAnsi="Calibri" w:cs="Calibri"/>
                <w:sz w:val="18"/>
                <w:szCs w:val="18"/>
              </w:rPr>
            </w:pPr>
            <w:r>
              <w:rPr>
                <w:rFonts w:hint="eastAsia" w:ascii="Calibri" w:hAnsi="Calibri" w:cs="Calibri"/>
                <w:sz w:val="18"/>
                <w:szCs w:val="18"/>
              </w:rPr>
              <w:t>R</w:t>
            </w:r>
            <w:r>
              <w:rPr>
                <w:rFonts w:ascii="Calibri" w:hAnsi="Calibri" w:cs="Calibri"/>
                <w:sz w:val="18"/>
                <w:szCs w:val="18"/>
              </w:rPr>
              <w:t>T</w:t>
            </w:r>
          </w:p>
        </w:tc>
        <w:tc>
          <w:tcPr>
            <w:tcW w:w="3434" w:type="pct"/>
            <w:tcBorders>
              <w:top w:val="single" w:color="auto" w:sz="4" w:space="0"/>
              <w:left w:val="single" w:color="auto" w:sz="4" w:space="0"/>
              <w:bottom w:val="single" w:color="auto" w:sz="4" w:space="0"/>
              <w:right w:val="single" w:color="auto" w:sz="4" w:space="0"/>
            </w:tcBorders>
            <w:shd w:val="clear" w:color="auto" w:fill="FFFFFF"/>
          </w:tcPr>
          <w:p w14:paraId="148DACBE">
            <w:pPr>
              <w:widowControl/>
              <w:spacing w:after="240" w:line="240" w:lineRule="atLeast"/>
              <w:jc w:val="left"/>
              <w:rPr>
                <w:rFonts w:ascii="Calibri" w:hAnsi="Calibri" w:cs="Calibri"/>
                <w:sz w:val="18"/>
                <w:szCs w:val="18"/>
              </w:rPr>
            </w:pPr>
            <w:r>
              <w:rPr>
                <w:rFonts w:ascii="Calibri" w:hAnsi="Calibri" w:cs="Calibri"/>
                <w:sz w:val="18"/>
                <w:szCs w:val="18"/>
              </w:rPr>
              <w:t>Split threaded seal</w:t>
            </w:r>
          </w:p>
        </w:tc>
        <w:tc>
          <w:tcPr>
            <w:tcW w:w="466" w:type="pct"/>
            <w:tcBorders>
              <w:top w:val="single" w:color="auto" w:sz="4" w:space="0"/>
              <w:left w:val="single" w:color="auto" w:sz="4" w:space="0"/>
              <w:bottom w:val="single" w:color="auto" w:sz="4" w:space="0"/>
              <w:right w:val="single" w:color="auto" w:sz="4" w:space="0"/>
            </w:tcBorders>
            <w:shd w:val="clear" w:color="auto" w:fill="FFFFFF"/>
            <w:vAlign w:val="center"/>
          </w:tcPr>
          <w:p w14:paraId="1A28A6B4">
            <w:pPr>
              <w:widowControl/>
              <w:spacing w:after="240" w:line="240" w:lineRule="atLeast"/>
              <w:jc w:val="center"/>
              <w:rPr>
                <w:rFonts w:ascii="Calibri" w:hAnsi="Calibri" w:cs="Calibri"/>
                <w:sz w:val="18"/>
                <w:szCs w:val="18"/>
              </w:rPr>
            </w:pPr>
            <w:r>
              <w:rPr>
                <w:rFonts w:ascii="Calibri" w:hAnsi="Calibri" w:cs="Calibri"/>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tcPr>
          <w:p w14:paraId="24900B47">
            <w:pPr>
              <w:widowControl/>
              <w:spacing w:after="240" w:line="240" w:lineRule="atLeast"/>
              <w:jc w:val="center"/>
              <w:rPr>
                <w:rFonts w:ascii="Calibri" w:hAnsi="Calibri" w:cs="Calibri"/>
                <w:sz w:val="18"/>
                <w:szCs w:val="18"/>
              </w:rPr>
            </w:pPr>
            <w:r>
              <w:rPr>
                <w:rFonts w:ascii="Calibri" w:hAnsi="Calibri" w:cs="Calibri"/>
                <w:sz w:val="18"/>
                <w:szCs w:val="18"/>
              </w:rPr>
              <w:t>●</w:t>
            </w:r>
          </w:p>
        </w:tc>
      </w:tr>
    </w:tbl>
    <w:p w14:paraId="45A56361">
      <w:pPr>
        <w:tabs>
          <w:tab w:val="left" w:pos="715"/>
        </w:tabs>
        <w:spacing w:after="240"/>
      </w:pPr>
      <w:r>
        <w:t>Basic transmitter selection+5B4S0SRFT (5m), if it is directly installed, it should be 0m</w:t>
      </w:r>
    </w:p>
    <w:p w14:paraId="342CB6D5">
      <w:pPr>
        <w:spacing w:after="240"/>
        <w:ind w:right="420"/>
        <w:rPr>
          <w:rFonts w:ascii="Calibri" w:hAnsi="Calibri" w:cs="Calibri"/>
        </w:rPr>
      </w:pPr>
    </w:p>
    <w:p w14:paraId="0BFA35C4">
      <w:pPr>
        <w:tabs>
          <w:tab w:val="left" w:pos="4860"/>
        </w:tabs>
        <w:spacing w:before="9000" w:after="240"/>
        <w:ind w:right="840" w:rightChars="400" w:firstLine="840" w:firstLineChars="350"/>
        <w:rPr>
          <w:rFonts w:eastAsia="黑体" w:cstheme="minorHAnsi"/>
          <w:color w:val="00B0F0"/>
          <w:sz w:val="24"/>
          <w:szCs w:val="24"/>
        </w:rPr>
      </w:pPr>
    </w:p>
    <w:p w14:paraId="38984997">
      <w:pPr>
        <w:tabs>
          <w:tab w:val="left" w:pos="4860"/>
        </w:tabs>
        <w:spacing w:before="9000" w:after="240"/>
        <w:ind w:right="840" w:rightChars="400" w:firstLine="840" w:firstLineChars="350"/>
        <w:rPr>
          <w:rFonts w:eastAsia="黑体" w:cstheme="minorHAnsi"/>
          <w:color w:val="00B0F0"/>
          <w:sz w:val="24"/>
          <w:szCs w:val="24"/>
        </w:rPr>
      </w:pPr>
      <w:r>
        <w:rPr>
          <w:rFonts w:eastAsia="黑体" w:cstheme="minorHAnsi"/>
          <w:color w:val="00B0F0"/>
          <w:sz w:val="24"/>
          <w:szCs w:val="24"/>
        </w:rPr>
        <w:drawing>
          <wp:anchor distT="0" distB="0" distL="114300" distR="114300" simplePos="0" relativeHeight="251665408" behindDoc="0" locked="0" layoutInCell="1" allowOverlap="1">
            <wp:simplePos x="0" y="0"/>
            <wp:positionH relativeFrom="column">
              <wp:posOffset>683260</wp:posOffset>
            </wp:positionH>
            <wp:positionV relativeFrom="paragraph">
              <wp:posOffset>1875155</wp:posOffset>
            </wp:positionV>
            <wp:extent cx="4896485" cy="691515"/>
            <wp:effectExtent l="0" t="0" r="0" b="0"/>
            <wp:wrapNone/>
            <wp:docPr id="3567" name="图片 3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 name="图片 3567"/>
                    <pic:cNvPicPr>
                      <a:picLocks noChangeAspect="1"/>
                    </pic:cNvPicPr>
                  </pic:nvPicPr>
                  <pic:blipFill>
                    <a:blip r:embed="rId107">
                      <a:extLst>
                        <a:ext uri="{28A0092B-C50C-407E-A947-70E740481C1C}">
                          <a14:useLocalDpi xmlns:a14="http://schemas.microsoft.com/office/drawing/2010/main" val="0"/>
                        </a:ext>
                      </a:extLst>
                    </a:blip>
                    <a:stretch>
                      <a:fillRect/>
                    </a:stretch>
                  </pic:blipFill>
                  <pic:spPr>
                    <a:xfrm>
                      <a:off x="0" y="0"/>
                      <a:ext cx="4896316" cy="691764"/>
                    </a:xfrm>
                    <a:prstGeom prst="rect">
                      <a:avLst/>
                    </a:prstGeom>
                  </pic:spPr>
                </pic:pic>
              </a:graphicData>
            </a:graphic>
          </wp:anchor>
        </w:drawing>
      </w:r>
      <w:r>
        <w:rPr>
          <w:rFonts w:eastAsia="黑体" w:cstheme="minorHAnsi"/>
          <w:color w:val="00B0F0"/>
          <w:sz w:val="24"/>
          <w:szCs w:val="24"/>
        </w:rPr>
        <w:t>Address: 17-8 Wensu Street, Hunnan New District, Shenyang,</w:t>
      </w:r>
    </w:p>
    <w:p w14:paraId="454BF102">
      <w:pPr>
        <w:spacing w:after="240"/>
        <w:ind w:left="840" w:leftChars="400" w:right="840" w:rightChars="400"/>
        <w:rPr>
          <w:rFonts w:eastAsia="黑体" w:cstheme="minorHAnsi"/>
          <w:color w:val="00B0F0"/>
          <w:sz w:val="24"/>
          <w:szCs w:val="24"/>
        </w:rPr>
      </w:pPr>
      <w:r>
        <w:rPr>
          <w:rFonts w:eastAsia="黑体" w:cstheme="minorHAnsi"/>
          <w:color w:val="00B0F0"/>
          <w:sz w:val="24"/>
          <w:szCs w:val="24"/>
        </w:rPr>
        <w:t>China</w:t>
      </w:r>
    </w:p>
    <w:p w14:paraId="0D69BAB0">
      <w:pPr>
        <w:spacing w:after="240"/>
        <w:ind w:left="840" w:leftChars="400" w:right="840" w:rightChars="400"/>
        <w:rPr>
          <w:rFonts w:eastAsia="黑体" w:cstheme="minorHAnsi"/>
          <w:color w:val="00B0F0"/>
          <w:sz w:val="24"/>
          <w:szCs w:val="24"/>
        </w:rPr>
      </w:pPr>
      <w:r>
        <w:rPr>
          <w:rFonts w:eastAsia="黑体" w:cstheme="minorHAnsi"/>
          <w:color w:val="00B0F0"/>
          <w:sz w:val="24"/>
          <w:szCs w:val="24"/>
        </w:rPr>
        <w:t>Website: http://www.microcyber</w:t>
      </w:r>
      <w:r>
        <w:rPr>
          <w:rFonts w:hint="eastAsia" w:eastAsia="黑体" w:cstheme="minorHAnsi"/>
          <w:color w:val="00B0F0"/>
          <w:sz w:val="24"/>
          <w:szCs w:val="24"/>
        </w:rPr>
        <w:t>s</w:t>
      </w:r>
      <w:r>
        <w:rPr>
          <w:rFonts w:eastAsia="黑体" w:cstheme="minorHAnsi"/>
          <w:color w:val="00B0F0"/>
          <w:sz w:val="24"/>
          <w:szCs w:val="24"/>
        </w:rPr>
        <w:t>.com</w:t>
      </w:r>
    </w:p>
    <w:p w14:paraId="2C2BA710">
      <w:pPr>
        <w:spacing w:after="240"/>
        <w:ind w:left="840" w:leftChars="400" w:right="840" w:rightChars="400"/>
        <w:rPr>
          <w:rFonts w:eastAsia="黑体" w:cstheme="minorHAnsi"/>
          <w:color w:val="00B0F0"/>
          <w:sz w:val="24"/>
          <w:szCs w:val="24"/>
        </w:rPr>
      </w:pPr>
      <w:r>
        <w:rPr>
          <w:rFonts w:eastAsia="黑体" w:cstheme="minorHAnsi"/>
          <w:color w:val="00B0F0"/>
          <w:sz w:val="24"/>
          <w:szCs w:val="24"/>
        </w:rPr>
        <w:t>Phone: +86-24-31217278/+86-24-31217280</w:t>
      </w:r>
    </w:p>
    <w:p w14:paraId="21B4E256">
      <w:pPr>
        <w:spacing w:after="240"/>
        <w:ind w:left="840" w:leftChars="400" w:right="840" w:rightChars="400"/>
        <w:rPr>
          <w:rFonts w:eastAsia="黑体" w:cstheme="minorHAnsi"/>
          <w:color w:val="00B0F0"/>
          <w:sz w:val="24"/>
          <w:szCs w:val="24"/>
        </w:rPr>
      </w:pPr>
      <w:r>
        <w:rPr>
          <w:rFonts w:eastAsia="黑体" w:cstheme="minorHAnsi"/>
          <w:color w:val="00B0F0"/>
          <w:sz w:val="24"/>
          <w:szCs w:val="24"/>
        </w:rPr>
        <w:t>Fax: +86-24-31217338</w:t>
      </w:r>
    </w:p>
    <w:p w14:paraId="335BC8B2">
      <w:pPr>
        <w:spacing w:after="240"/>
        <w:ind w:left="840" w:leftChars="400" w:right="840" w:rightChars="400"/>
        <w:rPr>
          <w:rFonts w:eastAsia="黑体" w:cstheme="minorHAnsi"/>
          <w:color w:val="00B0F0"/>
          <w:spacing w:val="46"/>
          <w:sz w:val="24"/>
          <w:szCs w:val="24"/>
        </w:rPr>
      </w:pPr>
      <w:r>
        <w:rPr>
          <w:rFonts w:eastAsia="黑体" w:cstheme="minorHAnsi"/>
          <w:color w:val="00B0F0"/>
          <w:spacing w:val="46"/>
          <w:sz w:val="24"/>
          <w:szCs w:val="24"/>
        </w:rPr>
        <w:t>Email：sales@microcyber.cn</w:t>
      </w:r>
    </w:p>
    <w:p w14:paraId="632F2B21">
      <w:pPr>
        <w:spacing w:after="240"/>
        <w:rPr>
          <w:rFonts w:cstheme="minorHAnsi"/>
        </w:rPr>
      </w:pPr>
    </w:p>
    <w:p w14:paraId="2396825B">
      <w:pPr>
        <w:spacing w:after="240"/>
        <w:rPr>
          <w:rFonts w:cstheme="minorHAnsi"/>
        </w:rPr>
      </w:pPr>
    </w:p>
    <w:sectPr>
      <w:headerReference r:id="rId15" w:type="default"/>
      <w:pgSz w:w="11907" w:h="16840"/>
      <w:pgMar w:top="1554" w:right="1077" w:bottom="1134" w:left="1077" w:header="539" w:footer="567" w:gutter="0"/>
      <w:cols w:space="425" w:num="1"/>
      <w:docGrid w:linePitch="312" w:charSpace="481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Wingdings">
    <w:panose1 w:val="05000000000000000000"/>
    <w:charset w:val="00"/>
    <w:family w:val="decorative"/>
    <w:pitch w:val="default"/>
    <w:sig w:usb0="00000000" w:usb1="00000000" w:usb2="00000000" w:usb3="00000000" w:csb0="80000000" w:csb1="00000000"/>
  </w:font>
  <w:font w:name="TimesNewRomanPSMT">
    <w:altName w:val="Times New Roman"/>
    <w:panose1 w:val="020B0604020202020204"/>
    <w:charset w:val="00"/>
    <w:family w:val="roman"/>
    <w:pitch w:val="default"/>
    <w:sig w:usb0="00000000" w:usb1="00000000" w:usb2="00000000" w:usb3="00000000" w:csb0="0000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ArialMT">
    <w:altName w:val="Arial"/>
    <w:panose1 w:val="020B0604020202020204"/>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1F054">
    <w:pPr>
      <w:pStyle w:val="21"/>
      <w:spacing w:after="2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FB86A">
    <w:pPr>
      <w:pStyle w:val="21"/>
      <w:spacing w:after="2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3A3DE">
    <w:pPr>
      <w:pStyle w:val="21"/>
      <w:spacing w:after="24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D17F9">
    <w:pPr>
      <w:pStyle w:val="21"/>
      <w:spacing w:after="240"/>
      <w:jc w:val="center"/>
      <w:rPr>
        <w:sz w:val="21"/>
        <w:szCs w:val="21"/>
      </w:rPr>
    </w:pPr>
    <w:r>
      <w:rPr>
        <w:rFonts w:hint="eastAsia"/>
        <w:sz w:val="21"/>
        <w:szCs w:val="21"/>
      </w:rPr>
      <w:t>~</w:t>
    </w:r>
    <w:r>
      <w:rPr>
        <w:sz w:val="21"/>
        <w:szCs w:val="21"/>
      </w:rPr>
      <w:t xml:space="preserve"> </w:t>
    </w:r>
    <w:sdt>
      <w:sdtPr>
        <w:rPr>
          <w:sz w:val="21"/>
          <w:szCs w:val="21"/>
        </w:rPr>
        <w:id w:val="637065644"/>
      </w:sdtPr>
      <w:sdtEndPr>
        <w:rPr>
          <w:sz w:val="21"/>
          <w:szCs w:val="21"/>
        </w:rPr>
      </w:sdtEndPr>
      <w:sdtContent>
        <w:r>
          <w:rPr>
            <w:sz w:val="21"/>
            <w:szCs w:val="21"/>
          </w:rPr>
          <w:fldChar w:fldCharType="begin"/>
        </w:r>
        <w:r>
          <w:rPr>
            <w:sz w:val="21"/>
            <w:szCs w:val="21"/>
          </w:rPr>
          <w:instrText xml:space="preserve"> PAGE  \* ROMAN  \* MERGEFORMAT </w:instrText>
        </w:r>
        <w:r>
          <w:rPr>
            <w:sz w:val="21"/>
            <w:szCs w:val="21"/>
          </w:rPr>
          <w:fldChar w:fldCharType="separate"/>
        </w:r>
        <w:r>
          <w:rPr>
            <w:sz w:val="21"/>
            <w:szCs w:val="21"/>
          </w:rPr>
          <w:t>V</w:t>
        </w:r>
        <w:r>
          <w:rPr>
            <w:sz w:val="21"/>
            <w:szCs w:val="21"/>
          </w:rPr>
          <w:fldChar w:fldCharType="end"/>
        </w:r>
        <w:r>
          <w:rPr>
            <w:sz w:val="21"/>
            <w:szCs w:val="21"/>
          </w:rPr>
          <w:t xml:space="preserve"> </w:t>
        </w:r>
        <w:r>
          <w:rPr>
            <w:rFonts w:hint="eastAsia"/>
            <w:sz w:val="21"/>
            <w:szCs w:val="21"/>
          </w:rPr>
          <w:t>~</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F1A74">
    <w:pPr>
      <w:pStyle w:val="21"/>
      <w:spacing w:after="240"/>
      <w:jc w:val="center"/>
      <w:rPr>
        <w:sz w:val="21"/>
        <w:szCs w:val="21"/>
      </w:rPr>
    </w:pPr>
    <w:r>
      <w:rPr>
        <w:rFonts w:hint="eastAsia"/>
        <w:sz w:val="21"/>
        <w:szCs w:val="21"/>
      </w:rPr>
      <w:t xml:space="preserve">~ </w:t>
    </w:r>
    <w:r>
      <w:rPr>
        <w:rStyle w:val="35"/>
        <w:sz w:val="21"/>
        <w:szCs w:val="21"/>
      </w:rPr>
      <w:fldChar w:fldCharType="begin"/>
    </w:r>
    <w:r>
      <w:rPr>
        <w:rStyle w:val="35"/>
        <w:sz w:val="21"/>
        <w:szCs w:val="21"/>
      </w:rPr>
      <w:instrText xml:space="preserve"> PAGE </w:instrText>
    </w:r>
    <w:r>
      <w:rPr>
        <w:rStyle w:val="35"/>
        <w:sz w:val="21"/>
        <w:szCs w:val="21"/>
      </w:rPr>
      <w:fldChar w:fldCharType="separate"/>
    </w:r>
    <w:r>
      <w:rPr>
        <w:rStyle w:val="35"/>
        <w:sz w:val="21"/>
        <w:szCs w:val="21"/>
      </w:rPr>
      <w:t>16</w:t>
    </w:r>
    <w:r>
      <w:rPr>
        <w:rStyle w:val="35"/>
        <w:sz w:val="21"/>
        <w:szCs w:val="21"/>
      </w:rPr>
      <w:fldChar w:fldCharType="end"/>
    </w:r>
    <w:r>
      <w:rPr>
        <w:rFonts w:hint="eastAsia"/>
        <w:sz w:val="21"/>
        <w:szCs w:val="21"/>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1D0D9">
    <w:pPr>
      <w:pStyle w:val="21"/>
      <w:spacing w:after="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EBE31">
    <w:pPr>
      <w:spacing w:after="240"/>
    </w:pPr>
    <w:r>
      <w:drawing>
        <wp:anchor distT="0" distB="0" distL="114300" distR="114300" simplePos="0" relativeHeight="251659264" behindDoc="1" locked="0" layoutInCell="1" allowOverlap="1">
          <wp:simplePos x="0" y="0"/>
          <wp:positionH relativeFrom="column">
            <wp:posOffset>-707390</wp:posOffset>
          </wp:positionH>
          <wp:positionV relativeFrom="paragraph">
            <wp:posOffset>-922020</wp:posOffset>
          </wp:positionV>
          <wp:extent cx="7743825" cy="11201400"/>
          <wp:effectExtent l="0" t="0" r="0" b="0"/>
          <wp:wrapNone/>
          <wp:docPr id="48" name="图片 2"/>
          <wp:cNvGraphicFramePr/>
          <a:graphic xmlns:a="http://schemas.openxmlformats.org/drawingml/2006/main">
            <a:graphicData uri="http://schemas.openxmlformats.org/drawingml/2006/picture">
              <pic:pic xmlns:pic="http://schemas.openxmlformats.org/drawingml/2006/picture">
                <pic:nvPicPr>
                  <pic:cNvPr id="48" name="图片 2"/>
                  <pic:cNvPicPr/>
                </pic:nvPicPr>
                <pic:blipFill>
                  <a:blip r:embed="rId1">
                    <a:extLst>
                      <a:ext uri="{28A0092B-C50C-407E-A947-70E740481C1C}">
                        <a14:useLocalDpi xmlns:a14="http://schemas.microsoft.com/office/drawing/2010/main" val="0"/>
                      </a:ext>
                    </a:extLst>
                  </a:blip>
                  <a:srcRect/>
                  <a:stretch>
                    <a:fillRect/>
                  </a:stretch>
                </pic:blipFill>
                <pic:spPr>
                  <a:xfrm>
                    <a:off x="0" y="0"/>
                    <a:ext cx="7743825" cy="112014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B46AA">
    <w:pPr>
      <w:pStyle w:val="22"/>
      <w:spacing w:after="2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9E7FC">
    <w:pPr>
      <w:pStyle w:val="22"/>
      <w:spacing w:after="2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FBFFC">
    <w:pPr>
      <w:spacing w:after="240"/>
      <w:jc w:val="left"/>
    </w:pPr>
    <w:r>
      <w:drawing>
        <wp:inline distT="0" distB="0" distL="0" distR="0">
          <wp:extent cx="1772920" cy="250190"/>
          <wp:effectExtent l="0" t="0" r="0" b="0"/>
          <wp:docPr id="3566" name="图片 3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 name="图片 356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94325" cy="253615"/>
                  </a:xfrm>
                  <a:prstGeom prst="rect">
                    <a:avLst/>
                  </a:prstGeom>
                </pic:spPr>
              </pic:pic>
            </a:graphicData>
          </a:graphic>
        </wp:inline>
      </w:drawing>
    </w:r>
    <w:r>
      <w:rPr>
        <w:rFonts w:hint="eastAsia"/>
      </w:rPr>
      <w:t xml:space="preserve"> </w:t>
    </w:r>
    <w:r>
      <w:t xml:space="preserve">                   NCS-PT105II intelligent pressure transmitter user manual</w:t>
    </w:r>
  </w:p>
  <w:p w14:paraId="02650B1B">
    <w:pPr>
      <w:spacing w:after="24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75687">
    <w:pPr>
      <w:spacing w:after="240"/>
      <w:jc w:val="left"/>
    </w:pPr>
    <w:r>
      <w:drawing>
        <wp:inline distT="0" distB="0" distL="0" distR="0">
          <wp:extent cx="1772920" cy="250190"/>
          <wp:effectExtent l="0" t="0" r="0" b="0"/>
          <wp:docPr id="1651689653" name="图片 165168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89653" name="图片 16516896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94325" cy="253615"/>
                  </a:xfrm>
                  <a:prstGeom prst="rect">
                    <a:avLst/>
                  </a:prstGeom>
                </pic:spPr>
              </pic:pic>
            </a:graphicData>
          </a:graphic>
        </wp:inline>
      </w:drawing>
    </w:r>
    <w:r>
      <w:rPr>
        <w:rFonts w:hint="eastAsia"/>
      </w:rPr>
      <w:t xml:space="preserve"> </w:t>
    </w:r>
    <w:r>
      <w:t xml:space="preserve">                   NCS-PT105II intelligent pressure transmitter user manual</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20827">
    <w:pPr>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D0DB4"/>
    <w:multiLevelType w:val="singleLevel"/>
    <w:tmpl w:val="88CD0DB4"/>
    <w:lvl w:ilvl="0" w:tentative="0">
      <w:start w:val="1"/>
      <w:numFmt w:val="decimal"/>
      <w:suff w:val="space"/>
      <w:lvlText w:val="%1)"/>
      <w:lvlJc w:val="left"/>
    </w:lvl>
  </w:abstractNum>
  <w:abstractNum w:abstractNumId="1">
    <w:nsid w:val="006B2D32"/>
    <w:multiLevelType w:val="multilevel"/>
    <w:tmpl w:val="006B2D3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2077F6F"/>
    <w:multiLevelType w:val="multilevel"/>
    <w:tmpl w:val="02077F6F"/>
    <w:lvl w:ilvl="0" w:tentative="0">
      <w:start w:val="1"/>
      <w:numFmt w:val="decimal"/>
      <w:lvlText w:val="%1."/>
      <w:lvlJc w:val="left"/>
      <w:pPr>
        <w:tabs>
          <w:tab w:val="left" w:pos="360"/>
        </w:tabs>
        <w:ind w:left="360" w:hanging="360"/>
      </w:pPr>
      <w:rPr>
        <w:rFonts w:hint="default" w:ascii="Times New Roman" w:hAnsi="Times New Roman" w:eastAsia="宋体"/>
        <w:b w:val="0"/>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3CA09A0"/>
    <w:multiLevelType w:val="multilevel"/>
    <w:tmpl w:val="03CA09A0"/>
    <w:lvl w:ilvl="0" w:tentative="0">
      <w:start w:val="1"/>
      <w:numFmt w:val="decimal"/>
      <w:lvlText w:val="%1)"/>
      <w:lvlJc w:val="left"/>
      <w:pPr>
        <w:ind w:left="562" w:hanging="420"/>
      </w:p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4">
    <w:nsid w:val="13FA1457"/>
    <w:multiLevelType w:val="multilevel"/>
    <w:tmpl w:val="13FA145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1C2158AF"/>
    <w:multiLevelType w:val="multilevel"/>
    <w:tmpl w:val="1C2158AF"/>
    <w:lvl w:ilvl="0" w:tentative="0">
      <w:start w:val="1"/>
      <w:numFmt w:val="decimal"/>
      <w:lvlText w:val="%1)"/>
      <w:lvlJc w:val="left"/>
      <w:pPr>
        <w:tabs>
          <w:tab w:val="left" w:pos="840"/>
        </w:tabs>
        <w:ind w:left="840" w:hanging="420"/>
      </w:pPr>
    </w:lvl>
    <w:lvl w:ilvl="1" w:tentative="0">
      <w:start w:val="1"/>
      <w:numFmt w:val="decimal"/>
      <w:lvlText w:val="（%2）"/>
      <w:lvlJc w:val="left"/>
      <w:pPr>
        <w:tabs>
          <w:tab w:val="left" w:pos="1560"/>
        </w:tabs>
        <w:ind w:left="1560" w:hanging="720"/>
      </w:pPr>
      <w:rPr>
        <w:rFonts w:hint="default"/>
      </w:rPr>
    </w:lvl>
    <w:lvl w:ilvl="2" w:tentative="0">
      <w:start w:val="1"/>
      <w:numFmt w:val="decimalEnclosedCircle"/>
      <w:lvlText w:val="%3"/>
      <w:lvlJc w:val="left"/>
      <w:pPr>
        <w:tabs>
          <w:tab w:val="left" w:pos="927"/>
        </w:tabs>
        <w:ind w:left="927" w:hanging="360"/>
      </w:pPr>
      <w:rPr>
        <w:rFonts w:hint="default" w:ascii="宋体" w:hAnsi="宋体"/>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6">
    <w:nsid w:val="24057CFB"/>
    <w:multiLevelType w:val="multilevel"/>
    <w:tmpl w:val="24057CFB"/>
    <w:lvl w:ilvl="0" w:tentative="0">
      <w:start w:val="1"/>
      <w:numFmt w:val="decimal"/>
      <w:lvlText w:val="%1)"/>
      <w:lvlJc w:val="left"/>
      <w:pPr>
        <w:tabs>
          <w:tab w:val="left" w:pos="561"/>
        </w:tabs>
        <w:ind w:left="561" w:hanging="420"/>
      </w:pPr>
      <w:rPr>
        <w:rFonts w:hint="default" w:eastAsia="宋体" w:asciiTheme="minorHAnsi" w:hAnsiTheme="minorHAnsi" w:cstheme="minorHAnsi"/>
        <w:sz w:val="21"/>
        <w:szCs w:val="21"/>
      </w:rPr>
    </w:lvl>
    <w:lvl w:ilvl="1" w:tentative="0">
      <w:start w:val="1"/>
      <w:numFmt w:val="lowerLetter"/>
      <w:lvlText w:val="%2)"/>
      <w:lvlJc w:val="left"/>
      <w:pPr>
        <w:tabs>
          <w:tab w:val="left" w:pos="981"/>
        </w:tabs>
        <w:ind w:left="981" w:hanging="420"/>
      </w:pPr>
    </w:lvl>
    <w:lvl w:ilvl="2" w:tentative="0">
      <w:start w:val="1"/>
      <w:numFmt w:val="lowerRoman"/>
      <w:lvlText w:val="%3."/>
      <w:lvlJc w:val="right"/>
      <w:pPr>
        <w:tabs>
          <w:tab w:val="left" w:pos="1401"/>
        </w:tabs>
        <w:ind w:left="1401" w:hanging="420"/>
      </w:pPr>
    </w:lvl>
    <w:lvl w:ilvl="3" w:tentative="0">
      <w:start w:val="1"/>
      <w:numFmt w:val="decimal"/>
      <w:lvlText w:val="%4."/>
      <w:lvlJc w:val="left"/>
      <w:pPr>
        <w:tabs>
          <w:tab w:val="left" w:pos="1821"/>
        </w:tabs>
        <w:ind w:left="1821" w:hanging="420"/>
      </w:pPr>
    </w:lvl>
    <w:lvl w:ilvl="4" w:tentative="0">
      <w:start w:val="1"/>
      <w:numFmt w:val="lowerLetter"/>
      <w:lvlText w:val="%5)"/>
      <w:lvlJc w:val="left"/>
      <w:pPr>
        <w:tabs>
          <w:tab w:val="left" w:pos="2241"/>
        </w:tabs>
        <w:ind w:left="2241" w:hanging="420"/>
      </w:pPr>
    </w:lvl>
    <w:lvl w:ilvl="5" w:tentative="0">
      <w:start w:val="1"/>
      <w:numFmt w:val="lowerRoman"/>
      <w:lvlText w:val="%6."/>
      <w:lvlJc w:val="right"/>
      <w:pPr>
        <w:tabs>
          <w:tab w:val="left" w:pos="2661"/>
        </w:tabs>
        <w:ind w:left="2661" w:hanging="420"/>
      </w:pPr>
    </w:lvl>
    <w:lvl w:ilvl="6" w:tentative="0">
      <w:start w:val="1"/>
      <w:numFmt w:val="decimal"/>
      <w:lvlText w:val="%7."/>
      <w:lvlJc w:val="left"/>
      <w:pPr>
        <w:tabs>
          <w:tab w:val="left" w:pos="3081"/>
        </w:tabs>
        <w:ind w:left="3081" w:hanging="420"/>
      </w:pPr>
    </w:lvl>
    <w:lvl w:ilvl="7" w:tentative="0">
      <w:start w:val="1"/>
      <w:numFmt w:val="lowerLetter"/>
      <w:lvlText w:val="%8)"/>
      <w:lvlJc w:val="left"/>
      <w:pPr>
        <w:tabs>
          <w:tab w:val="left" w:pos="3501"/>
        </w:tabs>
        <w:ind w:left="3501" w:hanging="420"/>
      </w:pPr>
    </w:lvl>
    <w:lvl w:ilvl="8" w:tentative="0">
      <w:start w:val="1"/>
      <w:numFmt w:val="lowerRoman"/>
      <w:lvlText w:val="%9."/>
      <w:lvlJc w:val="right"/>
      <w:pPr>
        <w:tabs>
          <w:tab w:val="left" w:pos="3921"/>
        </w:tabs>
        <w:ind w:left="3921" w:hanging="420"/>
      </w:pPr>
    </w:lvl>
  </w:abstractNum>
  <w:abstractNum w:abstractNumId="7">
    <w:nsid w:val="27720073"/>
    <w:multiLevelType w:val="multilevel"/>
    <w:tmpl w:val="2772007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35D31650"/>
    <w:multiLevelType w:val="multilevel"/>
    <w:tmpl w:val="35D31650"/>
    <w:lvl w:ilvl="0" w:tentative="0">
      <w:start w:val="1"/>
      <w:numFmt w:val="decimal"/>
      <w:lvlText w:val="%1)"/>
      <w:lvlJc w:val="left"/>
      <w:pPr>
        <w:ind w:left="562" w:hanging="420"/>
      </w:p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9">
    <w:nsid w:val="3A5E774A"/>
    <w:multiLevelType w:val="singleLevel"/>
    <w:tmpl w:val="3A5E774A"/>
    <w:lvl w:ilvl="0" w:tentative="0">
      <w:start w:val="1"/>
      <w:numFmt w:val="decimal"/>
      <w:suff w:val="space"/>
      <w:lvlText w:val="%1)"/>
      <w:lvlJc w:val="left"/>
    </w:lvl>
  </w:abstractNum>
  <w:abstractNum w:abstractNumId="10">
    <w:nsid w:val="3EEB7640"/>
    <w:multiLevelType w:val="multilevel"/>
    <w:tmpl w:val="3EEB7640"/>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230"/>
        </w:tabs>
        <w:ind w:left="1230" w:hanging="810"/>
      </w:pPr>
      <w:rPr>
        <w:rFonts w:hint="default"/>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3FE74041"/>
    <w:multiLevelType w:val="singleLevel"/>
    <w:tmpl w:val="3FE74041"/>
    <w:lvl w:ilvl="0" w:tentative="0">
      <w:start w:val="1"/>
      <w:numFmt w:val="decimal"/>
      <w:suff w:val="space"/>
      <w:lvlText w:val="%1)"/>
      <w:lvlJc w:val="left"/>
    </w:lvl>
  </w:abstractNum>
  <w:abstractNum w:abstractNumId="12">
    <w:nsid w:val="49370FAB"/>
    <w:multiLevelType w:val="singleLevel"/>
    <w:tmpl w:val="49370FAB"/>
    <w:lvl w:ilvl="0" w:tentative="0">
      <w:start w:val="1"/>
      <w:numFmt w:val="decimal"/>
      <w:suff w:val="space"/>
      <w:lvlText w:val="%1)"/>
      <w:lvlJc w:val="left"/>
    </w:lvl>
  </w:abstractNum>
  <w:abstractNum w:abstractNumId="13">
    <w:nsid w:val="49421699"/>
    <w:multiLevelType w:val="singleLevel"/>
    <w:tmpl w:val="49421699"/>
    <w:lvl w:ilvl="0" w:tentative="0">
      <w:start w:val="1"/>
      <w:numFmt w:val="decimal"/>
      <w:suff w:val="space"/>
      <w:lvlText w:val="%1)"/>
      <w:lvlJc w:val="left"/>
    </w:lvl>
  </w:abstractNum>
  <w:abstractNum w:abstractNumId="14">
    <w:nsid w:val="54760BA6"/>
    <w:multiLevelType w:val="multilevel"/>
    <w:tmpl w:val="54760BA6"/>
    <w:lvl w:ilvl="0" w:tentative="0">
      <w:start w:val="1"/>
      <w:numFmt w:val="bullet"/>
      <w:lvlText w:val=""/>
      <w:lvlJc w:val="left"/>
      <w:pPr>
        <w:ind w:left="1128" w:hanging="420"/>
      </w:pPr>
      <w:rPr>
        <w:rFonts w:hint="default" w:ascii="Wingdings" w:hAnsi="Wingdings"/>
      </w:rPr>
    </w:lvl>
    <w:lvl w:ilvl="1" w:tentative="0">
      <w:start w:val="1"/>
      <w:numFmt w:val="bullet"/>
      <w:lvlText w:val=""/>
      <w:lvlJc w:val="left"/>
      <w:pPr>
        <w:ind w:left="1548" w:hanging="420"/>
      </w:pPr>
      <w:rPr>
        <w:rFonts w:hint="default" w:ascii="Wingdings" w:hAnsi="Wingdings"/>
      </w:rPr>
    </w:lvl>
    <w:lvl w:ilvl="2" w:tentative="0">
      <w:start w:val="1"/>
      <w:numFmt w:val="bullet"/>
      <w:lvlText w:val=""/>
      <w:lvlJc w:val="left"/>
      <w:pPr>
        <w:ind w:left="1968" w:hanging="420"/>
      </w:pPr>
      <w:rPr>
        <w:rFonts w:hint="default" w:ascii="Wingdings" w:hAnsi="Wingdings"/>
      </w:rPr>
    </w:lvl>
    <w:lvl w:ilvl="3" w:tentative="0">
      <w:start w:val="1"/>
      <w:numFmt w:val="bullet"/>
      <w:lvlText w:val=""/>
      <w:lvlJc w:val="left"/>
      <w:pPr>
        <w:ind w:left="2388" w:hanging="420"/>
      </w:pPr>
      <w:rPr>
        <w:rFonts w:hint="default" w:ascii="Wingdings" w:hAnsi="Wingdings"/>
      </w:rPr>
    </w:lvl>
    <w:lvl w:ilvl="4" w:tentative="0">
      <w:start w:val="1"/>
      <w:numFmt w:val="bullet"/>
      <w:lvlText w:val=""/>
      <w:lvlJc w:val="left"/>
      <w:pPr>
        <w:ind w:left="2808" w:hanging="420"/>
      </w:pPr>
      <w:rPr>
        <w:rFonts w:hint="default" w:ascii="Wingdings" w:hAnsi="Wingdings"/>
      </w:rPr>
    </w:lvl>
    <w:lvl w:ilvl="5" w:tentative="0">
      <w:start w:val="1"/>
      <w:numFmt w:val="bullet"/>
      <w:lvlText w:val=""/>
      <w:lvlJc w:val="left"/>
      <w:pPr>
        <w:ind w:left="3228" w:hanging="420"/>
      </w:pPr>
      <w:rPr>
        <w:rFonts w:hint="default" w:ascii="Wingdings" w:hAnsi="Wingdings"/>
      </w:rPr>
    </w:lvl>
    <w:lvl w:ilvl="6" w:tentative="0">
      <w:start w:val="1"/>
      <w:numFmt w:val="bullet"/>
      <w:lvlText w:val=""/>
      <w:lvlJc w:val="left"/>
      <w:pPr>
        <w:ind w:left="3648" w:hanging="420"/>
      </w:pPr>
      <w:rPr>
        <w:rFonts w:hint="default" w:ascii="Wingdings" w:hAnsi="Wingdings"/>
      </w:rPr>
    </w:lvl>
    <w:lvl w:ilvl="7" w:tentative="0">
      <w:start w:val="1"/>
      <w:numFmt w:val="bullet"/>
      <w:lvlText w:val=""/>
      <w:lvlJc w:val="left"/>
      <w:pPr>
        <w:ind w:left="4068" w:hanging="420"/>
      </w:pPr>
      <w:rPr>
        <w:rFonts w:hint="default" w:ascii="Wingdings" w:hAnsi="Wingdings"/>
      </w:rPr>
    </w:lvl>
    <w:lvl w:ilvl="8" w:tentative="0">
      <w:start w:val="1"/>
      <w:numFmt w:val="bullet"/>
      <w:lvlText w:val=""/>
      <w:lvlJc w:val="left"/>
      <w:pPr>
        <w:ind w:left="4488" w:hanging="420"/>
      </w:pPr>
      <w:rPr>
        <w:rFonts w:hint="default" w:ascii="Wingdings" w:hAnsi="Wingdings"/>
      </w:rPr>
    </w:lvl>
  </w:abstractNum>
  <w:abstractNum w:abstractNumId="15">
    <w:nsid w:val="565D73AC"/>
    <w:multiLevelType w:val="multilevel"/>
    <w:tmpl w:val="565D73AC"/>
    <w:lvl w:ilvl="0" w:tentative="0">
      <w:start w:val="1"/>
      <w:numFmt w:val="decimal"/>
      <w:pStyle w:val="60"/>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9956AC7"/>
    <w:multiLevelType w:val="multilevel"/>
    <w:tmpl w:val="59956AC7"/>
    <w:lvl w:ilvl="0" w:tentative="0">
      <w:start w:val="1"/>
      <w:numFmt w:val="decimal"/>
      <w:lvlText w:val="%1)"/>
      <w:lvlJc w:val="left"/>
      <w:pPr>
        <w:ind w:left="420" w:hanging="420"/>
      </w:pPr>
      <w:rPr>
        <w:rFonts w:hint="default"/>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5AE18BE8"/>
    <w:multiLevelType w:val="singleLevel"/>
    <w:tmpl w:val="5AE18BE8"/>
    <w:lvl w:ilvl="0" w:tentative="0">
      <w:start w:val="1"/>
      <w:numFmt w:val="decimal"/>
      <w:suff w:val="space"/>
      <w:lvlText w:val="%1)"/>
      <w:lvlJc w:val="left"/>
    </w:lvl>
  </w:abstractNum>
  <w:abstractNum w:abstractNumId="18">
    <w:nsid w:val="61251B25"/>
    <w:multiLevelType w:val="multilevel"/>
    <w:tmpl w:val="61251B2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34E614D"/>
    <w:multiLevelType w:val="multilevel"/>
    <w:tmpl w:val="634E614D"/>
    <w:lvl w:ilvl="0" w:tentative="0">
      <w:start w:val="1"/>
      <w:numFmt w:val="decimal"/>
      <w:pStyle w:val="44"/>
      <w:lvlText w:val="Appendix %1"/>
      <w:lvlJc w:val="left"/>
      <w:pPr>
        <w:tabs>
          <w:tab w:val="left" w:pos="0"/>
        </w:tabs>
        <w:ind w:left="0" w:firstLine="0"/>
      </w:pPr>
      <w:rPr>
        <w:rFonts w:hint="eastAsia"/>
        <w:color w:val="333333"/>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9866E8"/>
    <w:multiLevelType w:val="multilevel"/>
    <w:tmpl w:val="649866E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420"/>
        </w:tabs>
        <w:ind w:left="420" w:hanging="420"/>
      </w:p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21">
    <w:nsid w:val="653C05C9"/>
    <w:multiLevelType w:val="multilevel"/>
    <w:tmpl w:val="653C05C9"/>
    <w:lvl w:ilvl="0" w:tentative="0">
      <w:start w:val="1"/>
      <w:numFmt w:val="decimal"/>
      <w:pStyle w:val="2"/>
      <w:lvlText w:val="%1"/>
      <w:lvlJc w:val="left"/>
      <w:pPr>
        <w:ind w:left="567" w:hanging="567"/>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pStyle w:val="5"/>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22">
    <w:nsid w:val="65606F14"/>
    <w:multiLevelType w:val="multilevel"/>
    <w:tmpl w:val="65606F1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6D32732A"/>
    <w:multiLevelType w:val="multilevel"/>
    <w:tmpl w:val="6D32732A"/>
    <w:lvl w:ilvl="0" w:tentative="0">
      <w:start w:val="1"/>
      <w:numFmt w:val="bullet"/>
      <w:pStyle w:val="45"/>
      <w:lvlText w:val=""/>
      <w:lvlJc w:val="left"/>
      <w:pPr>
        <w:tabs>
          <w:tab w:val="left" w:pos="368"/>
        </w:tabs>
        <w:ind w:left="368" w:hanging="368"/>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6FA26BDC"/>
    <w:multiLevelType w:val="multilevel"/>
    <w:tmpl w:val="6FA26BDC"/>
    <w:lvl w:ilvl="0" w:tentative="0">
      <w:start w:val="1"/>
      <w:numFmt w:val="decimal"/>
      <w:lvlText w:val="%1)"/>
      <w:lvlJc w:val="left"/>
      <w:pPr>
        <w:tabs>
          <w:tab w:val="left" w:pos="840"/>
        </w:tabs>
        <w:ind w:left="840" w:hanging="420"/>
      </w:pPr>
      <w:rPr>
        <w:rFonts w:hint="default" w:ascii="Calibri" w:hAnsi="Calibri"/>
        <w:sz w:val="21"/>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5">
    <w:nsid w:val="75C14029"/>
    <w:multiLevelType w:val="multilevel"/>
    <w:tmpl w:val="75C1402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6">
    <w:nsid w:val="7A3460A7"/>
    <w:multiLevelType w:val="multilevel"/>
    <w:tmpl w:val="7A3460A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
    <w:nsid w:val="7B5D6D3F"/>
    <w:multiLevelType w:val="multilevel"/>
    <w:tmpl w:val="7B5D6D3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1"/>
  </w:num>
  <w:num w:numId="2">
    <w:abstractNumId w:val="19"/>
  </w:num>
  <w:num w:numId="3">
    <w:abstractNumId w:val="23"/>
  </w:num>
  <w:num w:numId="4">
    <w:abstractNumId w:val="15"/>
  </w:num>
  <w:num w:numId="5">
    <w:abstractNumId w:val="2"/>
  </w:num>
  <w:num w:numId="6">
    <w:abstractNumId w:val="26"/>
  </w:num>
  <w:num w:numId="7">
    <w:abstractNumId w:val="24"/>
  </w:num>
  <w:num w:numId="8">
    <w:abstractNumId w:val="18"/>
  </w:num>
  <w:num w:numId="9">
    <w:abstractNumId w:val="7"/>
  </w:num>
  <w:num w:numId="10">
    <w:abstractNumId w:val="16"/>
  </w:num>
  <w:num w:numId="11">
    <w:abstractNumId w:val="10"/>
  </w:num>
  <w:num w:numId="12">
    <w:abstractNumId w:val="0"/>
  </w:num>
  <w:num w:numId="13">
    <w:abstractNumId w:val="13"/>
  </w:num>
  <w:num w:numId="14">
    <w:abstractNumId w:val="17"/>
  </w:num>
  <w:num w:numId="15">
    <w:abstractNumId w:val="9"/>
  </w:num>
  <w:num w:numId="16">
    <w:abstractNumId w:val="12"/>
  </w:num>
  <w:num w:numId="17">
    <w:abstractNumId w:val="11"/>
  </w:num>
  <w:num w:numId="18">
    <w:abstractNumId w:val="5"/>
  </w:num>
  <w:num w:numId="19">
    <w:abstractNumId w:val="4"/>
  </w:num>
  <w:num w:numId="20">
    <w:abstractNumId w:val="14"/>
  </w:num>
  <w:num w:numId="21">
    <w:abstractNumId w:val="1"/>
  </w:num>
  <w:num w:numId="22">
    <w:abstractNumId w:val="27"/>
  </w:num>
  <w:num w:numId="23">
    <w:abstractNumId w:val="6"/>
  </w:num>
  <w:num w:numId="24">
    <w:abstractNumId w:val="22"/>
  </w:num>
  <w:num w:numId="25">
    <w:abstractNumId w:val="20"/>
  </w:num>
  <w:num w:numId="26">
    <w:abstractNumId w:val="3"/>
  </w:num>
  <w:num w:numId="27">
    <w:abstractNumId w:val="8"/>
  </w:num>
  <w:num w:numId="28">
    <w:abstractNumId w:val="25"/>
  </w:num>
  <w:num w:numId="29">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445"/>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NlYzU2NDZlZWRhZGY1YzdjNGExMDUwNGJjODllMjkifQ=="/>
  </w:docVars>
  <w:rsids>
    <w:rsidRoot w:val="00E33D4D"/>
    <w:rsid w:val="0000037F"/>
    <w:rsid w:val="000041CE"/>
    <w:rsid w:val="00006AD4"/>
    <w:rsid w:val="0000725E"/>
    <w:rsid w:val="00011E5B"/>
    <w:rsid w:val="00014305"/>
    <w:rsid w:val="00015F10"/>
    <w:rsid w:val="000168C3"/>
    <w:rsid w:val="000169EA"/>
    <w:rsid w:val="000203E4"/>
    <w:rsid w:val="000226C7"/>
    <w:rsid w:val="0002580F"/>
    <w:rsid w:val="000334B0"/>
    <w:rsid w:val="00035093"/>
    <w:rsid w:val="00035F86"/>
    <w:rsid w:val="0003717A"/>
    <w:rsid w:val="0003755E"/>
    <w:rsid w:val="00045054"/>
    <w:rsid w:val="0004509E"/>
    <w:rsid w:val="000462D8"/>
    <w:rsid w:val="00047143"/>
    <w:rsid w:val="00052B83"/>
    <w:rsid w:val="000544F7"/>
    <w:rsid w:val="00054D90"/>
    <w:rsid w:val="0005581F"/>
    <w:rsid w:val="00055D12"/>
    <w:rsid w:val="00057341"/>
    <w:rsid w:val="00062087"/>
    <w:rsid w:val="00062608"/>
    <w:rsid w:val="00063540"/>
    <w:rsid w:val="00066FC6"/>
    <w:rsid w:val="00067BCA"/>
    <w:rsid w:val="00075AE8"/>
    <w:rsid w:val="00076017"/>
    <w:rsid w:val="000761A3"/>
    <w:rsid w:val="00081DE2"/>
    <w:rsid w:val="000836AC"/>
    <w:rsid w:val="00087A4C"/>
    <w:rsid w:val="00092701"/>
    <w:rsid w:val="00096EC8"/>
    <w:rsid w:val="00097E81"/>
    <w:rsid w:val="00097FAD"/>
    <w:rsid w:val="000A1237"/>
    <w:rsid w:val="000A2252"/>
    <w:rsid w:val="000B1760"/>
    <w:rsid w:val="000B2775"/>
    <w:rsid w:val="000B2F44"/>
    <w:rsid w:val="000B3443"/>
    <w:rsid w:val="000B3677"/>
    <w:rsid w:val="000B5846"/>
    <w:rsid w:val="000B5C81"/>
    <w:rsid w:val="000B7625"/>
    <w:rsid w:val="000B76E5"/>
    <w:rsid w:val="000C1CD3"/>
    <w:rsid w:val="000C2D45"/>
    <w:rsid w:val="000C32E5"/>
    <w:rsid w:val="000C3A95"/>
    <w:rsid w:val="000C4723"/>
    <w:rsid w:val="000D27E9"/>
    <w:rsid w:val="000D34C0"/>
    <w:rsid w:val="000D42CC"/>
    <w:rsid w:val="000E09E1"/>
    <w:rsid w:val="000E19E5"/>
    <w:rsid w:val="000E40CA"/>
    <w:rsid w:val="000E5CAF"/>
    <w:rsid w:val="000E7DE2"/>
    <w:rsid w:val="000F1F4B"/>
    <w:rsid w:val="000F3C52"/>
    <w:rsid w:val="000F5C1C"/>
    <w:rsid w:val="000F75CA"/>
    <w:rsid w:val="00107E8B"/>
    <w:rsid w:val="00111403"/>
    <w:rsid w:val="00116FBA"/>
    <w:rsid w:val="00120FAE"/>
    <w:rsid w:val="00122A67"/>
    <w:rsid w:val="00122BC0"/>
    <w:rsid w:val="00123969"/>
    <w:rsid w:val="00126A21"/>
    <w:rsid w:val="00132369"/>
    <w:rsid w:val="00134EB7"/>
    <w:rsid w:val="00135C05"/>
    <w:rsid w:val="00141A30"/>
    <w:rsid w:val="00141AB1"/>
    <w:rsid w:val="001430D3"/>
    <w:rsid w:val="001505B2"/>
    <w:rsid w:val="001524CE"/>
    <w:rsid w:val="00152B73"/>
    <w:rsid w:val="00152BEE"/>
    <w:rsid w:val="001614E2"/>
    <w:rsid w:val="00162EBC"/>
    <w:rsid w:val="00167122"/>
    <w:rsid w:val="00175371"/>
    <w:rsid w:val="00176D5F"/>
    <w:rsid w:val="001803C3"/>
    <w:rsid w:val="00180456"/>
    <w:rsid w:val="0018328A"/>
    <w:rsid w:val="0018390D"/>
    <w:rsid w:val="00183DF6"/>
    <w:rsid w:val="0018428D"/>
    <w:rsid w:val="00184691"/>
    <w:rsid w:val="00184938"/>
    <w:rsid w:val="001860A8"/>
    <w:rsid w:val="0018713A"/>
    <w:rsid w:val="00191AEC"/>
    <w:rsid w:val="001965FE"/>
    <w:rsid w:val="001A3108"/>
    <w:rsid w:val="001A48D4"/>
    <w:rsid w:val="001A4CB4"/>
    <w:rsid w:val="001A5CCE"/>
    <w:rsid w:val="001A7F77"/>
    <w:rsid w:val="001B4E3D"/>
    <w:rsid w:val="001B5A8F"/>
    <w:rsid w:val="001B6B83"/>
    <w:rsid w:val="001C2917"/>
    <w:rsid w:val="001C4633"/>
    <w:rsid w:val="001C5886"/>
    <w:rsid w:val="001D2951"/>
    <w:rsid w:val="001D4A4D"/>
    <w:rsid w:val="001D71E3"/>
    <w:rsid w:val="001E092D"/>
    <w:rsid w:val="001E0F6F"/>
    <w:rsid w:val="001E1266"/>
    <w:rsid w:val="001E1E5D"/>
    <w:rsid w:val="001E2173"/>
    <w:rsid w:val="001E264B"/>
    <w:rsid w:val="001E65F9"/>
    <w:rsid w:val="001E7440"/>
    <w:rsid w:val="001E77B1"/>
    <w:rsid w:val="001F35A7"/>
    <w:rsid w:val="001F657E"/>
    <w:rsid w:val="001F7528"/>
    <w:rsid w:val="001F796E"/>
    <w:rsid w:val="00201C27"/>
    <w:rsid w:val="00203FDA"/>
    <w:rsid w:val="00204727"/>
    <w:rsid w:val="00204B83"/>
    <w:rsid w:val="00205A8B"/>
    <w:rsid w:val="002069FD"/>
    <w:rsid w:val="00210B1E"/>
    <w:rsid w:val="00210FA5"/>
    <w:rsid w:val="002110C4"/>
    <w:rsid w:val="00211B6B"/>
    <w:rsid w:val="00212AFE"/>
    <w:rsid w:val="00212CFB"/>
    <w:rsid w:val="002171FD"/>
    <w:rsid w:val="00221ABA"/>
    <w:rsid w:val="00223572"/>
    <w:rsid w:val="0022422B"/>
    <w:rsid w:val="00225220"/>
    <w:rsid w:val="00227D29"/>
    <w:rsid w:val="00230DD2"/>
    <w:rsid w:val="00231390"/>
    <w:rsid w:val="00232337"/>
    <w:rsid w:val="00232C22"/>
    <w:rsid w:val="00233754"/>
    <w:rsid w:val="00237BE0"/>
    <w:rsid w:val="00237C74"/>
    <w:rsid w:val="002400E7"/>
    <w:rsid w:val="00244D16"/>
    <w:rsid w:val="0025527F"/>
    <w:rsid w:val="00256475"/>
    <w:rsid w:val="00260F06"/>
    <w:rsid w:val="00262C55"/>
    <w:rsid w:val="002630C2"/>
    <w:rsid w:val="00263221"/>
    <w:rsid w:val="00265C87"/>
    <w:rsid w:val="00270617"/>
    <w:rsid w:val="002725E7"/>
    <w:rsid w:val="00274DFB"/>
    <w:rsid w:val="00275506"/>
    <w:rsid w:val="00277385"/>
    <w:rsid w:val="00280A4D"/>
    <w:rsid w:val="002814E1"/>
    <w:rsid w:val="00283F2B"/>
    <w:rsid w:val="00286015"/>
    <w:rsid w:val="002926B5"/>
    <w:rsid w:val="00293B49"/>
    <w:rsid w:val="002A000C"/>
    <w:rsid w:val="002A09AB"/>
    <w:rsid w:val="002A307A"/>
    <w:rsid w:val="002A4593"/>
    <w:rsid w:val="002B32F8"/>
    <w:rsid w:val="002B7A21"/>
    <w:rsid w:val="002B7AA5"/>
    <w:rsid w:val="002C1990"/>
    <w:rsid w:val="002C56D5"/>
    <w:rsid w:val="002D01CF"/>
    <w:rsid w:val="002D7496"/>
    <w:rsid w:val="002E03EE"/>
    <w:rsid w:val="002E374B"/>
    <w:rsid w:val="002E3AC9"/>
    <w:rsid w:val="002E4B77"/>
    <w:rsid w:val="002F03D9"/>
    <w:rsid w:val="002F07EA"/>
    <w:rsid w:val="002F0F51"/>
    <w:rsid w:val="002F227F"/>
    <w:rsid w:val="002F358A"/>
    <w:rsid w:val="00300365"/>
    <w:rsid w:val="00301478"/>
    <w:rsid w:val="00302495"/>
    <w:rsid w:val="003036BF"/>
    <w:rsid w:val="00303AD2"/>
    <w:rsid w:val="003104EA"/>
    <w:rsid w:val="00312F03"/>
    <w:rsid w:val="003156B3"/>
    <w:rsid w:val="003156DF"/>
    <w:rsid w:val="00316353"/>
    <w:rsid w:val="00322A14"/>
    <w:rsid w:val="0032313C"/>
    <w:rsid w:val="003254E0"/>
    <w:rsid w:val="00327E0F"/>
    <w:rsid w:val="003310C7"/>
    <w:rsid w:val="00333BE3"/>
    <w:rsid w:val="0033451E"/>
    <w:rsid w:val="00334D69"/>
    <w:rsid w:val="00344F49"/>
    <w:rsid w:val="00347B28"/>
    <w:rsid w:val="00353A03"/>
    <w:rsid w:val="00355143"/>
    <w:rsid w:val="00355369"/>
    <w:rsid w:val="003559EB"/>
    <w:rsid w:val="00357561"/>
    <w:rsid w:val="00357608"/>
    <w:rsid w:val="00364AB2"/>
    <w:rsid w:val="00366A67"/>
    <w:rsid w:val="003674AC"/>
    <w:rsid w:val="00371BEE"/>
    <w:rsid w:val="00371D37"/>
    <w:rsid w:val="00373ECB"/>
    <w:rsid w:val="00374C5E"/>
    <w:rsid w:val="003767F8"/>
    <w:rsid w:val="00377316"/>
    <w:rsid w:val="00382760"/>
    <w:rsid w:val="00387B30"/>
    <w:rsid w:val="00391598"/>
    <w:rsid w:val="00392BFA"/>
    <w:rsid w:val="00392E96"/>
    <w:rsid w:val="0039368C"/>
    <w:rsid w:val="0039388E"/>
    <w:rsid w:val="0039774F"/>
    <w:rsid w:val="003A22CF"/>
    <w:rsid w:val="003A3895"/>
    <w:rsid w:val="003A6CB7"/>
    <w:rsid w:val="003B01D0"/>
    <w:rsid w:val="003B0704"/>
    <w:rsid w:val="003B3BC0"/>
    <w:rsid w:val="003B7B4E"/>
    <w:rsid w:val="003C1678"/>
    <w:rsid w:val="003C1BE1"/>
    <w:rsid w:val="003C1F1D"/>
    <w:rsid w:val="003C4E96"/>
    <w:rsid w:val="003D0EB4"/>
    <w:rsid w:val="003D33EA"/>
    <w:rsid w:val="003D3F7C"/>
    <w:rsid w:val="003D47A2"/>
    <w:rsid w:val="003D6B78"/>
    <w:rsid w:val="003D70F2"/>
    <w:rsid w:val="003D7495"/>
    <w:rsid w:val="003E116A"/>
    <w:rsid w:val="003E36C9"/>
    <w:rsid w:val="003E5D4E"/>
    <w:rsid w:val="003E78ED"/>
    <w:rsid w:val="003F09DB"/>
    <w:rsid w:val="003F12A8"/>
    <w:rsid w:val="003F1505"/>
    <w:rsid w:val="003F454C"/>
    <w:rsid w:val="003F4B97"/>
    <w:rsid w:val="003F4D99"/>
    <w:rsid w:val="003F4EDE"/>
    <w:rsid w:val="003F50BE"/>
    <w:rsid w:val="003F64B3"/>
    <w:rsid w:val="00406CDE"/>
    <w:rsid w:val="004110A0"/>
    <w:rsid w:val="00412AC1"/>
    <w:rsid w:val="00412CBD"/>
    <w:rsid w:val="0041322A"/>
    <w:rsid w:val="004144D0"/>
    <w:rsid w:val="00416FB5"/>
    <w:rsid w:val="0042345C"/>
    <w:rsid w:val="00423830"/>
    <w:rsid w:val="00424854"/>
    <w:rsid w:val="004260E0"/>
    <w:rsid w:val="00426570"/>
    <w:rsid w:val="004272B5"/>
    <w:rsid w:val="00436E56"/>
    <w:rsid w:val="004403D1"/>
    <w:rsid w:val="00442512"/>
    <w:rsid w:val="004437C9"/>
    <w:rsid w:val="0044731A"/>
    <w:rsid w:val="00447F46"/>
    <w:rsid w:val="00450E16"/>
    <w:rsid w:val="004569FA"/>
    <w:rsid w:val="00460295"/>
    <w:rsid w:val="00462ABB"/>
    <w:rsid w:val="00466D63"/>
    <w:rsid w:val="004710E7"/>
    <w:rsid w:val="0047259D"/>
    <w:rsid w:val="00472DF7"/>
    <w:rsid w:val="00473891"/>
    <w:rsid w:val="00475D7A"/>
    <w:rsid w:val="00475DDF"/>
    <w:rsid w:val="00476747"/>
    <w:rsid w:val="0047674D"/>
    <w:rsid w:val="00480985"/>
    <w:rsid w:val="0048177E"/>
    <w:rsid w:val="0048581C"/>
    <w:rsid w:val="00487135"/>
    <w:rsid w:val="00490032"/>
    <w:rsid w:val="004912C3"/>
    <w:rsid w:val="00491622"/>
    <w:rsid w:val="00491759"/>
    <w:rsid w:val="004929F6"/>
    <w:rsid w:val="00497214"/>
    <w:rsid w:val="004A01D0"/>
    <w:rsid w:val="004A2D81"/>
    <w:rsid w:val="004A7E6C"/>
    <w:rsid w:val="004B1BBE"/>
    <w:rsid w:val="004B4657"/>
    <w:rsid w:val="004C089E"/>
    <w:rsid w:val="004C1FA4"/>
    <w:rsid w:val="004C5BC4"/>
    <w:rsid w:val="004C7AB4"/>
    <w:rsid w:val="004C7EC4"/>
    <w:rsid w:val="004D0740"/>
    <w:rsid w:val="004D4693"/>
    <w:rsid w:val="004D58D2"/>
    <w:rsid w:val="004D6AB7"/>
    <w:rsid w:val="004E0BE7"/>
    <w:rsid w:val="004E462A"/>
    <w:rsid w:val="004E48BB"/>
    <w:rsid w:val="004E511E"/>
    <w:rsid w:val="004E5697"/>
    <w:rsid w:val="004E6025"/>
    <w:rsid w:val="004F1DE2"/>
    <w:rsid w:val="004F210F"/>
    <w:rsid w:val="004F2ED2"/>
    <w:rsid w:val="004F315E"/>
    <w:rsid w:val="004F45F1"/>
    <w:rsid w:val="004F477E"/>
    <w:rsid w:val="004F58BD"/>
    <w:rsid w:val="004F5DA3"/>
    <w:rsid w:val="004F78F1"/>
    <w:rsid w:val="00500F41"/>
    <w:rsid w:val="00502EA5"/>
    <w:rsid w:val="0051087A"/>
    <w:rsid w:val="0051382D"/>
    <w:rsid w:val="005138C5"/>
    <w:rsid w:val="005156BB"/>
    <w:rsid w:val="005159B1"/>
    <w:rsid w:val="005177AC"/>
    <w:rsid w:val="0052052D"/>
    <w:rsid w:val="00522354"/>
    <w:rsid w:val="005273D1"/>
    <w:rsid w:val="005313A9"/>
    <w:rsid w:val="0053298F"/>
    <w:rsid w:val="005329D5"/>
    <w:rsid w:val="0053441C"/>
    <w:rsid w:val="00541CB9"/>
    <w:rsid w:val="00542AE1"/>
    <w:rsid w:val="00546D49"/>
    <w:rsid w:val="00546ECB"/>
    <w:rsid w:val="00547A7E"/>
    <w:rsid w:val="00550476"/>
    <w:rsid w:val="00552F63"/>
    <w:rsid w:val="00555438"/>
    <w:rsid w:val="00556CAC"/>
    <w:rsid w:val="00560687"/>
    <w:rsid w:val="00561C8E"/>
    <w:rsid w:val="005626EE"/>
    <w:rsid w:val="00562C0E"/>
    <w:rsid w:val="005636FB"/>
    <w:rsid w:val="00565E4B"/>
    <w:rsid w:val="00567BD4"/>
    <w:rsid w:val="00571170"/>
    <w:rsid w:val="005711E8"/>
    <w:rsid w:val="0057153B"/>
    <w:rsid w:val="00571995"/>
    <w:rsid w:val="00571D5A"/>
    <w:rsid w:val="00572373"/>
    <w:rsid w:val="00573178"/>
    <w:rsid w:val="005755B0"/>
    <w:rsid w:val="00575667"/>
    <w:rsid w:val="005764B1"/>
    <w:rsid w:val="00580D68"/>
    <w:rsid w:val="00585453"/>
    <w:rsid w:val="00585BEB"/>
    <w:rsid w:val="005874BB"/>
    <w:rsid w:val="00597AC0"/>
    <w:rsid w:val="005A0D45"/>
    <w:rsid w:val="005B0651"/>
    <w:rsid w:val="005B4138"/>
    <w:rsid w:val="005B637A"/>
    <w:rsid w:val="005B7622"/>
    <w:rsid w:val="005C4617"/>
    <w:rsid w:val="005D3121"/>
    <w:rsid w:val="005D4312"/>
    <w:rsid w:val="005D44FA"/>
    <w:rsid w:val="005E1AB9"/>
    <w:rsid w:val="005E3C2E"/>
    <w:rsid w:val="005E4C5E"/>
    <w:rsid w:val="005F11A2"/>
    <w:rsid w:val="005F186A"/>
    <w:rsid w:val="005F4898"/>
    <w:rsid w:val="005F4AC4"/>
    <w:rsid w:val="005F4CCD"/>
    <w:rsid w:val="006013F7"/>
    <w:rsid w:val="0060513B"/>
    <w:rsid w:val="00607136"/>
    <w:rsid w:val="00607B36"/>
    <w:rsid w:val="00614E89"/>
    <w:rsid w:val="00615983"/>
    <w:rsid w:val="0061627B"/>
    <w:rsid w:val="00621A58"/>
    <w:rsid w:val="0062316E"/>
    <w:rsid w:val="00633274"/>
    <w:rsid w:val="00633739"/>
    <w:rsid w:val="00633D95"/>
    <w:rsid w:val="006345A4"/>
    <w:rsid w:val="0063778B"/>
    <w:rsid w:val="00642921"/>
    <w:rsid w:val="006455DB"/>
    <w:rsid w:val="00645AA2"/>
    <w:rsid w:val="006460E1"/>
    <w:rsid w:val="00651768"/>
    <w:rsid w:val="006548D0"/>
    <w:rsid w:val="00660DD3"/>
    <w:rsid w:val="00663EBC"/>
    <w:rsid w:val="00665313"/>
    <w:rsid w:val="00665BDC"/>
    <w:rsid w:val="0066672C"/>
    <w:rsid w:val="00676327"/>
    <w:rsid w:val="00677411"/>
    <w:rsid w:val="00677691"/>
    <w:rsid w:val="006800C4"/>
    <w:rsid w:val="006819DC"/>
    <w:rsid w:val="00681BD2"/>
    <w:rsid w:val="00690296"/>
    <w:rsid w:val="00690432"/>
    <w:rsid w:val="00690E48"/>
    <w:rsid w:val="00692E56"/>
    <w:rsid w:val="0069620A"/>
    <w:rsid w:val="0069652C"/>
    <w:rsid w:val="006A184A"/>
    <w:rsid w:val="006A368F"/>
    <w:rsid w:val="006B0D42"/>
    <w:rsid w:val="006B3541"/>
    <w:rsid w:val="006B599A"/>
    <w:rsid w:val="006C0EB7"/>
    <w:rsid w:val="006C20C1"/>
    <w:rsid w:val="006C2755"/>
    <w:rsid w:val="006C2932"/>
    <w:rsid w:val="006C2A97"/>
    <w:rsid w:val="006C33CA"/>
    <w:rsid w:val="006C356F"/>
    <w:rsid w:val="006C6BDC"/>
    <w:rsid w:val="006C6CEC"/>
    <w:rsid w:val="006D043C"/>
    <w:rsid w:val="006D3B2D"/>
    <w:rsid w:val="006D4341"/>
    <w:rsid w:val="006D732A"/>
    <w:rsid w:val="006D7819"/>
    <w:rsid w:val="006E25B0"/>
    <w:rsid w:val="006E2DC6"/>
    <w:rsid w:val="006E543A"/>
    <w:rsid w:val="006E7A5C"/>
    <w:rsid w:val="006F4E70"/>
    <w:rsid w:val="006F78D0"/>
    <w:rsid w:val="007009A6"/>
    <w:rsid w:val="0071058D"/>
    <w:rsid w:val="00710665"/>
    <w:rsid w:val="0071115B"/>
    <w:rsid w:val="0071218B"/>
    <w:rsid w:val="00714143"/>
    <w:rsid w:val="0071471D"/>
    <w:rsid w:val="00715494"/>
    <w:rsid w:val="007163CA"/>
    <w:rsid w:val="007178D6"/>
    <w:rsid w:val="00724427"/>
    <w:rsid w:val="007250D9"/>
    <w:rsid w:val="007258DC"/>
    <w:rsid w:val="00730B1E"/>
    <w:rsid w:val="00731CAE"/>
    <w:rsid w:val="00732C9C"/>
    <w:rsid w:val="007336E6"/>
    <w:rsid w:val="00735412"/>
    <w:rsid w:val="00736DFA"/>
    <w:rsid w:val="007372C0"/>
    <w:rsid w:val="00753237"/>
    <w:rsid w:val="00764BC9"/>
    <w:rsid w:val="00767D55"/>
    <w:rsid w:val="00771D53"/>
    <w:rsid w:val="00774DE9"/>
    <w:rsid w:val="007761BC"/>
    <w:rsid w:val="007808B3"/>
    <w:rsid w:val="00782CD1"/>
    <w:rsid w:val="00786250"/>
    <w:rsid w:val="0078675B"/>
    <w:rsid w:val="00787DDE"/>
    <w:rsid w:val="00791F73"/>
    <w:rsid w:val="00795549"/>
    <w:rsid w:val="00795D9C"/>
    <w:rsid w:val="00796E88"/>
    <w:rsid w:val="007975F3"/>
    <w:rsid w:val="007A4AD6"/>
    <w:rsid w:val="007A68A0"/>
    <w:rsid w:val="007B0385"/>
    <w:rsid w:val="007B161E"/>
    <w:rsid w:val="007B4AB9"/>
    <w:rsid w:val="007B6C88"/>
    <w:rsid w:val="007B6D78"/>
    <w:rsid w:val="007B735D"/>
    <w:rsid w:val="007C0F0D"/>
    <w:rsid w:val="007C52D9"/>
    <w:rsid w:val="007C595E"/>
    <w:rsid w:val="007C5AF0"/>
    <w:rsid w:val="007C7C59"/>
    <w:rsid w:val="007D035A"/>
    <w:rsid w:val="007D3255"/>
    <w:rsid w:val="007D773F"/>
    <w:rsid w:val="007D7857"/>
    <w:rsid w:val="007D78D5"/>
    <w:rsid w:val="007E0A04"/>
    <w:rsid w:val="007E1072"/>
    <w:rsid w:val="007E31C9"/>
    <w:rsid w:val="007E5F94"/>
    <w:rsid w:val="007E6008"/>
    <w:rsid w:val="007F1A74"/>
    <w:rsid w:val="007F2C12"/>
    <w:rsid w:val="00803454"/>
    <w:rsid w:val="00804CB3"/>
    <w:rsid w:val="00812285"/>
    <w:rsid w:val="008129EF"/>
    <w:rsid w:val="00813DB9"/>
    <w:rsid w:val="008156FD"/>
    <w:rsid w:val="00815900"/>
    <w:rsid w:val="00815E6C"/>
    <w:rsid w:val="00817173"/>
    <w:rsid w:val="00820125"/>
    <w:rsid w:val="00821C96"/>
    <w:rsid w:val="00821F6E"/>
    <w:rsid w:val="00822C3F"/>
    <w:rsid w:val="00822C9A"/>
    <w:rsid w:val="0082341A"/>
    <w:rsid w:val="00823BE7"/>
    <w:rsid w:val="0083181E"/>
    <w:rsid w:val="0083285E"/>
    <w:rsid w:val="00834CEB"/>
    <w:rsid w:val="00835096"/>
    <w:rsid w:val="00840073"/>
    <w:rsid w:val="00840D61"/>
    <w:rsid w:val="00841F7A"/>
    <w:rsid w:val="0084254A"/>
    <w:rsid w:val="00843CF1"/>
    <w:rsid w:val="00844909"/>
    <w:rsid w:val="00846B24"/>
    <w:rsid w:val="00851822"/>
    <w:rsid w:val="008538AC"/>
    <w:rsid w:val="008572E2"/>
    <w:rsid w:val="008579BC"/>
    <w:rsid w:val="00860C8A"/>
    <w:rsid w:val="008623AA"/>
    <w:rsid w:val="00864369"/>
    <w:rsid w:val="0086552A"/>
    <w:rsid w:val="00870CD4"/>
    <w:rsid w:val="00872049"/>
    <w:rsid w:val="00872217"/>
    <w:rsid w:val="0087513C"/>
    <w:rsid w:val="0088453E"/>
    <w:rsid w:val="008922B5"/>
    <w:rsid w:val="008923EB"/>
    <w:rsid w:val="008925A0"/>
    <w:rsid w:val="0089458D"/>
    <w:rsid w:val="008A0670"/>
    <w:rsid w:val="008A1008"/>
    <w:rsid w:val="008A128D"/>
    <w:rsid w:val="008A1E5D"/>
    <w:rsid w:val="008A209C"/>
    <w:rsid w:val="008A2516"/>
    <w:rsid w:val="008B1ABD"/>
    <w:rsid w:val="008B742D"/>
    <w:rsid w:val="008C1D1F"/>
    <w:rsid w:val="008C2031"/>
    <w:rsid w:val="008C24C0"/>
    <w:rsid w:val="008C2574"/>
    <w:rsid w:val="008C2692"/>
    <w:rsid w:val="008C67F2"/>
    <w:rsid w:val="008D0FB6"/>
    <w:rsid w:val="008D32C0"/>
    <w:rsid w:val="008D63D7"/>
    <w:rsid w:val="008E0FB6"/>
    <w:rsid w:val="008E2AAD"/>
    <w:rsid w:val="008F0FD1"/>
    <w:rsid w:val="008F60F2"/>
    <w:rsid w:val="008F6279"/>
    <w:rsid w:val="009003AA"/>
    <w:rsid w:val="0090213A"/>
    <w:rsid w:val="00905F6F"/>
    <w:rsid w:val="00907460"/>
    <w:rsid w:val="00910E0A"/>
    <w:rsid w:val="0091268D"/>
    <w:rsid w:val="0091370C"/>
    <w:rsid w:val="00915D5D"/>
    <w:rsid w:val="00917E0B"/>
    <w:rsid w:val="0092195D"/>
    <w:rsid w:val="00921B5F"/>
    <w:rsid w:val="00922833"/>
    <w:rsid w:val="00922B40"/>
    <w:rsid w:val="00923E46"/>
    <w:rsid w:val="00927752"/>
    <w:rsid w:val="00930D65"/>
    <w:rsid w:val="00932B08"/>
    <w:rsid w:val="009350DF"/>
    <w:rsid w:val="00936EE1"/>
    <w:rsid w:val="0093741A"/>
    <w:rsid w:val="00941319"/>
    <w:rsid w:val="0094631E"/>
    <w:rsid w:val="00947751"/>
    <w:rsid w:val="00952DE7"/>
    <w:rsid w:val="0095324E"/>
    <w:rsid w:val="009533C0"/>
    <w:rsid w:val="00953EB7"/>
    <w:rsid w:val="0095428C"/>
    <w:rsid w:val="00957736"/>
    <w:rsid w:val="009610CE"/>
    <w:rsid w:val="009611C0"/>
    <w:rsid w:val="00962870"/>
    <w:rsid w:val="009643CE"/>
    <w:rsid w:val="00964EA7"/>
    <w:rsid w:val="00965F9B"/>
    <w:rsid w:val="00966B3D"/>
    <w:rsid w:val="009729AA"/>
    <w:rsid w:val="00977EDC"/>
    <w:rsid w:val="0098143E"/>
    <w:rsid w:val="00981E89"/>
    <w:rsid w:val="0098247C"/>
    <w:rsid w:val="00982A00"/>
    <w:rsid w:val="00983061"/>
    <w:rsid w:val="00983F21"/>
    <w:rsid w:val="0098495F"/>
    <w:rsid w:val="0098497C"/>
    <w:rsid w:val="00984EB3"/>
    <w:rsid w:val="00990B4F"/>
    <w:rsid w:val="009948AD"/>
    <w:rsid w:val="00994908"/>
    <w:rsid w:val="00994CC2"/>
    <w:rsid w:val="00995CAB"/>
    <w:rsid w:val="00995E55"/>
    <w:rsid w:val="009A1B42"/>
    <w:rsid w:val="009A2B5E"/>
    <w:rsid w:val="009A2CFD"/>
    <w:rsid w:val="009A4B78"/>
    <w:rsid w:val="009B2DA0"/>
    <w:rsid w:val="009B330D"/>
    <w:rsid w:val="009B7481"/>
    <w:rsid w:val="009C0E48"/>
    <w:rsid w:val="009C289E"/>
    <w:rsid w:val="009C34CB"/>
    <w:rsid w:val="009C66FC"/>
    <w:rsid w:val="009D0F54"/>
    <w:rsid w:val="009D444D"/>
    <w:rsid w:val="009D74C3"/>
    <w:rsid w:val="009D7A50"/>
    <w:rsid w:val="009D7EDE"/>
    <w:rsid w:val="009E0344"/>
    <w:rsid w:val="009E27D2"/>
    <w:rsid w:val="009E29D1"/>
    <w:rsid w:val="009E5A6F"/>
    <w:rsid w:val="009E5DBE"/>
    <w:rsid w:val="009F2D51"/>
    <w:rsid w:val="009F5B08"/>
    <w:rsid w:val="009F5F5B"/>
    <w:rsid w:val="009F74D6"/>
    <w:rsid w:val="009F75BA"/>
    <w:rsid w:val="00A00095"/>
    <w:rsid w:val="00A016BD"/>
    <w:rsid w:val="00A017C1"/>
    <w:rsid w:val="00A03292"/>
    <w:rsid w:val="00A06946"/>
    <w:rsid w:val="00A10018"/>
    <w:rsid w:val="00A12B77"/>
    <w:rsid w:val="00A13F5B"/>
    <w:rsid w:val="00A170AB"/>
    <w:rsid w:val="00A2017C"/>
    <w:rsid w:val="00A21964"/>
    <w:rsid w:val="00A26724"/>
    <w:rsid w:val="00A30067"/>
    <w:rsid w:val="00A30A57"/>
    <w:rsid w:val="00A322FC"/>
    <w:rsid w:val="00A32535"/>
    <w:rsid w:val="00A32BA5"/>
    <w:rsid w:val="00A342FB"/>
    <w:rsid w:val="00A374D7"/>
    <w:rsid w:val="00A3763D"/>
    <w:rsid w:val="00A4059A"/>
    <w:rsid w:val="00A44F75"/>
    <w:rsid w:val="00A45C00"/>
    <w:rsid w:val="00A47419"/>
    <w:rsid w:val="00A517DF"/>
    <w:rsid w:val="00A538B8"/>
    <w:rsid w:val="00A552EC"/>
    <w:rsid w:val="00A566B6"/>
    <w:rsid w:val="00A56D7C"/>
    <w:rsid w:val="00A60673"/>
    <w:rsid w:val="00A61DD5"/>
    <w:rsid w:val="00A6220C"/>
    <w:rsid w:val="00A62B22"/>
    <w:rsid w:val="00A62D8A"/>
    <w:rsid w:val="00A645F2"/>
    <w:rsid w:val="00A6611A"/>
    <w:rsid w:val="00A66911"/>
    <w:rsid w:val="00A75717"/>
    <w:rsid w:val="00A77FA4"/>
    <w:rsid w:val="00A82A61"/>
    <w:rsid w:val="00A83179"/>
    <w:rsid w:val="00A83DD1"/>
    <w:rsid w:val="00A86E90"/>
    <w:rsid w:val="00A928D4"/>
    <w:rsid w:val="00A96F11"/>
    <w:rsid w:val="00AA1546"/>
    <w:rsid w:val="00AA4C0A"/>
    <w:rsid w:val="00AA6154"/>
    <w:rsid w:val="00AB6BC0"/>
    <w:rsid w:val="00AC7ED3"/>
    <w:rsid w:val="00AD0DCF"/>
    <w:rsid w:val="00AD1E66"/>
    <w:rsid w:val="00AD2B42"/>
    <w:rsid w:val="00AD2C3E"/>
    <w:rsid w:val="00AD3A02"/>
    <w:rsid w:val="00AD64CD"/>
    <w:rsid w:val="00AD6A09"/>
    <w:rsid w:val="00AD70E4"/>
    <w:rsid w:val="00AE0B05"/>
    <w:rsid w:val="00AE2170"/>
    <w:rsid w:val="00AE366B"/>
    <w:rsid w:val="00AE495C"/>
    <w:rsid w:val="00AF195C"/>
    <w:rsid w:val="00AF28F7"/>
    <w:rsid w:val="00AF370A"/>
    <w:rsid w:val="00AF3B2A"/>
    <w:rsid w:val="00AF541C"/>
    <w:rsid w:val="00B01DF5"/>
    <w:rsid w:val="00B03787"/>
    <w:rsid w:val="00B04BEA"/>
    <w:rsid w:val="00B053C8"/>
    <w:rsid w:val="00B0672C"/>
    <w:rsid w:val="00B10146"/>
    <w:rsid w:val="00B116A5"/>
    <w:rsid w:val="00B122B0"/>
    <w:rsid w:val="00B209EB"/>
    <w:rsid w:val="00B23E70"/>
    <w:rsid w:val="00B259B2"/>
    <w:rsid w:val="00B25DA0"/>
    <w:rsid w:val="00B268E9"/>
    <w:rsid w:val="00B30D1B"/>
    <w:rsid w:val="00B31243"/>
    <w:rsid w:val="00B31595"/>
    <w:rsid w:val="00B36240"/>
    <w:rsid w:val="00B36346"/>
    <w:rsid w:val="00B36770"/>
    <w:rsid w:val="00B4119D"/>
    <w:rsid w:val="00B41FB5"/>
    <w:rsid w:val="00B4223C"/>
    <w:rsid w:val="00B428B0"/>
    <w:rsid w:val="00B43336"/>
    <w:rsid w:val="00B448B8"/>
    <w:rsid w:val="00B46A6E"/>
    <w:rsid w:val="00B46E73"/>
    <w:rsid w:val="00B54719"/>
    <w:rsid w:val="00B56EA3"/>
    <w:rsid w:val="00B57466"/>
    <w:rsid w:val="00B619BE"/>
    <w:rsid w:val="00B6211D"/>
    <w:rsid w:val="00B630D6"/>
    <w:rsid w:val="00B64FE0"/>
    <w:rsid w:val="00B65827"/>
    <w:rsid w:val="00B66B90"/>
    <w:rsid w:val="00B66ECD"/>
    <w:rsid w:val="00B674B1"/>
    <w:rsid w:val="00B707C4"/>
    <w:rsid w:val="00B710DF"/>
    <w:rsid w:val="00B721C7"/>
    <w:rsid w:val="00B7264F"/>
    <w:rsid w:val="00B73D7C"/>
    <w:rsid w:val="00B76A1B"/>
    <w:rsid w:val="00B82DCD"/>
    <w:rsid w:val="00B84249"/>
    <w:rsid w:val="00B91418"/>
    <w:rsid w:val="00B91FFC"/>
    <w:rsid w:val="00B93D19"/>
    <w:rsid w:val="00B94DFB"/>
    <w:rsid w:val="00BA1CAA"/>
    <w:rsid w:val="00BA246A"/>
    <w:rsid w:val="00BA59EA"/>
    <w:rsid w:val="00BB124C"/>
    <w:rsid w:val="00BB388D"/>
    <w:rsid w:val="00BB5C65"/>
    <w:rsid w:val="00BC0465"/>
    <w:rsid w:val="00BC1C9F"/>
    <w:rsid w:val="00BC1FBC"/>
    <w:rsid w:val="00BC2087"/>
    <w:rsid w:val="00BC3817"/>
    <w:rsid w:val="00BC750D"/>
    <w:rsid w:val="00BD2C92"/>
    <w:rsid w:val="00BD5AFB"/>
    <w:rsid w:val="00BD7809"/>
    <w:rsid w:val="00BE4CAF"/>
    <w:rsid w:val="00BE61E0"/>
    <w:rsid w:val="00BE64ED"/>
    <w:rsid w:val="00BF29D9"/>
    <w:rsid w:val="00BF50B1"/>
    <w:rsid w:val="00BF62A4"/>
    <w:rsid w:val="00BF66DB"/>
    <w:rsid w:val="00BF74DC"/>
    <w:rsid w:val="00C03F72"/>
    <w:rsid w:val="00C04228"/>
    <w:rsid w:val="00C04C5E"/>
    <w:rsid w:val="00C05046"/>
    <w:rsid w:val="00C10BAA"/>
    <w:rsid w:val="00C13AC3"/>
    <w:rsid w:val="00C1448D"/>
    <w:rsid w:val="00C15649"/>
    <w:rsid w:val="00C20255"/>
    <w:rsid w:val="00C204AF"/>
    <w:rsid w:val="00C21CB7"/>
    <w:rsid w:val="00C23C16"/>
    <w:rsid w:val="00C23EFF"/>
    <w:rsid w:val="00C265E3"/>
    <w:rsid w:val="00C30FC6"/>
    <w:rsid w:val="00C33266"/>
    <w:rsid w:val="00C40A90"/>
    <w:rsid w:val="00C40E6C"/>
    <w:rsid w:val="00C428A9"/>
    <w:rsid w:val="00C436F3"/>
    <w:rsid w:val="00C4625F"/>
    <w:rsid w:val="00C50161"/>
    <w:rsid w:val="00C51975"/>
    <w:rsid w:val="00C52C4A"/>
    <w:rsid w:val="00C56747"/>
    <w:rsid w:val="00C6185A"/>
    <w:rsid w:val="00C62162"/>
    <w:rsid w:val="00C63A62"/>
    <w:rsid w:val="00C6429E"/>
    <w:rsid w:val="00C649B5"/>
    <w:rsid w:val="00C65B23"/>
    <w:rsid w:val="00C67686"/>
    <w:rsid w:val="00C7004B"/>
    <w:rsid w:val="00C72EB8"/>
    <w:rsid w:val="00C748BD"/>
    <w:rsid w:val="00C74EC6"/>
    <w:rsid w:val="00C756C2"/>
    <w:rsid w:val="00C76FB4"/>
    <w:rsid w:val="00C80589"/>
    <w:rsid w:val="00C80D4B"/>
    <w:rsid w:val="00C82094"/>
    <w:rsid w:val="00C84A3E"/>
    <w:rsid w:val="00C84D92"/>
    <w:rsid w:val="00C86735"/>
    <w:rsid w:val="00C87980"/>
    <w:rsid w:val="00C90CA7"/>
    <w:rsid w:val="00C94711"/>
    <w:rsid w:val="00C976D2"/>
    <w:rsid w:val="00CA0A3C"/>
    <w:rsid w:val="00CA3501"/>
    <w:rsid w:val="00CA61AB"/>
    <w:rsid w:val="00CA68E9"/>
    <w:rsid w:val="00CB60E6"/>
    <w:rsid w:val="00CB6127"/>
    <w:rsid w:val="00CC05B7"/>
    <w:rsid w:val="00CC20F4"/>
    <w:rsid w:val="00CC4465"/>
    <w:rsid w:val="00CC481B"/>
    <w:rsid w:val="00CC7AA2"/>
    <w:rsid w:val="00CD006E"/>
    <w:rsid w:val="00CD04BC"/>
    <w:rsid w:val="00CD0D12"/>
    <w:rsid w:val="00CD4785"/>
    <w:rsid w:val="00CD483A"/>
    <w:rsid w:val="00CD4954"/>
    <w:rsid w:val="00CD6218"/>
    <w:rsid w:val="00CE0737"/>
    <w:rsid w:val="00CE4063"/>
    <w:rsid w:val="00CE45C6"/>
    <w:rsid w:val="00CF1164"/>
    <w:rsid w:val="00CF2F77"/>
    <w:rsid w:val="00CF4DDF"/>
    <w:rsid w:val="00CF6CE5"/>
    <w:rsid w:val="00D03CBD"/>
    <w:rsid w:val="00D04CE2"/>
    <w:rsid w:val="00D1009F"/>
    <w:rsid w:val="00D13BEA"/>
    <w:rsid w:val="00D1556F"/>
    <w:rsid w:val="00D178E8"/>
    <w:rsid w:val="00D2188D"/>
    <w:rsid w:val="00D25940"/>
    <w:rsid w:val="00D25D10"/>
    <w:rsid w:val="00D2605D"/>
    <w:rsid w:val="00D326FC"/>
    <w:rsid w:val="00D33F43"/>
    <w:rsid w:val="00D351EE"/>
    <w:rsid w:val="00D3793E"/>
    <w:rsid w:val="00D40F00"/>
    <w:rsid w:val="00D41749"/>
    <w:rsid w:val="00D41DB7"/>
    <w:rsid w:val="00D4404A"/>
    <w:rsid w:val="00D453FC"/>
    <w:rsid w:val="00D5034C"/>
    <w:rsid w:val="00D54866"/>
    <w:rsid w:val="00D56C04"/>
    <w:rsid w:val="00D6001B"/>
    <w:rsid w:val="00D62C44"/>
    <w:rsid w:val="00D65C93"/>
    <w:rsid w:val="00D6757D"/>
    <w:rsid w:val="00D71F0E"/>
    <w:rsid w:val="00D7279F"/>
    <w:rsid w:val="00D72D8F"/>
    <w:rsid w:val="00D73DF7"/>
    <w:rsid w:val="00D7492A"/>
    <w:rsid w:val="00D76517"/>
    <w:rsid w:val="00D76A8F"/>
    <w:rsid w:val="00D76FE0"/>
    <w:rsid w:val="00D81B87"/>
    <w:rsid w:val="00D8327E"/>
    <w:rsid w:val="00D84F2F"/>
    <w:rsid w:val="00D90C88"/>
    <w:rsid w:val="00D90E93"/>
    <w:rsid w:val="00D91C7D"/>
    <w:rsid w:val="00D95B16"/>
    <w:rsid w:val="00D96780"/>
    <w:rsid w:val="00D96E02"/>
    <w:rsid w:val="00DA1697"/>
    <w:rsid w:val="00DA664E"/>
    <w:rsid w:val="00DB0936"/>
    <w:rsid w:val="00DC19CA"/>
    <w:rsid w:val="00DC1CF7"/>
    <w:rsid w:val="00DC3992"/>
    <w:rsid w:val="00DD0C4A"/>
    <w:rsid w:val="00DD0F5A"/>
    <w:rsid w:val="00DD341D"/>
    <w:rsid w:val="00DD399E"/>
    <w:rsid w:val="00DE2931"/>
    <w:rsid w:val="00DE5F7F"/>
    <w:rsid w:val="00DE6991"/>
    <w:rsid w:val="00DE6F13"/>
    <w:rsid w:val="00DF10A0"/>
    <w:rsid w:val="00DF186D"/>
    <w:rsid w:val="00DF2258"/>
    <w:rsid w:val="00DF3259"/>
    <w:rsid w:val="00DF52E0"/>
    <w:rsid w:val="00DF55AD"/>
    <w:rsid w:val="00DF62C7"/>
    <w:rsid w:val="00E0098D"/>
    <w:rsid w:val="00E0104A"/>
    <w:rsid w:val="00E04D2E"/>
    <w:rsid w:val="00E04D4C"/>
    <w:rsid w:val="00E12D4C"/>
    <w:rsid w:val="00E1458C"/>
    <w:rsid w:val="00E14FA1"/>
    <w:rsid w:val="00E1683C"/>
    <w:rsid w:val="00E21355"/>
    <w:rsid w:val="00E21B22"/>
    <w:rsid w:val="00E22222"/>
    <w:rsid w:val="00E2360E"/>
    <w:rsid w:val="00E24426"/>
    <w:rsid w:val="00E24F50"/>
    <w:rsid w:val="00E3035B"/>
    <w:rsid w:val="00E313D2"/>
    <w:rsid w:val="00E32C5D"/>
    <w:rsid w:val="00E33D4D"/>
    <w:rsid w:val="00E346C9"/>
    <w:rsid w:val="00E366E2"/>
    <w:rsid w:val="00E421D9"/>
    <w:rsid w:val="00E43FE6"/>
    <w:rsid w:val="00E44065"/>
    <w:rsid w:val="00E47401"/>
    <w:rsid w:val="00E47A54"/>
    <w:rsid w:val="00E51F03"/>
    <w:rsid w:val="00E53CE8"/>
    <w:rsid w:val="00E54932"/>
    <w:rsid w:val="00E56C66"/>
    <w:rsid w:val="00E61B66"/>
    <w:rsid w:val="00E626AC"/>
    <w:rsid w:val="00E632A2"/>
    <w:rsid w:val="00E636CA"/>
    <w:rsid w:val="00E63B2B"/>
    <w:rsid w:val="00E63B37"/>
    <w:rsid w:val="00E63D33"/>
    <w:rsid w:val="00E650AD"/>
    <w:rsid w:val="00E71E56"/>
    <w:rsid w:val="00E75386"/>
    <w:rsid w:val="00E77544"/>
    <w:rsid w:val="00E802FE"/>
    <w:rsid w:val="00E83560"/>
    <w:rsid w:val="00E83E48"/>
    <w:rsid w:val="00E8517D"/>
    <w:rsid w:val="00E85A77"/>
    <w:rsid w:val="00E86CB0"/>
    <w:rsid w:val="00E91A2B"/>
    <w:rsid w:val="00E935EC"/>
    <w:rsid w:val="00E9368F"/>
    <w:rsid w:val="00E95B33"/>
    <w:rsid w:val="00EA07AA"/>
    <w:rsid w:val="00EA0BDB"/>
    <w:rsid w:val="00EA2389"/>
    <w:rsid w:val="00EA47FF"/>
    <w:rsid w:val="00EA53CC"/>
    <w:rsid w:val="00EB52BC"/>
    <w:rsid w:val="00EC0407"/>
    <w:rsid w:val="00EC048C"/>
    <w:rsid w:val="00EC1585"/>
    <w:rsid w:val="00EC2FC1"/>
    <w:rsid w:val="00EC6A11"/>
    <w:rsid w:val="00EC6ABD"/>
    <w:rsid w:val="00EC6E4F"/>
    <w:rsid w:val="00EC7C7E"/>
    <w:rsid w:val="00ED1C33"/>
    <w:rsid w:val="00ED4807"/>
    <w:rsid w:val="00ED5595"/>
    <w:rsid w:val="00EE0833"/>
    <w:rsid w:val="00EE0DE6"/>
    <w:rsid w:val="00EE1E64"/>
    <w:rsid w:val="00EE1F9B"/>
    <w:rsid w:val="00EF010D"/>
    <w:rsid w:val="00EF03DB"/>
    <w:rsid w:val="00EF0C0A"/>
    <w:rsid w:val="00EF68A0"/>
    <w:rsid w:val="00EF6D51"/>
    <w:rsid w:val="00F008BF"/>
    <w:rsid w:val="00F00D9A"/>
    <w:rsid w:val="00F00F7F"/>
    <w:rsid w:val="00F048DB"/>
    <w:rsid w:val="00F0568D"/>
    <w:rsid w:val="00F11097"/>
    <w:rsid w:val="00F110B8"/>
    <w:rsid w:val="00F12DD0"/>
    <w:rsid w:val="00F13149"/>
    <w:rsid w:val="00F148F8"/>
    <w:rsid w:val="00F21320"/>
    <w:rsid w:val="00F21758"/>
    <w:rsid w:val="00F22275"/>
    <w:rsid w:val="00F2326A"/>
    <w:rsid w:val="00F260D5"/>
    <w:rsid w:val="00F30460"/>
    <w:rsid w:val="00F30D7A"/>
    <w:rsid w:val="00F32B97"/>
    <w:rsid w:val="00F3326D"/>
    <w:rsid w:val="00F35AE7"/>
    <w:rsid w:val="00F41898"/>
    <w:rsid w:val="00F4230A"/>
    <w:rsid w:val="00F4527D"/>
    <w:rsid w:val="00F461E9"/>
    <w:rsid w:val="00F470D1"/>
    <w:rsid w:val="00F5269D"/>
    <w:rsid w:val="00F53825"/>
    <w:rsid w:val="00F53A51"/>
    <w:rsid w:val="00F53C5C"/>
    <w:rsid w:val="00F55834"/>
    <w:rsid w:val="00F60DFF"/>
    <w:rsid w:val="00F610D2"/>
    <w:rsid w:val="00F6187B"/>
    <w:rsid w:val="00F61FE6"/>
    <w:rsid w:val="00F6404D"/>
    <w:rsid w:val="00F76869"/>
    <w:rsid w:val="00F76A8F"/>
    <w:rsid w:val="00F80EC6"/>
    <w:rsid w:val="00F84A98"/>
    <w:rsid w:val="00F84EDC"/>
    <w:rsid w:val="00F85CA8"/>
    <w:rsid w:val="00F87F1A"/>
    <w:rsid w:val="00F9100E"/>
    <w:rsid w:val="00F932B2"/>
    <w:rsid w:val="00FA2933"/>
    <w:rsid w:val="00FA35B0"/>
    <w:rsid w:val="00FA46FC"/>
    <w:rsid w:val="00FA47D4"/>
    <w:rsid w:val="00FA7341"/>
    <w:rsid w:val="00FA787F"/>
    <w:rsid w:val="00FB13F4"/>
    <w:rsid w:val="00FB2B07"/>
    <w:rsid w:val="00FB580E"/>
    <w:rsid w:val="00FC24A0"/>
    <w:rsid w:val="00FD0B72"/>
    <w:rsid w:val="00FD1874"/>
    <w:rsid w:val="00FD18FA"/>
    <w:rsid w:val="00FD1A29"/>
    <w:rsid w:val="00FD44E2"/>
    <w:rsid w:val="00FD4C8D"/>
    <w:rsid w:val="00FD50C7"/>
    <w:rsid w:val="00FE0E9D"/>
    <w:rsid w:val="00FE2D10"/>
    <w:rsid w:val="00FE37B9"/>
    <w:rsid w:val="00FF2831"/>
    <w:rsid w:val="00FF4BED"/>
    <w:rsid w:val="00FF5B69"/>
    <w:rsid w:val="00FF7631"/>
    <w:rsid w:val="41952FA9"/>
    <w:rsid w:val="47A81BD4"/>
    <w:rsid w:val="58187898"/>
    <w:rsid w:val="747D2F8C"/>
    <w:rsid w:val="7FA41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nhideWhenUsed="0"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qFormat="1" w:unhideWhenUsed="0" w:uiPriority="0" w:semiHidden="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qFormat="1" w:unhideWhenUsed="0" w:uiPriority="0" w:semiHidden="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00" w:afterLines="100"/>
      <w:jc w:val="both"/>
    </w:pPr>
    <w:rPr>
      <w:rFonts w:cs="Times New Roman" w:asciiTheme="minorHAnsi" w:hAnsiTheme="minorHAnsi" w:eastAsiaTheme="minorEastAsia"/>
      <w:kern w:val="2"/>
      <w:sz w:val="21"/>
      <w:szCs w:val="21"/>
      <w:lang w:val="en-US" w:eastAsia="zh-CN" w:bidi="ar-SA"/>
    </w:rPr>
  </w:style>
  <w:style w:type="paragraph" w:styleId="2">
    <w:name w:val="heading 1"/>
    <w:basedOn w:val="1"/>
    <w:next w:val="1"/>
    <w:qFormat/>
    <w:uiPriority w:val="0"/>
    <w:pPr>
      <w:pageBreakBefore/>
      <w:numPr>
        <w:ilvl w:val="0"/>
        <w:numId w:val="1"/>
      </w:numPr>
      <w:spacing w:after="360" w:afterLines="150"/>
      <w:ind w:right="210" w:rightChars="100"/>
      <w:jc w:val="left"/>
      <w:outlineLvl w:val="0"/>
    </w:pPr>
    <w:rPr>
      <w:rFonts w:eastAsiaTheme="majorEastAsia" w:cstheme="minorHAnsi"/>
      <w:b/>
      <w:bCs/>
      <w:kern w:val="44"/>
      <w:sz w:val="30"/>
      <w:szCs w:val="44"/>
    </w:rPr>
  </w:style>
  <w:style w:type="paragraph" w:styleId="3">
    <w:name w:val="heading 2"/>
    <w:basedOn w:val="1"/>
    <w:next w:val="1"/>
    <w:qFormat/>
    <w:uiPriority w:val="0"/>
    <w:pPr>
      <w:keepNext/>
      <w:keepLines/>
      <w:numPr>
        <w:ilvl w:val="1"/>
        <w:numId w:val="1"/>
      </w:numPr>
      <w:spacing w:before="100" w:line="400" w:lineRule="exact"/>
      <w:outlineLvl w:val="1"/>
    </w:pPr>
    <w:rPr>
      <w:rFonts w:ascii="Arial" w:hAnsi="Arial"/>
      <w:b/>
      <w:bCs/>
      <w:sz w:val="24"/>
      <w:szCs w:val="32"/>
    </w:rPr>
  </w:style>
  <w:style w:type="paragraph" w:styleId="4">
    <w:name w:val="heading 3"/>
    <w:basedOn w:val="1"/>
    <w:next w:val="1"/>
    <w:link w:val="66"/>
    <w:qFormat/>
    <w:uiPriority w:val="0"/>
    <w:pPr>
      <w:keepNext/>
      <w:keepLines/>
      <w:numPr>
        <w:ilvl w:val="2"/>
        <w:numId w:val="1"/>
      </w:numPr>
      <w:spacing w:before="100"/>
      <w:outlineLvl w:val="2"/>
    </w:pPr>
    <w:rPr>
      <w:rFonts w:ascii="Arial" w:hAnsi="Arial"/>
      <w:b/>
      <w:bCs/>
      <w:szCs w:val="32"/>
    </w:rPr>
  </w:style>
  <w:style w:type="paragraph" w:styleId="5">
    <w:name w:val="heading 4"/>
    <w:basedOn w:val="1"/>
    <w:next w:val="1"/>
    <w:qFormat/>
    <w:uiPriority w:val="0"/>
    <w:pPr>
      <w:keepNext/>
      <w:keepLines/>
      <w:numPr>
        <w:ilvl w:val="3"/>
        <w:numId w:val="1"/>
      </w:numPr>
      <w:adjustRightInd w:val="0"/>
      <w:spacing w:line="360" w:lineRule="auto"/>
      <w:outlineLvl w:val="3"/>
    </w:pPr>
    <w:rPr>
      <w:color w:val="0000FF"/>
      <w:kern w:val="0"/>
    </w:rPr>
  </w:style>
  <w:style w:type="paragraph" w:styleId="6">
    <w:name w:val="heading 5"/>
    <w:basedOn w:val="1"/>
    <w:next w:val="1"/>
    <w:qFormat/>
    <w:uiPriority w:val="0"/>
    <w:pPr>
      <w:keepNext/>
      <w:keepLines/>
      <w:numPr>
        <w:ilvl w:val="4"/>
        <w:numId w:val="1"/>
      </w:numPr>
      <w:adjustRightInd w:val="0"/>
      <w:spacing w:before="280" w:after="290" w:line="376" w:lineRule="atLeast"/>
      <w:outlineLvl w:val="4"/>
    </w:pPr>
    <w:rPr>
      <w:b/>
      <w:kern w:val="0"/>
      <w:szCs w:val="20"/>
    </w:rPr>
  </w:style>
  <w:style w:type="paragraph" w:styleId="7">
    <w:name w:val="heading 6"/>
    <w:basedOn w:val="1"/>
    <w:next w:val="1"/>
    <w:qFormat/>
    <w:uiPriority w:val="0"/>
    <w:pPr>
      <w:keepNext/>
      <w:keepLines/>
      <w:numPr>
        <w:ilvl w:val="5"/>
        <w:numId w:val="1"/>
      </w:numPr>
      <w:adjustRightInd w:val="0"/>
      <w:spacing w:before="240" w:after="64" w:line="320" w:lineRule="atLeast"/>
      <w:outlineLvl w:val="5"/>
    </w:pPr>
    <w:rPr>
      <w:b/>
      <w:kern w:val="0"/>
      <w:sz w:val="24"/>
      <w:szCs w:val="20"/>
    </w:rPr>
  </w:style>
  <w:style w:type="paragraph" w:styleId="8">
    <w:name w:val="heading 7"/>
    <w:basedOn w:val="1"/>
    <w:next w:val="1"/>
    <w:qFormat/>
    <w:uiPriority w:val="0"/>
    <w:pPr>
      <w:keepNext/>
      <w:keepLines/>
      <w:numPr>
        <w:ilvl w:val="6"/>
        <w:numId w:val="1"/>
      </w:numPr>
      <w:adjustRightInd w:val="0"/>
      <w:spacing w:before="240" w:after="64" w:line="320" w:lineRule="atLeast"/>
      <w:outlineLvl w:val="6"/>
    </w:pPr>
    <w:rPr>
      <w:b/>
      <w:kern w:val="0"/>
      <w:sz w:val="24"/>
      <w:szCs w:val="20"/>
    </w:rPr>
  </w:style>
  <w:style w:type="paragraph" w:styleId="9">
    <w:name w:val="heading 8"/>
    <w:basedOn w:val="1"/>
    <w:next w:val="1"/>
    <w:qFormat/>
    <w:uiPriority w:val="0"/>
    <w:pPr>
      <w:keepNext/>
      <w:keepLines/>
      <w:numPr>
        <w:ilvl w:val="7"/>
        <w:numId w:val="1"/>
      </w:numPr>
      <w:adjustRightInd w:val="0"/>
      <w:spacing w:before="240" w:after="64" w:line="320" w:lineRule="atLeast"/>
      <w:outlineLvl w:val="7"/>
    </w:pPr>
    <w:rPr>
      <w:kern w:val="0"/>
      <w:sz w:val="24"/>
      <w:szCs w:val="20"/>
    </w:rPr>
  </w:style>
  <w:style w:type="paragraph" w:styleId="10">
    <w:name w:val="heading 9"/>
    <w:basedOn w:val="1"/>
    <w:next w:val="1"/>
    <w:qFormat/>
    <w:uiPriority w:val="0"/>
    <w:pPr>
      <w:keepNext/>
      <w:keepLines/>
      <w:numPr>
        <w:ilvl w:val="8"/>
        <w:numId w:val="1"/>
      </w:numPr>
      <w:adjustRightInd w:val="0"/>
      <w:spacing w:before="240" w:after="64" w:line="320" w:lineRule="atLeast"/>
      <w:outlineLvl w:val="8"/>
    </w:pPr>
    <w:rPr>
      <w:kern w:val="0"/>
      <w:szCs w:val="20"/>
    </w:rPr>
  </w:style>
  <w:style w:type="character" w:default="1" w:styleId="34">
    <w:name w:val="Default Paragraph Font"/>
    <w:semiHidden/>
    <w:unhideWhenUsed/>
    <w:uiPriority w:val="1"/>
  </w:style>
  <w:style w:type="table" w:default="1" w:styleId="30">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sz w:val="18"/>
      <w:szCs w:val="18"/>
    </w:rPr>
  </w:style>
  <w:style w:type="paragraph" w:styleId="12">
    <w:name w:val="caption"/>
    <w:basedOn w:val="1"/>
    <w:next w:val="1"/>
    <w:qFormat/>
    <w:uiPriority w:val="0"/>
    <w:pPr>
      <w:spacing w:before="50" w:beforeLines="50" w:after="50" w:afterLines="50"/>
      <w:jc w:val="center"/>
    </w:pPr>
    <w:rPr>
      <w:rFonts w:ascii="Arial" w:hAnsi="Arial" w:eastAsia="黑体" w:cs="Arial"/>
      <w:sz w:val="18"/>
      <w:szCs w:val="20"/>
    </w:rPr>
  </w:style>
  <w:style w:type="paragraph" w:styleId="13">
    <w:name w:val="Document Map"/>
    <w:basedOn w:val="1"/>
    <w:semiHidden/>
    <w:qFormat/>
    <w:uiPriority w:val="0"/>
    <w:pPr>
      <w:shd w:val="clear" w:color="auto" w:fill="000080"/>
    </w:pPr>
  </w:style>
  <w:style w:type="paragraph" w:styleId="14">
    <w:name w:val="annotation text"/>
    <w:basedOn w:val="1"/>
    <w:link w:val="68"/>
    <w:semiHidden/>
    <w:unhideWhenUsed/>
    <w:qFormat/>
    <w:uiPriority w:val="0"/>
    <w:pPr>
      <w:jc w:val="left"/>
    </w:pPr>
  </w:style>
  <w:style w:type="paragraph" w:styleId="15">
    <w:name w:val="Body Text"/>
    <w:basedOn w:val="1"/>
    <w:link w:val="59"/>
    <w:qFormat/>
    <w:uiPriority w:val="0"/>
    <w:pPr>
      <w:spacing w:after="120"/>
    </w:pPr>
  </w:style>
  <w:style w:type="paragraph" w:styleId="16">
    <w:name w:val="Body Text Indent"/>
    <w:basedOn w:val="1"/>
    <w:qFormat/>
    <w:uiPriority w:val="0"/>
    <w:pPr>
      <w:ind w:firstLine="560" w:firstLineChars="200"/>
    </w:pPr>
    <w:rPr>
      <w:sz w:val="28"/>
    </w:rPr>
  </w:style>
  <w:style w:type="paragraph" w:styleId="17">
    <w:name w:val="toc 5"/>
    <w:basedOn w:val="1"/>
    <w:next w:val="1"/>
    <w:qFormat/>
    <w:uiPriority w:val="39"/>
    <w:pPr>
      <w:ind w:left="840"/>
      <w:jc w:val="left"/>
    </w:pPr>
    <w:rPr>
      <w:sz w:val="18"/>
      <w:szCs w:val="18"/>
    </w:rPr>
  </w:style>
  <w:style w:type="paragraph" w:styleId="18">
    <w:name w:val="toc 3"/>
    <w:basedOn w:val="1"/>
    <w:next w:val="1"/>
    <w:qFormat/>
    <w:uiPriority w:val="39"/>
    <w:pPr>
      <w:tabs>
        <w:tab w:val="left" w:pos="1250"/>
        <w:tab w:val="right" w:leader="dot" w:pos="9743"/>
      </w:tabs>
      <w:ind w:left="420"/>
      <w:jc w:val="left"/>
    </w:pPr>
    <w:rPr>
      <w:iCs/>
      <w:sz w:val="20"/>
      <w:szCs w:val="20"/>
    </w:rPr>
  </w:style>
  <w:style w:type="paragraph" w:styleId="19">
    <w:name w:val="toc 8"/>
    <w:basedOn w:val="1"/>
    <w:next w:val="1"/>
    <w:unhideWhenUsed/>
    <w:qFormat/>
    <w:uiPriority w:val="39"/>
    <w:pPr>
      <w:ind w:left="1470"/>
      <w:jc w:val="left"/>
    </w:pPr>
    <w:rPr>
      <w:sz w:val="18"/>
      <w:szCs w:val="18"/>
    </w:rPr>
  </w:style>
  <w:style w:type="paragraph" w:styleId="20">
    <w:name w:val="Balloon Text"/>
    <w:basedOn w:val="1"/>
    <w:semiHidden/>
    <w:qFormat/>
    <w:uiPriority w:val="0"/>
    <w:rPr>
      <w:sz w:val="18"/>
      <w:szCs w:val="18"/>
    </w:rPr>
  </w:style>
  <w:style w:type="paragraph" w:styleId="21">
    <w:name w:val="footer"/>
    <w:basedOn w:val="1"/>
    <w:link w:val="62"/>
    <w:qFormat/>
    <w:uiPriority w:val="99"/>
    <w:pPr>
      <w:tabs>
        <w:tab w:val="center" w:pos="4153"/>
        <w:tab w:val="right" w:pos="8306"/>
      </w:tabs>
      <w:snapToGrid w:val="0"/>
      <w:jc w:val="left"/>
    </w:pPr>
    <w:rPr>
      <w:sz w:val="18"/>
      <w:szCs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tabs>
        <w:tab w:val="left" w:pos="840"/>
        <w:tab w:val="right" w:leader="dot" w:pos="9743"/>
      </w:tabs>
      <w:jc w:val="left"/>
    </w:pPr>
    <w:rPr>
      <w:bCs/>
      <w:caps/>
      <w:sz w:val="20"/>
      <w:szCs w:val="20"/>
    </w:rPr>
  </w:style>
  <w:style w:type="paragraph" w:styleId="24">
    <w:name w:val="toc 4"/>
    <w:basedOn w:val="1"/>
    <w:next w:val="1"/>
    <w:unhideWhenUsed/>
    <w:qFormat/>
    <w:uiPriority w:val="39"/>
    <w:pPr>
      <w:ind w:left="630"/>
      <w:jc w:val="left"/>
    </w:pPr>
    <w:rPr>
      <w:sz w:val="18"/>
      <w:szCs w:val="18"/>
    </w:rPr>
  </w:style>
  <w:style w:type="paragraph" w:styleId="25">
    <w:name w:val="toc 6"/>
    <w:basedOn w:val="1"/>
    <w:next w:val="1"/>
    <w:unhideWhenUsed/>
    <w:qFormat/>
    <w:uiPriority w:val="39"/>
    <w:pPr>
      <w:ind w:left="1050"/>
      <w:jc w:val="left"/>
    </w:pPr>
    <w:rPr>
      <w:sz w:val="18"/>
      <w:szCs w:val="18"/>
    </w:rPr>
  </w:style>
  <w:style w:type="paragraph" w:styleId="26">
    <w:name w:val="toc 2"/>
    <w:basedOn w:val="1"/>
    <w:next w:val="1"/>
    <w:qFormat/>
    <w:uiPriority w:val="39"/>
    <w:pPr>
      <w:ind w:left="210"/>
      <w:jc w:val="left"/>
    </w:pPr>
    <w:rPr>
      <w:smallCaps/>
      <w:sz w:val="20"/>
      <w:szCs w:val="20"/>
    </w:rPr>
  </w:style>
  <w:style w:type="paragraph" w:styleId="27">
    <w:name w:val="toc 9"/>
    <w:basedOn w:val="1"/>
    <w:next w:val="1"/>
    <w:unhideWhenUsed/>
    <w:qFormat/>
    <w:uiPriority w:val="39"/>
    <w:pPr>
      <w:ind w:left="1680"/>
      <w:jc w:val="left"/>
    </w:pPr>
    <w:rPr>
      <w:sz w:val="18"/>
      <w:szCs w:val="18"/>
    </w:rPr>
  </w:style>
  <w:style w:type="paragraph" w:styleId="28">
    <w:name w:val="Title"/>
    <w:basedOn w:val="1"/>
    <w:next w:val="1"/>
    <w:link w:val="76"/>
    <w:qFormat/>
    <w:uiPriority w:val="0"/>
    <w:pPr>
      <w:spacing w:before="240" w:after="60"/>
      <w:jc w:val="center"/>
      <w:outlineLvl w:val="0"/>
    </w:pPr>
    <w:rPr>
      <w:rFonts w:asciiTheme="majorHAnsi" w:hAnsiTheme="majorHAnsi" w:eastAsiaTheme="majorEastAsia" w:cstheme="majorBidi"/>
      <w:b/>
      <w:bCs/>
      <w:sz w:val="32"/>
      <w:szCs w:val="32"/>
    </w:rPr>
  </w:style>
  <w:style w:type="paragraph" w:styleId="29">
    <w:name w:val="annotation subject"/>
    <w:basedOn w:val="14"/>
    <w:next w:val="14"/>
    <w:link w:val="69"/>
    <w:semiHidden/>
    <w:unhideWhenUsed/>
    <w:qFormat/>
    <w:uiPriority w:val="0"/>
    <w:rPr>
      <w:b/>
      <w:bCs/>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2">
    <w:name w:val="Table Grid 3"/>
    <w:basedOn w:val="30"/>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33">
    <w:name w:val="Table Web 1"/>
    <w:basedOn w:val="30"/>
    <w:qFormat/>
    <w:uiPriority w:val="0"/>
    <w:pPr>
      <w:widowControl w:val="0"/>
      <w:adjustRightInd w:val="0"/>
      <w:spacing w:line="24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blStylePr w:type="firstRow">
      <w:rPr>
        <w:color w:val="auto"/>
      </w:rPr>
      <w:tblPr/>
      <w:tcPr>
        <w:tcBorders>
          <w:tl2br w:val="nil"/>
          <w:tr2bl w:val="nil"/>
        </w:tcBorders>
      </w:tcPr>
    </w:tblStylePr>
  </w:style>
  <w:style w:type="character" w:styleId="35">
    <w:name w:val="page number"/>
    <w:basedOn w:val="34"/>
    <w:qFormat/>
    <w:uiPriority w:val="0"/>
  </w:style>
  <w:style w:type="character" w:styleId="36">
    <w:name w:val="FollowedHyperlink"/>
    <w:qFormat/>
    <w:uiPriority w:val="0"/>
    <w:rPr>
      <w:color w:val="800080"/>
      <w:u w:val="single"/>
    </w:rPr>
  </w:style>
  <w:style w:type="character" w:styleId="37">
    <w:name w:val="Hyperlink"/>
    <w:qFormat/>
    <w:uiPriority w:val="99"/>
    <w:rPr>
      <w:color w:val="0000FF"/>
      <w:u w:val="single"/>
    </w:rPr>
  </w:style>
  <w:style w:type="character" w:styleId="38">
    <w:name w:val="annotation reference"/>
    <w:basedOn w:val="34"/>
    <w:semiHidden/>
    <w:unhideWhenUsed/>
    <w:qFormat/>
    <w:uiPriority w:val="0"/>
    <w:rPr>
      <w:sz w:val="21"/>
      <w:szCs w:val="21"/>
    </w:rPr>
  </w:style>
  <w:style w:type="paragraph" w:customStyle="1" w:styleId="39">
    <w:name w:val="Char1"/>
    <w:basedOn w:val="1"/>
    <w:qFormat/>
    <w:uiPriority w:val="0"/>
    <w:pPr>
      <w:widowControl/>
      <w:adjustRightInd w:val="0"/>
      <w:jc w:val="center"/>
    </w:pPr>
    <w:rPr>
      <w:kern w:val="0"/>
      <w:lang w:eastAsia="en-US"/>
    </w:rPr>
  </w:style>
  <w:style w:type="paragraph" w:customStyle="1" w:styleId="40">
    <w:name w:val="规范正文"/>
    <w:basedOn w:val="1"/>
    <w:qFormat/>
    <w:uiPriority w:val="0"/>
    <w:pPr>
      <w:adjustRightInd w:val="0"/>
      <w:spacing w:line="360" w:lineRule="auto"/>
      <w:ind w:left="480"/>
      <w:textAlignment w:val="baseline"/>
    </w:pPr>
    <w:rPr>
      <w:kern w:val="0"/>
      <w:sz w:val="28"/>
      <w:szCs w:val="20"/>
    </w:rPr>
  </w:style>
  <w:style w:type="paragraph" w:customStyle="1" w:styleId="41">
    <w:name w:val="样式 规范正文 + 五号 蓝色"/>
    <w:basedOn w:val="40"/>
    <w:qFormat/>
    <w:uiPriority w:val="0"/>
    <w:pPr>
      <w:ind w:left="0" w:firstLine="200" w:firstLineChars="200"/>
      <w:textAlignment w:val="auto"/>
    </w:pPr>
    <w:rPr>
      <w:color w:val="0000FF"/>
      <w:sz w:val="21"/>
    </w:rPr>
  </w:style>
  <w:style w:type="paragraph" w:customStyle="1" w:styleId="42">
    <w:name w:val="样式 标题 3 + 蓝色"/>
    <w:basedOn w:val="4"/>
    <w:qFormat/>
    <w:uiPriority w:val="0"/>
    <w:pPr>
      <w:numPr>
        <w:numId w:val="0"/>
      </w:numPr>
      <w:tabs>
        <w:tab w:val="left" w:pos="567"/>
        <w:tab w:val="left" w:pos="1174"/>
      </w:tabs>
      <w:adjustRightInd w:val="0"/>
      <w:spacing w:before="0" w:line="360" w:lineRule="auto"/>
      <w:ind w:left="879" w:hanging="879"/>
    </w:pPr>
    <w:rPr>
      <w:bCs w:val="0"/>
      <w:kern w:val="0"/>
      <w:szCs w:val="21"/>
    </w:rPr>
  </w:style>
  <w:style w:type="paragraph" w:customStyle="1" w:styleId="43">
    <w:name w:val="Char"/>
    <w:basedOn w:val="1"/>
    <w:qFormat/>
    <w:uiPriority w:val="0"/>
    <w:pPr>
      <w:widowControl/>
      <w:adjustRightInd w:val="0"/>
      <w:jc w:val="center"/>
    </w:pPr>
    <w:rPr>
      <w:kern w:val="0"/>
      <w:lang w:eastAsia="en-US"/>
    </w:rPr>
  </w:style>
  <w:style w:type="paragraph" w:customStyle="1" w:styleId="44">
    <w:name w:val="附录标题1样式"/>
    <w:basedOn w:val="2"/>
    <w:qFormat/>
    <w:uiPriority w:val="0"/>
    <w:pPr>
      <w:numPr>
        <w:ilvl w:val="0"/>
        <w:numId w:val="2"/>
      </w:numPr>
    </w:pPr>
    <w:rPr>
      <w:rFonts w:cs="宋体"/>
      <w:szCs w:val="20"/>
    </w:rPr>
  </w:style>
  <w:style w:type="paragraph" w:customStyle="1" w:styleId="45">
    <w:name w:val="项目符号+圈"/>
    <w:basedOn w:val="1"/>
    <w:qFormat/>
    <w:uiPriority w:val="0"/>
    <w:pPr>
      <w:numPr>
        <w:ilvl w:val="0"/>
        <w:numId w:val="3"/>
      </w:numPr>
      <w:tabs>
        <w:tab w:val="left" w:pos="840"/>
        <w:tab w:val="clear" w:pos="368"/>
      </w:tabs>
      <w:ind w:left="840" w:hanging="420"/>
    </w:pPr>
  </w:style>
  <w:style w:type="paragraph" w:customStyle="1" w:styleId="46">
    <w:name w:val="样式 题注 + 居中"/>
    <w:basedOn w:val="12"/>
    <w:link w:val="47"/>
    <w:qFormat/>
    <w:uiPriority w:val="0"/>
    <w:rPr>
      <w:rFonts w:ascii="宋体" w:hAnsi="宋体" w:eastAsia="宋体" w:cs="宋体"/>
    </w:rPr>
  </w:style>
  <w:style w:type="character" w:customStyle="1" w:styleId="47">
    <w:name w:val="样式 题注 + 居中 Char"/>
    <w:link w:val="46"/>
    <w:qFormat/>
    <w:uiPriority w:val="0"/>
    <w:rPr>
      <w:rFonts w:ascii="宋体" w:hAnsi="宋体" w:eastAsia="宋体" w:cs="宋体"/>
      <w:kern w:val="2"/>
      <w:sz w:val="18"/>
      <w:lang w:val="en-US" w:eastAsia="zh-CN" w:bidi="ar-SA"/>
    </w:rPr>
  </w:style>
  <w:style w:type="paragraph" w:styleId="48">
    <w:name w:val="No Spacing"/>
    <w:link w:val="49"/>
    <w:qFormat/>
    <w:uiPriority w:val="1"/>
    <w:rPr>
      <w:rFonts w:ascii="Calibri" w:hAnsi="Calibri" w:eastAsia="宋体" w:cs="Times New Roman"/>
      <w:sz w:val="22"/>
      <w:szCs w:val="22"/>
      <w:lang w:val="en-US" w:eastAsia="zh-CN" w:bidi="ar-SA"/>
    </w:rPr>
  </w:style>
  <w:style w:type="character" w:customStyle="1" w:styleId="49">
    <w:name w:val="无间隔 字符"/>
    <w:link w:val="48"/>
    <w:qFormat/>
    <w:uiPriority w:val="1"/>
    <w:rPr>
      <w:rFonts w:ascii="Calibri" w:hAnsi="Calibri"/>
      <w:sz w:val="22"/>
      <w:szCs w:val="22"/>
      <w:lang w:val="en-US" w:eastAsia="zh-CN" w:bidi="ar-SA"/>
    </w:rPr>
  </w:style>
  <w:style w:type="paragraph" w:customStyle="1" w:styleId="50">
    <w:name w:val="封面“空行”"/>
    <w:basedOn w:val="1"/>
    <w:qFormat/>
    <w:uiPriority w:val="0"/>
    <w:pPr>
      <w:spacing w:line="240" w:lineRule="exact"/>
      <w:jc w:val="right"/>
    </w:pPr>
    <w:rPr>
      <w:rFonts w:cs="宋体"/>
      <w:sz w:val="28"/>
      <w:szCs w:val="20"/>
    </w:rPr>
  </w:style>
  <w:style w:type="paragraph" w:customStyle="1" w:styleId="51">
    <w:name w:val="封面NCS-PT105"/>
    <w:basedOn w:val="15"/>
    <w:link w:val="52"/>
    <w:qFormat/>
    <w:uiPriority w:val="0"/>
    <w:pPr>
      <w:spacing w:after="0" w:line="400" w:lineRule="exact"/>
    </w:pPr>
    <w:rPr>
      <w:rFonts w:ascii="Arial" w:hAnsi="Arial" w:eastAsia="黑体"/>
      <w:color w:val="006040"/>
      <w:spacing w:val="20"/>
      <w:sz w:val="28"/>
    </w:rPr>
  </w:style>
  <w:style w:type="character" w:customStyle="1" w:styleId="52">
    <w:name w:val="封面NCS-PT105 Char"/>
    <w:link w:val="51"/>
    <w:qFormat/>
    <w:uiPriority w:val="0"/>
    <w:rPr>
      <w:rFonts w:ascii="Arial" w:hAnsi="Arial" w:eastAsia="黑体"/>
      <w:color w:val="006040"/>
      <w:spacing w:val="20"/>
      <w:kern w:val="2"/>
      <w:sz w:val="28"/>
      <w:szCs w:val="24"/>
    </w:rPr>
  </w:style>
  <w:style w:type="paragraph" w:customStyle="1" w:styleId="53">
    <w:name w:val="封面“系列智能压力变送器”"/>
    <w:basedOn w:val="15"/>
    <w:link w:val="54"/>
    <w:qFormat/>
    <w:uiPriority w:val="0"/>
    <w:pPr>
      <w:spacing w:after="0" w:line="400" w:lineRule="exact"/>
    </w:pPr>
    <w:rPr>
      <w:rFonts w:ascii="黑体" w:hAnsi="黑体" w:eastAsia="黑体"/>
      <w:b/>
      <w:bCs/>
      <w:color w:val="006040"/>
      <w:spacing w:val="20"/>
      <w:sz w:val="28"/>
    </w:rPr>
  </w:style>
  <w:style w:type="character" w:customStyle="1" w:styleId="54">
    <w:name w:val="封面“系列智能压力变送器” Char"/>
    <w:link w:val="53"/>
    <w:qFormat/>
    <w:uiPriority w:val="0"/>
    <w:rPr>
      <w:rFonts w:ascii="黑体" w:hAnsi="黑体" w:eastAsia="黑体"/>
      <w:b/>
      <w:bCs/>
      <w:color w:val="006040"/>
      <w:spacing w:val="20"/>
      <w:kern w:val="2"/>
      <w:sz w:val="28"/>
      <w:szCs w:val="24"/>
    </w:rPr>
  </w:style>
  <w:style w:type="paragraph" w:customStyle="1" w:styleId="55">
    <w:name w:val="封面“简易使用手册”"/>
    <w:basedOn w:val="15"/>
    <w:qFormat/>
    <w:uiPriority w:val="0"/>
    <w:pPr>
      <w:jc w:val="right"/>
    </w:pPr>
    <w:rPr>
      <w:rFonts w:ascii="黑体" w:hAnsi="宋体" w:eastAsia="黑体" w:cs="宋体"/>
      <w:b/>
      <w:bCs/>
      <w:color w:val="6B6853"/>
      <w:sz w:val="30"/>
      <w:szCs w:val="20"/>
    </w:rPr>
  </w:style>
  <w:style w:type="character" w:customStyle="1" w:styleId="56">
    <w:name w:val="标题 1 Char Char1 Char"/>
    <w:qFormat/>
    <w:uiPriority w:val="0"/>
    <w:rPr>
      <w:rFonts w:eastAsia="宋体"/>
      <w:b/>
      <w:bCs/>
      <w:kern w:val="44"/>
      <w:sz w:val="44"/>
      <w:szCs w:val="44"/>
      <w:lang w:val="en-US" w:eastAsia="zh-CN" w:bidi="ar-SA"/>
    </w:rPr>
  </w:style>
  <w:style w:type="paragraph" w:customStyle="1" w:styleId="5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5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59">
    <w:name w:val="正文文本 字符"/>
    <w:link w:val="15"/>
    <w:qFormat/>
    <w:uiPriority w:val="0"/>
    <w:rPr>
      <w:kern w:val="2"/>
      <w:sz w:val="21"/>
      <w:szCs w:val="24"/>
    </w:rPr>
  </w:style>
  <w:style w:type="paragraph" w:customStyle="1" w:styleId="60">
    <w:name w:val="警告条目"/>
    <w:basedOn w:val="1"/>
    <w:qFormat/>
    <w:uiPriority w:val="0"/>
    <w:pPr>
      <w:numPr>
        <w:ilvl w:val="0"/>
        <w:numId w:val="4"/>
      </w:numPr>
      <w:spacing w:line="375" w:lineRule="atLeast"/>
      <w:jc w:val="left"/>
    </w:pPr>
    <w:rPr>
      <w:rFonts w:cs="宋体"/>
      <w:szCs w:val="20"/>
    </w:rPr>
  </w:style>
  <w:style w:type="paragraph" w:styleId="61">
    <w:name w:val="List Paragraph"/>
    <w:basedOn w:val="1"/>
    <w:qFormat/>
    <w:uiPriority w:val="34"/>
    <w:pPr>
      <w:ind w:firstLine="420" w:firstLineChars="200"/>
    </w:pPr>
  </w:style>
  <w:style w:type="character" w:customStyle="1" w:styleId="62">
    <w:name w:val="页脚 字符"/>
    <w:basedOn w:val="34"/>
    <w:link w:val="21"/>
    <w:qFormat/>
    <w:uiPriority w:val="99"/>
    <w:rPr>
      <w:kern w:val="2"/>
      <w:sz w:val="18"/>
      <w:szCs w:val="18"/>
    </w:rPr>
  </w:style>
  <w:style w:type="paragraph" w:customStyle="1" w:styleId="63">
    <w:name w:val="TOC 标题1"/>
    <w:basedOn w:val="2"/>
    <w:next w:val="1"/>
    <w:unhideWhenUsed/>
    <w:qFormat/>
    <w:uiPriority w:val="39"/>
    <w:pPr>
      <w:widowControl/>
      <w:numPr>
        <w:numId w:val="0"/>
      </w:numPr>
      <w:spacing w:before="240" w:line="259" w:lineRule="auto"/>
      <w:outlineLvl w:val="9"/>
    </w:pPr>
    <w:rPr>
      <w:rFonts w:asciiTheme="majorHAnsi" w:hAnsiTheme="majorHAnsi" w:cstheme="majorBidi"/>
      <w:b w:val="0"/>
      <w:bCs w:val="0"/>
      <w:color w:val="376092" w:themeColor="accent1" w:themeShade="BF"/>
      <w:kern w:val="0"/>
      <w:sz w:val="32"/>
      <w:szCs w:val="32"/>
    </w:rPr>
  </w:style>
  <w:style w:type="table" w:customStyle="1" w:styleId="64">
    <w:name w:val="清单表 6 彩色 - 着色 21"/>
    <w:basedOn w:val="30"/>
    <w:qFormat/>
    <w:uiPriority w:val="51"/>
    <w:rPr>
      <w:color w:val="953735" w:themeColor="accent2" w:themeShade="BF"/>
    </w:rPr>
    <w:tblPr>
      <w:tblBorders>
        <w:top w:val="single" w:color="C0504D" w:themeColor="accent2" w:sz="4" w:space="0"/>
        <w:bottom w:val="single" w:color="C0504D" w:themeColor="accent2" w:sz="4" w:space="0"/>
      </w:tblBorders>
    </w:tblPr>
    <w:tblStylePr w:type="firstRow">
      <w:rPr>
        <w:b/>
        <w:bCs/>
      </w:rPr>
      <w:tcPr>
        <w:tcBorders>
          <w:bottom w:val="single" w:color="C0504D" w:themeColor="accent2" w:sz="4" w:space="0"/>
        </w:tcBorders>
      </w:tcPr>
    </w:tblStylePr>
    <w:tblStylePr w:type="lastRow">
      <w:rPr>
        <w:b/>
        <w:bCs/>
      </w:rPr>
      <w:tcPr>
        <w:tcBorders>
          <w:top w:val="double" w:color="C0504D" w:themeColor="accent2" w:sz="4" w:space="0"/>
        </w:tcBorders>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65">
    <w:name w:val="网格表 4 - 着色 11"/>
    <w:basedOn w:val="30"/>
    <w:qFormat/>
    <w:uiPriority w:val="49"/>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14:textFill>
          <w14:solidFill>
            <w14:schemeClr w14:val="bg1"/>
          </w14:solidFill>
        </w14:textFill>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cPr>
        <w:tcBorders>
          <w:top w:val="double" w:color="4F81BD" w:themeColor="accent1"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character" w:customStyle="1" w:styleId="66">
    <w:name w:val="标题 3 字符"/>
    <w:basedOn w:val="34"/>
    <w:link w:val="4"/>
    <w:qFormat/>
    <w:uiPriority w:val="0"/>
    <w:rPr>
      <w:rFonts w:ascii="Arial" w:hAnsi="Arial" w:eastAsiaTheme="minorEastAsia"/>
      <w:b/>
      <w:bCs/>
      <w:kern w:val="2"/>
      <w:sz w:val="21"/>
      <w:szCs w:val="32"/>
    </w:rPr>
  </w:style>
  <w:style w:type="paragraph" w:customStyle="1" w:styleId="67">
    <w:name w:val="题注 + 居中"/>
    <w:basedOn w:val="12"/>
    <w:qFormat/>
    <w:uiPriority w:val="0"/>
    <w:pPr>
      <w:spacing w:before="40" w:after="40" w:line="360" w:lineRule="auto"/>
    </w:pPr>
    <w:rPr>
      <w:rFonts w:ascii="宋体" w:hAnsi="宋体" w:eastAsia="宋体" w:cs="宋体"/>
    </w:rPr>
  </w:style>
  <w:style w:type="character" w:customStyle="1" w:styleId="68">
    <w:name w:val="批注文字 字符"/>
    <w:basedOn w:val="34"/>
    <w:link w:val="14"/>
    <w:semiHidden/>
    <w:qFormat/>
    <w:uiPriority w:val="0"/>
    <w:rPr>
      <w:kern w:val="2"/>
      <w:sz w:val="21"/>
      <w:szCs w:val="24"/>
    </w:rPr>
  </w:style>
  <w:style w:type="character" w:customStyle="1" w:styleId="69">
    <w:name w:val="批注主题 字符"/>
    <w:basedOn w:val="68"/>
    <w:link w:val="29"/>
    <w:semiHidden/>
    <w:qFormat/>
    <w:uiPriority w:val="0"/>
    <w:rPr>
      <w:b/>
      <w:bCs/>
      <w:kern w:val="2"/>
      <w:sz w:val="21"/>
      <w:szCs w:val="24"/>
    </w:rPr>
  </w:style>
  <w:style w:type="character" w:customStyle="1" w:styleId="70">
    <w:name w:val="fontstyle01"/>
    <w:basedOn w:val="34"/>
    <w:qFormat/>
    <w:uiPriority w:val="0"/>
    <w:rPr>
      <w:rFonts w:hint="eastAsia" w:ascii="宋体" w:hAnsi="宋体" w:eastAsia="宋体"/>
      <w:color w:val="000000"/>
      <w:sz w:val="22"/>
      <w:szCs w:val="22"/>
    </w:rPr>
  </w:style>
  <w:style w:type="character" w:customStyle="1" w:styleId="71">
    <w:name w:val="fontstyle21"/>
    <w:basedOn w:val="34"/>
    <w:qFormat/>
    <w:uiPriority w:val="0"/>
    <w:rPr>
      <w:rFonts w:hint="default" w:ascii="TimesNewRomanPSMT" w:hAnsi="TimesNewRomanPSMT"/>
      <w:color w:val="000000"/>
      <w:sz w:val="22"/>
      <w:szCs w:val="22"/>
    </w:rPr>
  </w:style>
  <w:style w:type="paragraph" w:customStyle="1" w:styleId="72">
    <w:name w:val="修订11"/>
    <w:hidden/>
    <w:semiHidden/>
    <w:qFormat/>
    <w:uiPriority w:val="99"/>
    <w:rPr>
      <w:rFonts w:ascii="Times New Roman" w:hAnsi="Times New Roman" w:eastAsia="宋体" w:cs="Times New Roman"/>
      <w:kern w:val="2"/>
      <w:sz w:val="21"/>
      <w:szCs w:val="24"/>
      <w:lang w:val="en-US" w:eastAsia="zh-CN" w:bidi="ar-SA"/>
    </w:rPr>
  </w:style>
  <w:style w:type="paragraph" w:customStyle="1" w:styleId="73">
    <w:name w:val="TOC 标题11"/>
    <w:basedOn w:val="2"/>
    <w:next w:val="1"/>
    <w:unhideWhenUsed/>
    <w:qFormat/>
    <w:uiPriority w:val="39"/>
    <w:pPr>
      <w:widowControl/>
      <w:numPr>
        <w:numId w:val="0"/>
      </w:numPr>
      <w:spacing w:before="240" w:line="259" w:lineRule="auto"/>
      <w:outlineLvl w:val="9"/>
    </w:pPr>
    <w:rPr>
      <w:rFonts w:asciiTheme="majorHAnsi" w:hAnsiTheme="majorHAnsi" w:cstheme="majorBidi"/>
      <w:b w:val="0"/>
      <w:bCs w:val="0"/>
      <w:color w:val="376092" w:themeColor="accent1" w:themeShade="BF"/>
      <w:kern w:val="0"/>
      <w:sz w:val="32"/>
      <w:szCs w:val="32"/>
    </w:rPr>
  </w:style>
  <w:style w:type="character" w:customStyle="1" w:styleId="74">
    <w:name w:val="未处理的提及1"/>
    <w:basedOn w:val="34"/>
    <w:semiHidden/>
    <w:unhideWhenUsed/>
    <w:qFormat/>
    <w:uiPriority w:val="99"/>
    <w:rPr>
      <w:color w:val="605E5C"/>
      <w:shd w:val="clear" w:color="auto" w:fill="E1DFDD"/>
    </w:rPr>
  </w:style>
  <w:style w:type="character" w:customStyle="1" w:styleId="75">
    <w:name w:val="jlqj4b"/>
    <w:basedOn w:val="34"/>
    <w:qFormat/>
    <w:uiPriority w:val="0"/>
  </w:style>
  <w:style w:type="character" w:customStyle="1" w:styleId="76">
    <w:name w:val="标题 字符"/>
    <w:basedOn w:val="34"/>
    <w:link w:val="28"/>
    <w:qFormat/>
    <w:uiPriority w:val="0"/>
    <w:rPr>
      <w:rFonts w:asciiTheme="majorHAnsi" w:hAnsiTheme="majorHAnsi" w:eastAsiaTheme="majorEastAsia" w:cstheme="majorBidi"/>
      <w:b/>
      <w:bCs/>
      <w:kern w:val="2"/>
      <w:sz w:val="32"/>
      <w:szCs w:val="32"/>
    </w:rPr>
  </w:style>
  <w:style w:type="character" w:customStyle="1" w:styleId="77">
    <w:name w:val="Unresolved Mention"/>
    <w:basedOn w:val="3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9" Type="http://schemas.openxmlformats.org/officeDocument/2006/relationships/image" Target="media/image68.png"/><Relationship Id="rId98" Type="http://schemas.openxmlformats.org/officeDocument/2006/relationships/image" Target="media/image67.png"/><Relationship Id="rId97" Type="http://schemas.openxmlformats.org/officeDocument/2006/relationships/image" Target="media/image66.png"/><Relationship Id="rId96" Type="http://schemas.openxmlformats.org/officeDocument/2006/relationships/image" Target="media/image65.png"/><Relationship Id="rId95" Type="http://schemas.openxmlformats.org/officeDocument/2006/relationships/image" Target="media/image64.png"/><Relationship Id="rId94" Type="http://schemas.openxmlformats.org/officeDocument/2006/relationships/image" Target="media/image63.png"/><Relationship Id="rId93" Type="http://schemas.openxmlformats.org/officeDocument/2006/relationships/image" Target="media/image62.png"/><Relationship Id="rId92" Type="http://schemas.openxmlformats.org/officeDocument/2006/relationships/image" Target="media/image61.png"/><Relationship Id="rId91" Type="http://schemas.openxmlformats.org/officeDocument/2006/relationships/image" Target="media/image60.emf"/><Relationship Id="rId90" Type="http://schemas.openxmlformats.org/officeDocument/2006/relationships/oleObject" Target="embeddings/Microsoft_Visio_2003-2010___15.vsd"/><Relationship Id="rId9" Type="http://schemas.openxmlformats.org/officeDocument/2006/relationships/footer" Target="footer3.xml"/><Relationship Id="rId89" Type="http://schemas.openxmlformats.org/officeDocument/2006/relationships/oleObject" Target="embeddings/Microsoft_Visio_2003-2010___14.vsd"/><Relationship Id="rId88" Type="http://schemas.openxmlformats.org/officeDocument/2006/relationships/image" Target="media/image59.png"/><Relationship Id="rId87" Type="http://schemas.openxmlformats.org/officeDocument/2006/relationships/image" Target="media/image58.png"/><Relationship Id="rId86" Type="http://schemas.openxmlformats.org/officeDocument/2006/relationships/image" Target="media/image57.png"/><Relationship Id="rId85" Type="http://schemas.openxmlformats.org/officeDocument/2006/relationships/image" Target="media/image56.png"/><Relationship Id="rId84" Type="http://schemas.openxmlformats.org/officeDocument/2006/relationships/image" Target="media/image55.png"/><Relationship Id="rId83" Type="http://schemas.openxmlformats.org/officeDocument/2006/relationships/image" Target="media/image54.png"/><Relationship Id="rId82" Type="http://schemas.openxmlformats.org/officeDocument/2006/relationships/image" Target="media/image53.png"/><Relationship Id="rId81" Type="http://schemas.openxmlformats.org/officeDocument/2006/relationships/image" Target="media/image52.png"/><Relationship Id="rId80" Type="http://schemas.openxmlformats.org/officeDocument/2006/relationships/image" Target="media/image51.png"/><Relationship Id="rId8" Type="http://schemas.openxmlformats.org/officeDocument/2006/relationships/footer" Target="footer2.xml"/><Relationship Id="rId79" Type="http://schemas.openxmlformats.org/officeDocument/2006/relationships/oleObject" Target="embeddings/Microsoft_Visio_2003-2010___13.vsd"/><Relationship Id="rId78" Type="http://schemas.openxmlformats.org/officeDocument/2006/relationships/image" Target="media/image50.emf"/><Relationship Id="rId77" Type="http://schemas.openxmlformats.org/officeDocument/2006/relationships/oleObject" Target="embeddings/Microsoft_Visio_2003-2010___12.vsd"/><Relationship Id="rId76" Type="http://schemas.openxmlformats.org/officeDocument/2006/relationships/image" Target="media/image49.emf"/><Relationship Id="rId75" Type="http://schemas.openxmlformats.org/officeDocument/2006/relationships/oleObject" Target="embeddings/Microsoft_Visio_2003-2010___11.vsd"/><Relationship Id="rId74" Type="http://schemas.openxmlformats.org/officeDocument/2006/relationships/image" Target="media/image48.png"/><Relationship Id="rId73" Type="http://schemas.openxmlformats.org/officeDocument/2006/relationships/image" Target="media/image47.png"/><Relationship Id="rId72" Type="http://schemas.openxmlformats.org/officeDocument/2006/relationships/image" Target="media/image46.png"/><Relationship Id="rId71" Type="http://schemas.openxmlformats.org/officeDocument/2006/relationships/image" Target="media/image45.png"/><Relationship Id="rId70" Type="http://schemas.openxmlformats.org/officeDocument/2006/relationships/image" Target="media/image44.emf"/><Relationship Id="rId7" Type="http://schemas.openxmlformats.org/officeDocument/2006/relationships/footer" Target="footer1.xml"/><Relationship Id="rId69" Type="http://schemas.openxmlformats.org/officeDocument/2006/relationships/oleObject" Target="embeddings/Microsoft_Visio_2003-2010___10.vsd"/><Relationship Id="rId68" Type="http://schemas.openxmlformats.org/officeDocument/2006/relationships/image" Target="media/image43.emf"/><Relationship Id="rId67" Type="http://schemas.openxmlformats.org/officeDocument/2006/relationships/oleObject" Target="embeddings/Microsoft_Visio_2003-2010___9.vsd"/><Relationship Id="rId66" Type="http://schemas.openxmlformats.org/officeDocument/2006/relationships/image" Target="media/image42.emf"/><Relationship Id="rId65" Type="http://schemas.openxmlformats.org/officeDocument/2006/relationships/oleObject" Target="embeddings/Microsoft_Visio_2003-2010___8.vsd"/><Relationship Id="rId64" Type="http://schemas.openxmlformats.org/officeDocument/2006/relationships/image" Target="media/image41.png"/><Relationship Id="rId63" Type="http://schemas.openxmlformats.org/officeDocument/2006/relationships/image" Target="media/image40.png"/><Relationship Id="rId62" Type="http://schemas.openxmlformats.org/officeDocument/2006/relationships/image" Target="media/image39.png"/><Relationship Id="rId61" Type="http://schemas.openxmlformats.org/officeDocument/2006/relationships/image" Target="media/image38.png"/><Relationship Id="rId60" Type="http://schemas.openxmlformats.org/officeDocument/2006/relationships/image" Target="media/image37.png"/><Relationship Id="rId6" Type="http://schemas.openxmlformats.org/officeDocument/2006/relationships/header" Target="header3.xml"/><Relationship Id="rId59" Type="http://schemas.openxmlformats.org/officeDocument/2006/relationships/image" Target="media/image36.png"/><Relationship Id="rId58" Type="http://schemas.openxmlformats.org/officeDocument/2006/relationships/image" Target="media/image35.png"/><Relationship Id="rId57" Type="http://schemas.openxmlformats.org/officeDocument/2006/relationships/image" Target="media/image34.jpeg"/><Relationship Id="rId56" Type="http://schemas.openxmlformats.org/officeDocument/2006/relationships/image" Target="media/image33.png"/><Relationship Id="rId55" Type="http://schemas.openxmlformats.org/officeDocument/2006/relationships/image" Target="media/image32.png"/><Relationship Id="rId54" Type="http://schemas.openxmlformats.org/officeDocument/2006/relationships/image" Target="media/image31.png"/><Relationship Id="rId53" Type="http://schemas.openxmlformats.org/officeDocument/2006/relationships/image" Target="media/image30.png"/><Relationship Id="rId52" Type="http://schemas.openxmlformats.org/officeDocument/2006/relationships/image" Target="media/image29.png"/><Relationship Id="rId51" Type="http://schemas.openxmlformats.org/officeDocument/2006/relationships/image" Target="media/image28.png"/><Relationship Id="rId50" Type="http://schemas.openxmlformats.org/officeDocument/2006/relationships/image" Target="media/image27.png"/><Relationship Id="rId5" Type="http://schemas.openxmlformats.org/officeDocument/2006/relationships/header" Target="header2.xml"/><Relationship Id="rId49" Type="http://schemas.openxmlformats.org/officeDocument/2006/relationships/image" Target="media/image26.png"/><Relationship Id="rId48" Type="http://schemas.openxmlformats.org/officeDocument/2006/relationships/image" Target="media/image25.png"/><Relationship Id="rId47" Type="http://schemas.openxmlformats.org/officeDocument/2006/relationships/image" Target="media/image24.png"/><Relationship Id="rId46" Type="http://schemas.openxmlformats.org/officeDocument/2006/relationships/image" Target="media/image23.png"/><Relationship Id="rId45" Type="http://schemas.openxmlformats.org/officeDocument/2006/relationships/image" Target="media/image22.png"/><Relationship Id="rId44" Type="http://schemas.openxmlformats.org/officeDocument/2006/relationships/image" Target="media/image21.png"/><Relationship Id="rId43" Type="http://schemas.openxmlformats.org/officeDocument/2006/relationships/image" Target="media/image20.emf"/><Relationship Id="rId42" Type="http://schemas.openxmlformats.org/officeDocument/2006/relationships/oleObject" Target="embeddings/Microsoft_Visio_2003-2010___7.vsd"/><Relationship Id="rId41" Type="http://schemas.openxmlformats.org/officeDocument/2006/relationships/image" Target="media/image19.emf"/><Relationship Id="rId40" Type="http://schemas.openxmlformats.org/officeDocument/2006/relationships/oleObject" Target="embeddings/Microsoft_Visio_2003-2010___6.vsd"/><Relationship Id="rId4" Type="http://schemas.openxmlformats.org/officeDocument/2006/relationships/header" Target="header1.xml"/><Relationship Id="rId39" Type="http://schemas.openxmlformats.org/officeDocument/2006/relationships/image" Target="media/image18.emf"/><Relationship Id="rId38" Type="http://schemas.openxmlformats.org/officeDocument/2006/relationships/oleObject" Target="embeddings/Microsoft_Visio_2003-2010___5.vsd"/><Relationship Id="rId37" Type="http://schemas.openxmlformats.org/officeDocument/2006/relationships/image" Target="media/image17.emf"/><Relationship Id="rId36" Type="http://schemas.openxmlformats.org/officeDocument/2006/relationships/oleObject" Target="embeddings/Microsoft_Visio_2003-2010___4.vsd"/><Relationship Id="rId35" Type="http://schemas.openxmlformats.org/officeDocument/2006/relationships/image" Target="media/image16.emf"/><Relationship Id="rId34" Type="http://schemas.openxmlformats.org/officeDocument/2006/relationships/oleObject" Target="embeddings/Microsoft_Visio_2003-2010___3.vsd"/><Relationship Id="rId33" Type="http://schemas.openxmlformats.org/officeDocument/2006/relationships/image" Target="media/image15.emf"/><Relationship Id="rId32" Type="http://schemas.openxmlformats.org/officeDocument/2006/relationships/oleObject" Target="embeddings/Microsoft_Visio_2003-2010___2.vsd"/><Relationship Id="rId31" Type="http://schemas.openxmlformats.org/officeDocument/2006/relationships/image" Target="media/image14.emf"/><Relationship Id="rId30" Type="http://schemas.openxmlformats.org/officeDocument/2006/relationships/oleObject" Target="embeddings/Microsoft_Visio_2003-2010___1.vsd"/><Relationship Id="rId3" Type="http://schemas.openxmlformats.org/officeDocument/2006/relationships/footnotes" Target="footnotes.xml"/><Relationship Id="rId29" Type="http://schemas.openxmlformats.org/officeDocument/2006/relationships/image" Target="media/image13.emf"/><Relationship Id="rId28" Type="http://schemas.openxmlformats.org/officeDocument/2006/relationships/oleObject" Target="embeddings/oleObject2.bin"/><Relationship Id="rId27" Type="http://schemas.openxmlformats.org/officeDocument/2006/relationships/image" Target="media/image12.emf"/><Relationship Id="rId26" Type="http://schemas.openxmlformats.org/officeDocument/2006/relationships/oleObject" Target="embeddings/oleObject1.bin"/><Relationship Id="rId25" Type="http://schemas.openxmlformats.org/officeDocument/2006/relationships/image" Target="media/image11.png"/><Relationship Id="rId24" Type="http://schemas.openxmlformats.org/officeDocument/2006/relationships/image" Target="media/image10.jpeg"/><Relationship Id="rId23" Type="http://schemas.openxmlformats.org/officeDocument/2006/relationships/image" Target="media/image9.jpeg"/><Relationship Id="rId22" Type="http://schemas.openxmlformats.org/officeDocument/2006/relationships/image" Target="media/image8.jpe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theme" Target="theme/theme1.xml"/><Relationship Id="rId15" Type="http://schemas.openxmlformats.org/officeDocument/2006/relationships/header" Target="header6.xml"/><Relationship Id="rId14" Type="http://schemas.openxmlformats.org/officeDocument/2006/relationships/footer" Target="footer6.xml"/><Relationship Id="rId13" Type="http://schemas.openxmlformats.org/officeDocument/2006/relationships/header" Target="header5.xml"/><Relationship Id="rId12" Type="http://schemas.openxmlformats.org/officeDocument/2006/relationships/footer" Target="footer5.xml"/><Relationship Id="rId111" Type="http://schemas.openxmlformats.org/officeDocument/2006/relationships/fontTable" Target="fontTable.xml"/><Relationship Id="rId110" Type="http://schemas.openxmlformats.org/officeDocument/2006/relationships/customXml" Target="../customXml/item2.xml"/><Relationship Id="rId11" Type="http://schemas.openxmlformats.org/officeDocument/2006/relationships/footer" Target="footer4.xml"/><Relationship Id="rId109" Type="http://schemas.openxmlformats.org/officeDocument/2006/relationships/numbering" Target="numbering.xml"/><Relationship Id="rId108" Type="http://schemas.openxmlformats.org/officeDocument/2006/relationships/customXml" Target="../customXml/item1.xml"/><Relationship Id="rId107" Type="http://schemas.openxmlformats.org/officeDocument/2006/relationships/image" Target="media/image2.png"/><Relationship Id="rId106" Type="http://schemas.openxmlformats.org/officeDocument/2006/relationships/image" Target="media/image73.jpeg"/><Relationship Id="rId105" Type="http://schemas.openxmlformats.org/officeDocument/2006/relationships/image" Target="media/image72.png"/><Relationship Id="rId104" Type="http://schemas.openxmlformats.org/officeDocument/2006/relationships/image" Target="media/image71.emf"/><Relationship Id="rId103" Type="http://schemas.openxmlformats.org/officeDocument/2006/relationships/package" Target="embeddings/Microsoft_Visio___17.vsdx"/><Relationship Id="rId102" Type="http://schemas.openxmlformats.org/officeDocument/2006/relationships/image" Target="media/image70.emf"/><Relationship Id="rId101" Type="http://schemas.openxmlformats.org/officeDocument/2006/relationships/package" Target="embeddings/Microsoft_Visio___16.vsdx"/><Relationship Id="rId100" Type="http://schemas.openxmlformats.org/officeDocument/2006/relationships/image" Target="media/image69.png"/><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60CAAD-45C3-4BF0-A9F7-1E3597FF32ED}">
  <ds:schemaRefs/>
</ds:datastoreItem>
</file>

<file path=docProps/app.xml><?xml version="1.0" encoding="utf-8"?>
<Properties xmlns="http://schemas.openxmlformats.org/officeDocument/2006/extended-properties" xmlns:vt="http://schemas.openxmlformats.org/officeDocument/2006/docPropsVTypes">
  <Template>Normal.dotm</Template>
  <Pages>106</Pages>
  <Words>589</Words>
  <Characters>3689</Characters>
  <Lines>1060</Lines>
  <Paragraphs>298</Paragraphs>
  <TotalTime>43</TotalTime>
  <ScaleCrop>false</ScaleCrop>
  <LinksUpToDate>false</LinksUpToDate>
  <CharactersWithSpaces>4247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2025-09-24T07:07:00Z</dcterms:created>
  <dc:creator>ndk</dc:creator>
  <cp:keywords>PT105Ⅱ;FF;PA;HART</cp:keywords>
  <cp:lastModifiedBy>SWQ</cp:lastModifiedBy>
  <cp:lastPrinted>2025-09-24T07:07:00Z</cp:lastPrinted>
  <dcterms:modified xsi:type="dcterms:W3CDTF">2025-10-17T06:01:25Z</dcterms:modified>
  <dc:title>NCS-PT105Ⅱ系列智能压力变送器_使用手册</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0672501F03A943BCBBFC62481B3048A2_13</vt:lpwstr>
  </property>
  <property fmtid="{D5CDD505-2E9C-101B-9397-08002B2CF9AE}" pid="4" name="KSOTemplateDocerSaveRecord">
    <vt:lpwstr>eyJoZGlkIjoiMzhjYzJiYTU4OWJiYTk1Y2MyZWFjMzhhZjExZTJmYTYiLCJ1c2VySWQiOiI0NDQ3MzQwMzMifQ==</vt:lpwstr>
  </property>
</Properties>
</file>